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64.jpeg" ContentType="image/jpeg"/>
  <Override PartName="/word/media/image163.jpeg" ContentType="image/jpeg"/>
  <Override PartName="/word/media/image156.jpeg" ContentType="image/jpeg"/>
  <Override PartName="/word/media/image155.jpeg" ContentType="image/jpeg"/>
  <Override PartName="/word/media/image154.jpeg" ContentType="image/jpeg"/>
  <Override PartName="/word/media/image153.jpeg" ContentType="image/jpeg"/>
  <Override PartName="/word/media/image152.jpeg" ContentType="image/jpeg"/>
  <Override PartName="/word/media/image151.jpeg" ContentType="image/jpeg"/>
  <Override PartName="/word/media/image150.jpeg" ContentType="image/jpeg"/>
  <Override PartName="/word/media/image146.jpeg" ContentType="image/jpeg"/>
  <Override PartName="/word/media/image145.jpeg" ContentType="image/jpeg"/>
  <Override PartName="/word/media/image144.jpeg" ContentType="image/jpeg"/>
  <Override PartName="/word/media/image143.jpeg" ContentType="image/jpeg"/>
  <Override PartName="/word/media/image142.jpeg" ContentType="image/jpeg"/>
  <Override PartName="/word/media/image141.jpeg" ContentType="image/jpeg"/>
  <Override PartName="/word/media/image140.jpeg" ContentType="image/jpeg"/>
  <Override PartName="/word/media/image170.jpeg" ContentType="image/jpeg"/>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62.jpeg" ContentType="image/jpeg"/>
  <Override PartName="/word/media/image129.jpeg" ContentType="image/jpeg"/>
  <Override PartName="/word/media/image161.jpeg" ContentType="image/jpeg"/>
  <Override PartName="/word/media/image128.jpeg" ContentType="image/jpeg"/>
  <Override PartName="/word/media/image160.jpeg" ContentType="image/jpeg"/>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20.jpeg" ContentType="image/jpeg"/>
  <Override PartName="/word/media/image174.jpeg" ContentType="image/jpeg"/>
  <Override PartName="/word/media/image113.jpeg" ContentType="image/jpeg"/>
  <Override PartName="/word/media/image173.jpeg" ContentType="image/jpeg"/>
  <Override PartName="/word/media/image112.jpeg" ContentType="image/jpeg"/>
  <Override PartName="/word/media/image172.jpeg" ContentType="image/jpeg"/>
  <Override PartName="/word/media/image139.jpeg" ContentType="image/jpeg"/>
  <Override PartName="/word/media/image111.jpeg" ContentType="image/jpeg"/>
  <Override PartName="/word/media/image171.jpeg" ContentType="image/jpeg"/>
  <Override PartName="/word/media/image138.jpeg" ContentType="image/jpeg"/>
  <Override PartName="/word/media/image110.jpeg" ContentType="image/jpeg"/>
  <Override PartName="/word/media/image109.jpeg" ContentType="image/jpeg"/>
  <Override PartName="/word/media/image108.jpeg" ContentType="image/jpeg"/>
  <Override PartName="/word/media/image107.jpeg" ContentType="image/jpeg"/>
  <Override PartName="/word/media/image106.jpeg" ContentType="image/jpeg"/>
  <Override PartName="/word/media/image105.jpeg" ContentType="image/jpeg"/>
  <Override PartName="/word/media/image104.jpeg" ContentType="image/jpeg"/>
  <Override PartName="/word/media/image103.jpeg" ContentType="image/jpeg"/>
  <Override PartName="/word/media/image102.jpeg" ContentType="image/jpeg"/>
  <Override PartName="/word/media/image101.jpeg" ContentType="image/jpeg"/>
  <Override PartName="/word/media/image100.jpeg" ContentType="image/jpeg"/>
  <Override PartName="/word/media/image97.jpeg" ContentType="image/jpeg"/>
  <Override PartName="/word/media/image167.jpeg" ContentType="image/jpeg"/>
  <Override PartName="/word/media/image52.jpeg" ContentType="image/jpeg"/>
  <Override PartName="/word/media/image166.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1.jpeg" ContentType="image/jpeg"/>
  <Override PartName="/word/media/image18.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168.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169.jpeg" ContentType="image/jpeg"/>
  <Override PartName="/word/media/image54.jpeg" ContentType="image/jpeg"/>
  <Override PartName="/word/media/image157.jpeg" ContentType="image/jpeg"/>
  <Override PartName="/word/media/image42.jpeg" ContentType="image/jpeg"/>
  <Override PartName="/word/media/image12.jpeg" ContentType="image/jpeg"/>
  <Override PartName="/word/media/image55.jpeg" ContentType="image/jpeg"/>
  <Override PartName="/word/media/image158.jpeg" ContentType="image/jpeg"/>
  <Override PartName="/word/media/image43.jpeg" ContentType="image/jpeg"/>
  <Override PartName="/word/media/image13.jpeg" ContentType="image/jpeg"/>
  <Override PartName="/word/media/image56.jpeg" ContentType="image/jpeg"/>
  <Override PartName="/word/media/image159.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114.jpeg" ContentType="image/jpeg"/>
  <Override PartName="/word/media/image60.jpeg" ContentType="image/jpeg"/>
  <Override PartName="/word/media/image115.jpeg" ContentType="image/jpeg"/>
  <Override PartName="/word/media/image61.jpeg" ContentType="image/jpeg"/>
  <Override PartName="/word/media/image116.jpeg" ContentType="image/jpeg"/>
  <Override PartName="/word/media/image62.jpeg" ContentType="image/jpeg"/>
  <Override PartName="/word/media/image165.jpeg" ContentType="image/jpeg"/>
  <Override PartName="/word/media/image50.jpeg" ContentType="image/jpeg"/>
  <Override PartName="/word/media/image25.jpeg" ContentType="image/jpeg"/>
  <Override PartName="/word/media/image86.jpeg" ContentType="image/jpeg"/>
  <Override PartName="/word/media/image117.jpeg" ContentType="image/jpeg"/>
  <Override PartName="/word/media/image63.jpeg" ContentType="image/jpeg"/>
  <Override PartName="/word/media/image118.jpeg" ContentType="image/jpeg"/>
  <Override PartName="/word/media/image64.jpeg" ContentType="image/jpeg"/>
  <Override PartName="/word/media/image119.jpeg" ContentType="image/jpeg"/>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0.jpeg" ContentType="image/jpeg"/>
  <Override PartName="/word/media/image68.jpeg" ContentType="image/jpeg"/>
  <Override PartName="/word/media/image20.jpeg" ContentType="image/jpeg"/>
  <Override PartName="/word/media/image48.jpeg" ContentType="image/jpeg"/>
  <Override PartName="/word/media/image81.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147.jpeg" ContentType="image/jpeg"/>
  <Override PartName="/word/media/image93.jpeg" ContentType="image/jpeg"/>
  <Override PartName="/word/media/image148.jpeg" ContentType="image/jpeg"/>
  <Override PartName="/word/media/image94.jpeg" ContentType="image/jpeg"/>
  <Override PartName="/word/media/image149.jpeg" ContentType="image/jpeg"/>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rFonts w:ascii="Arial;Helvetica;Sans-Serif" w:hAnsi="Arial;Helvetica;Sans-Serif"/>
          <w:b/>
          <w:i w:val="false"/>
          <w:caps w:val="false"/>
          <w:smallCaps w:val="false"/>
          <w:sz w:val="20"/>
        </w:rPr>
      </w:pPr>
      <w:bookmarkStart w:id="0" w:name="lrare2023_def14a.htm"/>
      <w:bookmarkStart w:id="1" w:name="kslrare2023_def14a"/>
      <w:bookmarkEnd w:id="0"/>
      <w:bookmarkEnd w:id="1"/>
      <w:r>
        <w:rPr>
          <w:rFonts w:ascii="Arial;Helvetica;Sans-Serif" w:hAnsi="Arial;Helvetica;Sans-Serif"/>
          <w:b/>
          <w:i w:val="false"/>
          <w:caps w:val="false"/>
          <w:smallCaps w:val="false"/>
          <w:sz w:val="20"/>
        </w:rPr>
        <w:t xml:space="preserve">UNITED STATES </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SECURITIES AND EXCHANGE COMMISSION</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Washington, D.C. 20549</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SCHEDULE 14A</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Proxy Statement Pursuant to Section 14(a) of the Securities</w:t>
        <w:br/>
        <w:t>Exchange Act of 1934 (Amendment No.)</w:t>
      </w:r>
    </w:p>
    <w:p>
      <w:pPr>
        <w:pStyle w:val="TextBody"/>
        <w:jc w:val="center"/>
        <w:rPr>
          <w:caps w:val="false"/>
          <w:smallCaps w:val="false"/>
        </w:rPr>
      </w:pPr>
      <w:r>
        <w:rPr>
          <w:caps w:val="false"/>
          <w:smallCaps w:val="false"/>
        </w:rPr>
        <w:t> </w:t>
      </w:r>
    </w:p>
    <w:tbl>
      <w:tblPr>
        <w:tblW w:w="6610" w:type="dxa"/>
        <w:jc w:val="left"/>
        <w:tblInd w:w="0" w:type="dxa"/>
        <w:tblCellMar>
          <w:top w:w="0" w:type="dxa"/>
          <w:left w:w="0" w:type="dxa"/>
          <w:bottom w:w="0" w:type="dxa"/>
          <w:right w:w="0" w:type="dxa"/>
        </w:tblCellMar>
      </w:tblPr>
      <w:tblGrid>
        <w:gridCol w:w="390"/>
        <w:gridCol w:w="2105"/>
        <w:gridCol w:w="375"/>
        <w:gridCol w:w="3740"/>
      </w:tblGrid>
      <w:tr>
        <w:trPr/>
        <w:tc>
          <w:tcPr>
            <w:tcW w:w="390" w:type="dxa"/>
            <w:tcBorders/>
            <w:shd w:fill="auto" w:val="clear"/>
            <w:vAlign w:val="center"/>
          </w:tcPr>
          <w:p>
            <w:pPr>
              <w:pStyle w:val="TableContents"/>
              <w:spacing w:before="0" w:after="283"/>
              <w:jc w:val="right"/>
              <w:rPr/>
            </w:pPr>
            <w:r>
              <w:rPr/>
              <w:drawing>
                <wp:inline distT="0" distB="0" distL="0" distR="0">
                  <wp:extent cx="238125"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 cy="238125"/>
                          </a:xfrm>
                          <a:prstGeom prst="rect">
                            <a:avLst/>
                          </a:prstGeom>
                        </pic:spPr>
                      </pic:pic>
                    </a:graphicData>
                  </a:graphic>
                </wp:inline>
              </w:drawing>
            </w:r>
          </w:p>
        </w:tc>
        <w:tc>
          <w:tcPr>
            <w:tcW w:w="2105" w:type="dxa"/>
            <w:tcBorders/>
            <w:shd w:fill="auto" w:val="clear"/>
            <w:vAlign w:val="center"/>
          </w:tcPr>
          <w:p>
            <w:pPr>
              <w:pStyle w:val="TableContents"/>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Filed by the Registrant</w:t>
            </w:r>
          </w:p>
        </w:tc>
        <w:tc>
          <w:tcPr>
            <w:tcW w:w="375" w:type="dxa"/>
            <w:tcBorders/>
            <w:shd w:fill="auto" w:val="clear"/>
            <w:vAlign w:val="center"/>
          </w:tcPr>
          <w:p>
            <w:pPr>
              <w:pStyle w:val="TableContents"/>
              <w:spacing w:before="0" w:after="283"/>
              <w:rPr/>
            </w:pPr>
            <w:r>
              <w:rPr/>
              <w:drawing>
                <wp:inline distT="0" distB="0" distL="0" distR="0">
                  <wp:extent cx="238125"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 cy="238125"/>
                          </a:xfrm>
                          <a:prstGeom prst="rect">
                            <a:avLst/>
                          </a:prstGeom>
                        </pic:spPr>
                      </pic:pic>
                    </a:graphicData>
                  </a:graphic>
                </wp:inline>
              </w:drawing>
            </w:r>
          </w:p>
        </w:tc>
        <w:tc>
          <w:tcPr>
            <w:tcW w:w="3740" w:type="dxa"/>
            <w:tcBorders/>
            <w:shd w:fill="auto" w:val="clear"/>
            <w:vAlign w:val="center"/>
          </w:tcPr>
          <w:p>
            <w:pPr>
              <w:pStyle w:val="TableContents"/>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Filed by a Party other than the Registrant</w:t>
            </w:r>
          </w:p>
        </w:tc>
      </w:tr>
    </w:tbl>
    <w:p>
      <w:pPr>
        <w:pStyle w:val="TextBody"/>
        <w:jc w:val="center"/>
        <w:rPr>
          <w:caps w:val="false"/>
          <w:smallCaps w:val="false"/>
        </w:rPr>
      </w:pPr>
      <w:r>
        <w:rPr>
          <w:caps w:val="false"/>
          <w:smallCaps w:val="false"/>
        </w:rPr>
        <w:t> </w:t>
      </w:r>
    </w:p>
    <w:tbl>
      <w:tblPr>
        <w:tblW w:w="7700" w:type="dxa"/>
        <w:jc w:val="left"/>
        <w:tblInd w:w="0" w:type="dxa"/>
        <w:tblCellMar>
          <w:top w:w="40" w:type="dxa"/>
          <w:left w:w="40" w:type="dxa"/>
          <w:bottom w:w="28" w:type="dxa"/>
          <w:right w:w="40" w:type="dxa"/>
        </w:tblCellMar>
      </w:tblPr>
      <w:tblGrid>
        <w:gridCol w:w="390"/>
        <w:gridCol w:w="7310"/>
      </w:tblGrid>
      <w:tr>
        <w:trPr/>
        <w:tc>
          <w:tcPr>
            <w:tcW w:w="7700"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spacing w:before="0" w:after="283"/>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Check the appropriate box:</w:t>
            </w:r>
          </w:p>
        </w:tc>
      </w:tr>
      <w:tr>
        <w:trPr/>
        <w:tc>
          <w:tcPr>
            <w:tcW w:w="390"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3812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p>
        </w:tc>
        <w:tc>
          <w:tcPr>
            <w:tcW w:w="731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Proxy Statement</w:t>
            </w:r>
          </w:p>
        </w:tc>
      </w:tr>
      <w:tr>
        <w:trPr/>
        <w:tc>
          <w:tcPr>
            <w:tcW w:w="390"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38125"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8125" cy="238125"/>
                          </a:xfrm>
                          <a:prstGeom prst="rect">
                            <a:avLst/>
                          </a:prstGeom>
                        </pic:spPr>
                      </pic:pic>
                    </a:graphicData>
                  </a:graphic>
                </wp:inline>
              </w:drawing>
            </w:r>
          </w:p>
        </w:tc>
        <w:tc>
          <w:tcPr>
            <w:tcW w:w="731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Confidential, for use of the Commission only (as permitted by Rule 14a-6(e)(2))</w:t>
            </w:r>
          </w:p>
        </w:tc>
      </w:tr>
      <w:tr>
        <w:trPr/>
        <w:tc>
          <w:tcPr>
            <w:tcW w:w="390"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38125" cy="23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125" cy="238125"/>
                          </a:xfrm>
                          <a:prstGeom prst="rect">
                            <a:avLst/>
                          </a:prstGeom>
                        </pic:spPr>
                      </pic:pic>
                    </a:graphicData>
                  </a:graphic>
                </wp:inline>
              </w:drawing>
            </w:r>
          </w:p>
        </w:tc>
        <w:tc>
          <w:tcPr>
            <w:tcW w:w="731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Proxy Statement</w:t>
            </w:r>
          </w:p>
        </w:tc>
      </w:tr>
      <w:tr>
        <w:trPr/>
        <w:tc>
          <w:tcPr>
            <w:tcW w:w="390"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38125" cy="23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8125" cy="238125"/>
                          </a:xfrm>
                          <a:prstGeom prst="rect">
                            <a:avLst/>
                          </a:prstGeom>
                        </pic:spPr>
                      </pic:pic>
                    </a:graphicData>
                  </a:graphic>
                </wp:inline>
              </w:drawing>
            </w:r>
          </w:p>
        </w:tc>
        <w:tc>
          <w:tcPr>
            <w:tcW w:w="731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Additional Materials</w:t>
            </w:r>
          </w:p>
        </w:tc>
      </w:tr>
      <w:tr>
        <w:trPr/>
        <w:tc>
          <w:tcPr>
            <w:tcW w:w="390"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38125" cy="23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8125" cy="238125"/>
                          </a:xfrm>
                          <a:prstGeom prst="rect">
                            <a:avLst/>
                          </a:prstGeom>
                        </pic:spPr>
                      </pic:pic>
                    </a:graphicData>
                  </a:graphic>
                </wp:inline>
              </w:drawing>
            </w:r>
          </w:p>
        </w:tc>
        <w:tc>
          <w:tcPr>
            <w:tcW w:w="731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Pursuant to §240.14a-12</w:t>
            </w:r>
          </w:p>
        </w:tc>
      </w:tr>
    </w:tbl>
    <w:p>
      <w:pPr>
        <w:pStyle w:val="TextBody"/>
        <w:jc w:val="center"/>
        <w:rPr>
          <w:caps w:val="false"/>
          <w:smallCaps w:val="false"/>
          <w:color w:val="3CF12F"/>
        </w:rPr>
      </w:pPr>
      <w:r>
        <w:rPr>
          <w:caps w:val="false"/>
          <w:smallCaps w:val="false"/>
          <w:color w:val="3CF12F"/>
        </w:rPr>
        <w:t> </w:t>
      </w:r>
    </w:p>
    <w:p>
      <w:pPr>
        <w:pStyle w:val="TextBody"/>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ULTRAGENYX PHARMACEUTICAL INC.</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drawing>
          <wp:inline distT="0" distB="0" distL="0" distR="0">
            <wp:extent cx="2266950" cy="847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266950" cy="847725"/>
                    </a:xfrm>
                    <a:prstGeom prst="rect">
                      <a:avLst/>
                    </a:prstGeom>
                  </pic:spPr>
                </pic:pic>
              </a:graphicData>
            </a:graphic>
          </wp:inline>
        </w:drawing>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i/>
          <w:caps w:val="false"/>
          <w:smallCaps w:val="false"/>
          <w:sz w:val="20"/>
        </w:rPr>
      </w:pPr>
      <w:r>
        <w:rPr>
          <w:rFonts w:ascii="Arial;Helvetica;Sans-Serif" w:hAnsi="Arial;Helvetica;Sans-Serif"/>
          <w:b/>
          <w:i/>
          <w:caps w:val="false"/>
          <w:smallCaps w:val="false"/>
          <w:sz w:val="20"/>
        </w:rPr>
        <w:t>(Name of Registrant as Specified In Its Charter)</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i/>
          <w:caps w:val="false"/>
          <w:smallCaps w:val="false"/>
          <w:sz w:val="20"/>
        </w:rPr>
      </w:pPr>
      <w:r>
        <w:rPr>
          <w:rFonts w:ascii="Arial;Helvetica;Sans-Serif" w:hAnsi="Arial;Helvetica;Sans-Serif"/>
          <w:b/>
          <w:i/>
          <w:caps w:val="false"/>
          <w:smallCaps w:val="false"/>
          <w:sz w:val="20"/>
        </w:rPr>
        <w:t>(Name of Person(s) Filing Proxy Statement, if other than the Registrant)</w:t>
      </w:r>
    </w:p>
    <w:p>
      <w:pPr>
        <w:pStyle w:val="TextBody"/>
        <w:jc w:val="center"/>
        <w:rPr>
          <w:caps w:val="false"/>
          <w:smallCaps w:val="false"/>
        </w:rPr>
      </w:pPr>
      <w:r>
        <w:rPr>
          <w:caps w:val="false"/>
          <w:smallCaps w:val="false"/>
        </w:rPr>
        <w:t> </w:t>
      </w:r>
    </w:p>
    <w:tbl>
      <w:tblPr>
        <w:tblW w:w="10205" w:type="dxa"/>
        <w:jc w:val="left"/>
        <w:tblInd w:w="0" w:type="dxa"/>
        <w:tblCellMar>
          <w:top w:w="40" w:type="dxa"/>
          <w:left w:w="40" w:type="dxa"/>
          <w:bottom w:w="28" w:type="dxa"/>
          <w:right w:w="40" w:type="dxa"/>
        </w:tblCellMar>
      </w:tblPr>
      <w:tblGrid>
        <w:gridCol w:w="390"/>
        <w:gridCol w:w="9815"/>
      </w:tblGrid>
      <w:tr>
        <w:trPr/>
        <w:tc>
          <w:tcPr>
            <w:tcW w:w="1020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spacing w:before="0" w:after="283"/>
              <w:jc w:val="left"/>
              <w:rPr>
                <w:b/>
                <w:sz w:val="24"/>
              </w:rPr>
            </w:pPr>
            <w:r>
              <w:rPr>
                <w:b/>
                <w:sz w:val="24"/>
              </w:rPr>
              <w:t>Payment of Filing Fee (Check all boxes that apply):</w:t>
            </w:r>
          </w:p>
        </w:tc>
      </w:tr>
      <w:tr>
        <w:trPr/>
        <w:tc>
          <w:tcPr>
            <w:tcW w:w="390" w:type="dxa"/>
            <w:tcBorders>
              <w:left w:val="single" w:sz="2" w:space="0" w:color="000000"/>
              <w:bottom w:val="single" w:sz="2" w:space="0" w:color="000000"/>
              <w:right w:val="single" w:sz="2" w:space="0" w:color="000000"/>
            </w:tcBorders>
            <w:shd w:fill="auto" w:val="clear"/>
            <w:tcMar>
              <w:top w:w="0" w:type="dxa"/>
              <w:left w:w="80" w:type="dxa"/>
              <w:right w:w="80" w:type="dxa"/>
            </w:tcMar>
            <w:vAlign w:val="center"/>
          </w:tcPr>
          <w:p>
            <w:pPr>
              <w:pStyle w:val="TableContents"/>
              <w:spacing w:before="0" w:after="283"/>
              <w:jc w:val="center"/>
              <w:rPr/>
            </w:pPr>
            <w:r>
              <w:rPr/>
              <w:drawing>
                <wp:inline distT="0" distB="0" distL="0" distR="0">
                  <wp:extent cx="238125" cy="23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000000"/>
              <w:right w:val="single" w:sz="2" w:space="0" w:color="000000"/>
            </w:tcBorders>
            <w:shd w:fill="auto" w:val="clear"/>
            <w:tcMar>
              <w:top w:w="0" w:type="dxa"/>
              <w:left w:w="0" w:type="dxa"/>
              <w:right w:w="100" w:type="dxa"/>
            </w:tcMar>
            <w:vAlign w:val="center"/>
          </w:tcPr>
          <w:p>
            <w:pPr>
              <w:pStyle w:val="TableContents"/>
              <w:spacing w:before="0" w:after="283"/>
              <w:jc w:val="both"/>
              <w:rPr>
                <w:b/>
              </w:rPr>
            </w:pPr>
            <w:r>
              <w:rPr>
                <w:b/>
              </w:rPr>
              <w:t>No fee required</w:t>
            </w:r>
          </w:p>
        </w:tc>
      </w:tr>
      <w:tr>
        <w:trPr/>
        <w:tc>
          <w:tcPr>
            <w:tcW w:w="390" w:type="dxa"/>
            <w:tcBorders>
              <w:left w:val="single" w:sz="2" w:space="0" w:color="000000"/>
              <w:bottom w:val="single" w:sz="2" w:space="0" w:color="000000"/>
              <w:right w:val="single" w:sz="2" w:space="0" w:color="000000"/>
            </w:tcBorders>
            <w:shd w:fill="auto" w:val="clear"/>
            <w:tcMar>
              <w:top w:w="0" w:type="dxa"/>
              <w:left w:w="80" w:type="dxa"/>
              <w:right w:w="80" w:type="dxa"/>
            </w:tcMar>
            <w:vAlign w:val="center"/>
          </w:tcPr>
          <w:p>
            <w:pPr>
              <w:pStyle w:val="TableContents"/>
              <w:spacing w:before="0" w:after="283"/>
              <w:jc w:val="center"/>
              <w:rPr/>
            </w:pPr>
            <w:r>
              <w:rPr/>
              <w:drawing>
                <wp:inline distT="0" distB="0" distL="0" distR="0">
                  <wp:extent cx="238125" cy="23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000000"/>
              <w:right w:val="single" w:sz="2" w:space="0" w:color="000000"/>
            </w:tcBorders>
            <w:shd w:fill="auto" w:val="clear"/>
            <w:tcMar>
              <w:top w:w="0" w:type="dxa"/>
              <w:left w:w="0" w:type="dxa"/>
              <w:right w:w="100" w:type="dxa"/>
            </w:tcMar>
            <w:vAlign w:val="center"/>
          </w:tcPr>
          <w:p>
            <w:pPr>
              <w:pStyle w:val="TableContents"/>
              <w:spacing w:before="0" w:after="283"/>
              <w:jc w:val="both"/>
              <w:rPr>
                <w:b/>
              </w:rPr>
            </w:pPr>
            <w:r>
              <w:rPr>
                <w:b/>
              </w:rPr>
              <w:t>Fee paid previously with preliminary materials</w:t>
            </w:r>
          </w:p>
        </w:tc>
      </w:tr>
      <w:tr>
        <w:trPr/>
        <w:tc>
          <w:tcPr>
            <w:tcW w:w="390" w:type="dxa"/>
            <w:tcBorders>
              <w:left w:val="single" w:sz="2" w:space="0" w:color="000000"/>
              <w:bottom w:val="single" w:sz="2" w:space="0" w:color="000000"/>
              <w:right w:val="single" w:sz="2" w:space="0" w:color="000000"/>
            </w:tcBorders>
            <w:shd w:fill="auto" w:val="clear"/>
            <w:tcMar>
              <w:top w:w="0" w:type="dxa"/>
              <w:left w:w="80" w:type="dxa"/>
              <w:right w:w="80" w:type="dxa"/>
            </w:tcMar>
            <w:vAlign w:val="center"/>
          </w:tcPr>
          <w:p>
            <w:pPr>
              <w:pStyle w:val="TableContents"/>
              <w:spacing w:before="0" w:after="283"/>
              <w:jc w:val="center"/>
              <w:rPr/>
            </w:pPr>
            <w:r>
              <w:rPr/>
              <w:drawing>
                <wp:inline distT="0" distB="0" distL="0" distR="0">
                  <wp:extent cx="238125" cy="23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000000"/>
              <w:right w:val="single" w:sz="2" w:space="0" w:color="000000"/>
            </w:tcBorders>
            <w:shd w:fill="auto" w:val="clear"/>
            <w:tcMar>
              <w:top w:w="0" w:type="dxa"/>
              <w:left w:w="0" w:type="dxa"/>
              <w:right w:w="100" w:type="dxa"/>
            </w:tcMar>
            <w:vAlign w:val="center"/>
          </w:tcPr>
          <w:p>
            <w:pPr>
              <w:pStyle w:val="TableContents"/>
              <w:spacing w:before="0" w:after="283"/>
              <w:jc w:val="both"/>
              <w:rPr>
                <w:b/>
              </w:rPr>
            </w:pPr>
            <w:r>
              <w:rPr>
                <w:b/>
              </w:rPr>
              <w:t>Fee computed on table in exhibit required by Item 25(b) per Exchange Act Rules 14a-6(i)(1) and 0-11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caps w:val="false"/>
          <w:smallCaps w:val="false"/>
        </w:rPr>
      </w:pPr>
      <w:r>
        <w:rPr>
          <w:caps w:val="false"/>
          <w:smallCaps w:val="false"/>
        </w:rPr>
        <w:drawing>
          <wp:inline distT="0" distB="0" distL="0" distR="0">
            <wp:extent cx="7620000" cy="96012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9601200"/>
                    </a:xfrm>
                    <a:prstGeom prst="rect">
                      <a:avLst/>
                    </a:prstGeom>
                  </pic:spPr>
                </pic:pic>
              </a:graphicData>
            </a:graphic>
          </wp:inline>
        </w:drawing>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right"/>
        <w:rPr>
          <w:caps w:val="false"/>
          <w:smallCaps w:val="false"/>
        </w:rPr>
      </w:pPr>
      <w:r>
        <w:rPr>
          <w:caps w:val="false"/>
          <w:smallCaps w:val="false"/>
        </w:rPr>
        <w:drawing>
          <wp:inline distT="0" distB="0" distL="0" distR="0">
            <wp:extent cx="2381250" cy="8858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381250" cy="885825"/>
                    </a:xfrm>
                    <a:prstGeom prst="rect">
                      <a:avLst/>
                    </a:prstGeom>
                  </pic:spPr>
                </pic:pic>
              </a:graphicData>
            </a:graphic>
          </wp:inline>
        </w:drawing>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60 Leveroni Court</w:t>
        <w:br/>
        <w:t>Novato, California 94949</w:t>
      </w:r>
    </w:p>
    <w:p>
      <w:pPr>
        <w:pStyle w:val="Heading1"/>
        <w:spacing w:before="0" w:after="0"/>
        <w:ind w:left="0" w:right="0" w:hanging="0"/>
        <w:rPr>
          <w:rFonts w:ascii="Arial;Helvetica;Sans-Serif" w:hAnsi="Arial;Helvetica;Sans-Serif"/>
          <w:b/>
          <w:i w:val="false"/>
          <w:caps w:val="false"/>
          <w:smallCaps w:val="false"/>
          <w:color w:val="7CBC3E"/>
          <w:sz w:val="72"/>
        </w:rPr>
      </w:pPr>
      <w:r>
        <w:rPr>
          <w:rFonts w:ascii="Arial;Helvetica;Sans-Serif" w:hAnsi="Arial;Helvetica;Sans-Serif"/>
          <w:b/>
          <w:i w:val="false"/>
          <w:caps w:val="false"/>
          <w:smallCaps w:val="false"/>
          <w:color w:val="7CBC3E"/>
          <w:sz w:val="72"/>
        </w:rPr>
        <w:t>Notice of Annual Meeting of Stockholders</w:t>
      </w:r>
    </w:p>
    <w:p>
      <w:pPr>
        <w:pStyle w:val="TextBody"/>
        <w:spacing w:before="0" w:after="0"/>
        <w:ind w:left="0" w:right="0" w:hanging="0"/>
        <w:rPr>
          <w:caps w:val="false"/>
          <w:smallCaps w:val="false"/>
          <w:color w:val="7CBC3E"/>
        </w:rPr>
      </w:pPr>
      <w:r>
        <w:rPr>
          <w:caps w:val="false"/>
          <w:smallCaps w:val="false"/>
          <w:color w:val="7CBC3E"/>
        </w:rPr>
        <w:t> </w:t>
      </w:r>
    </w:p>
    <w:tbl>
      <w:tblPr>
        <w:tblW w:w="10205" w:type="dxa"/>
        <w:jc w:val="left"/>
        <w:tblInd w:w="0" w:type="dxa"/>
        <w:tblCellMar>
          <w:top w:w="0" w:type="dxa"/>
          <w:left w:w="0" w:type="dxa"/>
          <w:bottom w:w="0" w:type="dxa"/>
          <w:right w:w="0" w:type="dxa"/>
        </w:tblCellMar>
      </w:tblPr>
      <w:tblGrid>
        <w:gridCol w:w="828"/>
        <w:gridCol w:w="60"/>
        <w:gridCol w:w="9317"/>
      </w:tblGrid>
      <w:tr>
        <w:trPr/>
        <w:tc>
          <w:tcPr>
            <w:tcW w:w="828" w:type="dxa"/>
            <w:tcBorders/>
            <w:shd w:fill="auto" w:val="clear"/>
            <w:vAlign w:val="center"/>
          </w:tcPr>
          <w:p>
            <w:pPr>
              <w:pStyle w:val="TableContents"/>
              <w:spacing w:before="0" w:after="0"/>
              <w:ind w:left="0" w:right="0" w:hanging="0"/>
              <w:rPr>
                <w:b/>
                <w:color w:val="7CBC3E"/>
                <w:sz w:val="24"/>
              </w:rPr>
            </w:pPr>
            <w:r>
              <w:rPr>
                <w:b/>
                <w:color w:val="7CBC3E"/>
                <w:sz w:val="24"/>
              </w:rPr>
              <w:t xml:space="preserve">To Be Held on </w:t>
              <w:br/>
              <w:t>June 7, 2023 at</w:t>
            </w:r>
          </w:p>
          <w:p>
            <w:pPr>
              <w:pStyle w:val="TableContents"/>
              <w:spacing w:before="0" w:after="0"/>
              <w:ind w:left="0" w:right="0" w:hanging="0"/>
              <w:rPr>
                <w:color w:val="7CBC3E"/>
              </w:rPr>
            </w:pPr>
            <w:r>
              <w:rPr>
                <w:color w:val="7CBC3E"/>
              </w:rPr>
              <w:t> </w:t>
            </w:r>
          </w:p>
          <w:p>
            <w:pPr>
              <w:pStyle w:val="TableContents"/>
              <w:spacing w:before="0" w:after="0"/>
              <w:ind w:left="0" w:right="0" w:hanging="0"/>
              <w:rPr>
                <w:b/>
                <w:sz w:val="24"/>
              </w:rPr>
            </w:pPr>
            <w:r>
              <w:rPr>
                <w:b/>
                <w:sz w:val="24"/>
              </w:rPr>
              <w:t>8:00 a.m. Pacific Time</w:t>
            </w:r>
          </w:p>
          <w:p>
            <w:pPr>
              <w:pStyle w:val="TableContents"/>
              <w:spacing w:before="0" w:after="0"/>
              <w:ind w:left="0" w:right="0" w:hanging="0"/>
              <w:rPr/>
            </w:pPr>
            <w:r>
              <w:rPr/>
              <w:t> </w:t>
            </w:r>
          </w:p>
        </w:tc>
        <w:tc>
          <w:tcPr>
            <w:tcW w:w="6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0"/>
              <w:ind w:left="0" w:right="0" w:hanging="0"/>
              <w:jc w:val="both"/>
              <w:rPr/>
            </w:pPr>
            <w:r>
              <w:rPr/>
              <w:t>Dear Stockholder:</w:t>
            </w:r>
          </w:p>
          <w:p>
            <w:pPr>
              <w:pStyle w:val="TableContents"/>
              <w:spacing w:before="0" w:after="0"/>
              <w:ind w:left="0" w:right="0" w:hanging="0"/>
              <w:jc w:val="both"/>
              <w:rPr/>
            </w:pPr>
            <w:r>
              <w:rPr/>
              <w:t> </w:t>
            </w:r>
          </w:p>
          <w:p>
            <w:pPr>
              <w:pStyle w:val="TableContents"/>
              <w:spacing w:before="0" w:after="0"/>
              <w:ind w:left="0" w:right="0" w:hanging="0"/>
              <w:jc w:val="both"/>
              <w:rPr/>
            </w:pPr>
            <w:r>
              <w:rPr/>
              <w:t xml:space="preserve">You are cordially invited to attend the Annual Meeting of Stockholders of Ultragenyx Pharmaceutical Inc., a Delaware corporation (we, us, Ultragenyx or the Company), which will be held on June 7, 2023, at 8:00 a.m. Pacific Time virtually via the Internet at </w:t>
            </w:r>
            <w:r>
              <w:rPr>
                <w:i/>
              </w:rPr>
              <w:t>www.virtualshareholdermeeting.com/RARE2023</w:t>
            </w:r>
            <w:r>
              <w:rPr/>
              <w:t xml:space="preserve"> (Annual Meeting). Instructions on how to participate in the Annual Meeting and demonstrate proof of stock ownership are included in this proxy statement (Proxy Statement). The webcast of the Annual Meeting will be archived for one year after the date of the Annual Meeting at </w:t>
            </w:r>
            <w:r>
              <w:rPr>
                <w:i/>
              </w:rPr>
              <w:t>www.virtualshareholdermeeting.com/RARE2023</w:t>
            </w:r>
            <w:r>
              <w:rPr/>
              <w:t>. Only stockholders who held stock at the close of business on the record date, April 17, 2023, may vote at the Annual Meeting or any adjournment or postponement thereof.</w:t>
            </w:r>
          </w:p>
          <w:p>
            <w:pPr>
              <w:pStyle w:val="TableContents"/>
              <w:spacing w:before="0" w:after="0"/>
              <w:ind w:left="0" w:right="0" w:hanging="0"/>
              <w:jc w:val="both"/>
              <w:rPr/>
            </w:pPr>
            <w:r>
              <w:rPr/>
              <w:t> </w:t>
            </w:r>
          </w:p>
          <w:p>
            <w:pPr>
              <w:pStyle w:val="TableContents"/>
              <w:spacing w:before="0" w:after="0"/>
              <w:ind w:left="0" w:right="0" w:hanging="0"/>
              <w:jc w:val="both"/>
              <w:rPr/>
            </w:pPr>
            <w:r>
              <w:rPr/>
              <w:t xml:space="preserve">In the event of a technical malfunction or other situation that the meeting chair determines may affect the ability of the Annual Meeting to satisfy the requirements for a meeting of stockholders to be held by means of remote communication under the Delaware General Corporation Law, or that otherwise makes it advisable to adjourn the Annual Meeting, the chair or secretary of the Annual Meeting will convene the meeting at 10:00 a.m. Pacific Time on the date specified above and at the Company’s address specified above solely for the purpose of adjourning the meeting to reconvene at a date, time and physical or virtual location announced by the meeting chair. Under either of the foregoing circumstances, we will post information regarding the announcement on the Investors page of the Company’s website at </w:t>
            </w:r>
            <w:r>
              <w:rPr>
                <w:i/>
              </w:rPr>
              <w:t>https://ir.ultragenyx.com</w:t>
            </w:r>
            <w:r>
              <w:rPr/>
              <w:t>.</w:t>
            </w:r>
          </w:p>
          <w:p>
            <w:pPr>
              <w:pStyle w:val="TableContents"/>
              <w:spacing w:before="0" w:after="0"/>
              <w:ind w:left="0" w:right="0" w:hanging="0"/>
              <w:jc w:val="both"/>
              <w:rPr/>
            </w:pPr>
            <w:r>
              <w:rPr/>
              <w:t> </w:t>
            </w:r>
          </w:p>
          <w:p>
            <w:pPr>
              <w:pStyle w:val="TableContents"/>
              <w:spacing w:before="0" w:after="0"/>
              <w:ind w:left="0" w:right="0" w:hanging="0"/>
              <w:jc w:val="both"/>
              <w:rPr/>
            </w:pPr>
            <w:r>
              <w:rPr/>
              <w:t>At the Annual Meeting, you will be asked to consider and vote upon: (1) the election of the three Class I director nominees named in the Proxy Statement; (2) approval of our 2023 Incentive Plan (2023 Plan), (3) approval of our amended and restated 2014 Employee Stock Purchase Plan (A&amp;R ESPP), (4) the ratification of the selection of Ernst &amp; Young LLP as our independent registered public accounting firm for the fiscal year ending December 31, 2023; (5) an advisory (non-binding) resolution to approve the compensation of our named executive officers; and (6) any other business that may properly come before the Annual Meeting or any adjournment or postponement thereof. No other items of business are expected to be considered, and no other director nominees will be entertained, at the Annual Meeting.</w:t>
            </w:r>
          </w:p>
          <w:p>
            <w:pPr>
              <w:pStyle w:val="TableContents"/>
              <w:spacing w:before="0" w:after="0"/>
              <w:ind w:left="0" w:right="0" w:hanging="0"/>
              <w:jc w:val="both"/>
              <w:rPr/>
            </w:pPr>
            <w:r>
              <w:rPr/>
              <w:t> </w:t>
            </w:r>
          </w:p>
          <w:p>
            <w:pPr>
              <w:pStyle w:val="TableContents"/>
              <w:spacing w:before="0" w:after="0"/>
              <w:ind w:left="0" w:right="0" w:hanging="0"/>
              <w:jc w:val="both"/>
              <w:rPr/>
            </w:pPr>
            <w:r>
              <w:rPr/>
              <w:t xml:space="preserve">The accompanying Proxy Statement more fully describes the details of the business to be conducted at the Annual Meeting. Proposal No. 1 relates solely to the election of the three directors nominated by the Board of Directors. After careful consideration, our Board of Directors has unanimously approved the proposals and recommends that you vote </w:t>
            </w:r>
            <w:r>
              <w:rPr>
                <w:b/>
              </w:rPr>
              <w:t>FOR</w:t>
            </w:r>
            <w:r>
              <w:rPr/>
              <w:t xml:space="preserve"> each of the three director nominees, and </w:t>
            </w:r>
            <w:r>
              <w:rPr>
                <w:b/>
              </w:rPr>
              <w:t>FOR</w:t>
            </w:r>
            <w:r>
              <w:rPr/>
              <w:t xml:space="preserve"> each of the other proposals described in the Proxy Statement. In accordance with our bylaws, a list of stockholders entitled to vote at the Annual Meeting will be available in electronic form during the Annual Meeting at </w:t>
            </w:r>
            <w:r>
              <w:rPr>
                <w:i/>
              </w:rPr>
              <w:t xml:space="preserve">www.virtualshareholdermeeting.com/RARE2023 </w:t>
            </w:r>
            <w:r>
              <w:rPr/>
              <w:t>and will be accessible during normal business hours for ten days prior to the meeting at our principal place of business, 60 Leveroni Court, Novato, California 94949.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pleased to make use of the U.S. Securities and Exchange Commission (SEC) rules that allow companies to furnish proxy materials to their stockholders via the Internet. We believe the ability to deliver proxy materials electronically allows us to provide our stockholders with the information they need, while lowering the costs of delivery and reducing the environmental impact from the distribution of our Annual Meeting materials.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look forward to speaking with you at the Annual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Sincerely,</w:t>
      </w:r>
    </w:p>
    <w:p>
      <w:pPr>
        <w:pStyle w:val="TextBody"/>
        <w:spacing w:before="0" w:after="0"/>
        <w:ind w:left="0" w:right="0" w:hanging="0"/>
        <w:jc w:val="right"/>
        <w:rPr>
          <w:caps w:val="false"/>
          <w:smallCaps w:val="false"/>
        </w:rPr>
      </w:pPr>
      <w:r>
        <w:rPr>
          <w:caps w:val="false"/>
          <w:smallCaps w:val="false"/>
        </w:rPr>
        <w:t> </w:t>
      </w:r>
    </w:p>
    <w:p>
      <w:pPr>
        <w:pStyle w:val="TextBody"/>
        <w:spacing w:before="0" w:after="60"/>
        <w:ind w:left="0" w:right="0" w:hanging="0"/>
        <w:jc w:val="right"/>
        <w:rPr>
          <w:caps w:val="false"/>
          <w:smallCaps w:val="false"/>
        </w:rPr>
      </w:pPr>
      <w:r>
        <w:rPr>
          <w:caps w:val="false"/>
          <w:smallCaps w:val="false"/>
        </w:rPr>
        <w:drawing>
          <wp:inline distT="0" distB="0" distL="0" distR="0">
            <wp:extent cx="1524000" cy="5048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524000" cy="504825"/>
                    </a:xfrm>
                    <a:prstGeom prst="rect">
                      <a:avLst/>
                    </a:prstGeom>
                  </pic:spPr>
                </pic:pic>
              </a:graphicData>
            </a:graphic>
          </wp:inline>
        </w:drawing>
      </w:r>
      <w:r>
        <w:rPr>
          <w:caps w:val="false"/>
          <w:smallCaps w:val="false"/>
        </w:rPr>
        <w:t> </w:t>
      </w:r>
    </w:p>
    <w:p>
      <w:pPr>
        <w:pStyle w:val="TextBody"/>
        <w:spacing w:before="0" w:after="0"/>
        <w:ind w:left="0" w:right="0" w:hanging="0"/>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Emil D. Kakkis, M.D., Ph.D.</w:t>
      </w:r>
    </w:p>
    <w:p>
      <w:pPr>
        <w:pStyle w:val="TextBody"/>
        <w:spacing w:before="0" w:after="0"/>
        <w:ind w:left="0" w:right="0" w:hanging="0"/>
        <w:jc w:val="righ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President and Chief Executive Officer</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April 24, 2023</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WHETHER OR NOT YOU EXPECT TO ATTEND THE ANNUAL MEETING, PLEASE VOTE VIA THE INTERNET AS INSTRUCTED IN THE NOTICE OF INTERNET AVAILABILITY OR, IF YOU REQUESTED AND RECEIVED A PRINTED COPY OF THE PROXY MATERIALS, COMPLETE, DATE, SIGN, AND RETURN THE ENCLOSED PROXY CARD USING THE ENCLOSED RETURN ENVELOPE OR VOTING INSTRUCTION FORM PROVIDED WITH THE PRINTED PROXY MATERIALS, AS PROMPTLY AS POSSIBLE SO THAT YOUR SHARES MAY BE REPRESENTED AT THE ANNUAL MEETING. YOU MAY ALSO VOTE AT THE VIRTUAL ANNUAL MEETING</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100" w:type="dxa"/>
          <w:left w:w="200" w:type="dxa"/>
          <w:bottom w:w="100" w:type="dxa"/>
          <w:right w:w="200" w:type="dxa"/>
        </w:tblCellMar>
      </w:tblPr>
      <w:tblGrid>
        <w:gridCol w:w="10205"/>
      </w:tblGrid>
      <w:tr>
        <w:trPr/>
        <w:tc>
          <w:tcPr>
            <w:tcW w:w="10205" w:type="dxa"/>
            <w:tcBorders>
              <w:top w:val="single" w:sz="2" w:space="0" w:color="7CBC3E"/>
              <w:left w:val="single" w:sz="2" w:space="0" w:color="7CBC3E"/>
              <w:bottom w:val="single" w:sz="2" w:space="0" w:color="7CBC3E"/>
              <w:right w:val="single" w:sz="2" w:space="0" w:color="7CBC3E"/>
            </w:tcBorders>
            <w:shd w:fill="auto" w:val="clear"/>
            <w:vAlign w:val="center"/>
          </w:tcPr>
          <w:p>
            <w:pPr>
              <w:pStyle w:val="TableContents"/>
              <w:spacing w:before="0" w:after="0"/>
              <w:ind w:left="0" w:right="0" w:hanging="0"/>
              <w:jc w:val="center"/>
              <w:rPr>
                <w:b/>
              </w:rPr>
            </w:pPr>
            <w:r>
              <w:rPr>
                <w:b/>
              </w:rPr>
              <w:t xml:space="preserve">IMPORTANT NOTICE REGARDING THE AVAILABILITY OF PROXY MATERIALS FOR THE ANNUAL MEETING OF </w:t>
              <w:br/>
              <w:t xml:space="preserve">STOCKHOLDERS TO BE HELD ON JUNE 7, 2023: </w:t>
            </w:r>
          </w:p>
          <w:p>
            <w:pPr>
              <w:pStyle w:val="TableContents"/>
              <w:spacing w:before="0" w:after="0"/>
              <w:ind w:left="0" w:right="0" w:hanging="0"/>
              <w:jc w:val="center"/>
              <w:rPr/>
            </w:pPr>
            <w:r>
              <w:rPr/>
              <w:t> </w:t>
            </w:r>
          </w:p>
          <w:p>
            <w:pPr>
              <w:pStyle w:val="TableContents"/>
              <w:spacing w:before="0" w:after="0"/>
              <w:ind w:left="0" w:right="0" w:hanging="0"/>
              <w:jc w:val="center"/>
              <w:rPr>
                <w:b/>
              </w:rPr>
            </w:pPr>
            <w:r>
              <w:rPr>
                <w:b/>
              </w:rPr>
              <w:t>The Proxy Statement and Annual Report on Form 10-K for the year ended December 31, 2022 are available at</w:t>
              <w:br/>
              <w:t>www.proxyvote.com.</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592"/>
        <w:gridCol w:w="60"/>
        <w:gridCol w:w="2045"/>
        <w:gridCol w:w="60"/>
        <w:gridCol w:w="1546"/>
        <w:gridCol w:w="60"/>
        <w:gridCol w:w="1240"/>
        <w:gridCol w:w="60"/>
        <w:gridCol w:w="2542"/>
      </w:tblGrid>
      <w:tr>
        <w:trPr/>
        <w:tc>
          <w:tcPr>
            <w:tcW w:w="2592" w:type="dxa"/>
            <w:tcBorders/>
            <w:shd w:fill="auto" w:val="clear"/>
            <w:vAlign w:val="center"/>
          </w:tcPr>
          <w:p>
            <w:pPr>
              <w:pStyle w:val="TableContents"/>
              <w:spacing w:before="0" w:after="283"/>
              <w:jc w:val="left"/>
              <w:rPr>
                <w:b/>
                <w:color w:val="7CBC3E"/>
                <w:sz w:val="18"/>
              </w:rPr>
            </w:pPr>
            <w:r>
              <w:rPr>
                <w:b/>
                <w:color w:val="7CBC3E"/>
                <w:sz w:val="18"/>
              </w:rPr>
              <w:t>VOTING METHODS</w:t>
            </w:r>
          </w:p>
        </w:tc>
        <w:tc>
          <w:tcPr>
            <w:tcW w:w="60" w:type="dxa"/>
            <w:tcBorders/>
            <w:shd w:fill="auto" w:val="clear"/>
            <w:vAlign w:val="center"/>
          </w:tcPr>
          <w:p>
            <w:pPr>
              <w:pStyle w:val="TableContents"/>
              <w:spacing w:before="0" w:after="283"/>
              <w:jc w:val="center"/>
              <w:rPr/>
            </w:pPr>
            <w:r>
              <w:rPr/>
              <w:t> </w:t>
            </w:r>
          </w:p>
        </w:tc>
        <w:tc>
          <w:tcPr>
            <w:tcW w:w="2045" w:type="dxa"/>
            <w:tcBorders/>
            <w:shd w:fill="auto" w:val="clear"/>
            <w:vAlign w:val="center"/>
          </w:tcPr>
          <w:p>
            <w:pPr>
              <w:pStyle w:val="TableContents"/>
              <w:spacing w:before="0" w:after="283"/>
              <w:jc w:val="center"/>
              <w:rPr/>
            </w:pPr>
            <w:r>
              <w:rPr/>
              <w:drawing>
                <wp:inline distT="0" distB="0" distL="0" distR="0">
                  <wp:extent cx="571500" cy="571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1500" cy="571500"/>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1546" w:type="dxa"/>
            <w:tcBorders/>
            <w:shd w:fill="auto" w:val="clear"/>
            <w:vAlign w:val="center"/>
          </w:tcPr>
          <w:p>
            <w:pPr>
              <w:pStyle w:val="TableContents"/>
              <w:spacing w:before="0" w:after="283"/>
              <w:jc w:val="center"/>
              <w:rPr/>
            </w:pPr>
            <w:r>
              <w:rPr/>
              <w:drawing>
                <wp:inline distT="0" distB="0" distL="0" distR="0">
                  <wp:extent cx="571500" cy="571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1500" cy="571500"/>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1240" w:type="dxa"/>
            <w:tcBorders/>
            <w:shd w:fill="auto" w:val="clear"/>
            <w:vAlign w:val="center"/>
          </w:tcPr>
          <w:p>
            <w:pPr>
              <w:pStyle w:val="TableContents"/>
              <w:spacing w:before="0" w:after="283"/>
              <w:jc w:val="center"/>
              <w:rPr/>
            </w:pPr>
            <w:r>
              <w:rPr/>
              <w:drawing>
                <wp:inline distT="0" distB="0" distL="0" distR="0">
                  <wp:extent cx="571500" cy="571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1500" cy="571500"/>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2542" w:type="dxa"/>
            <w:tcBorders/>
            <w:shd w:fill="auto" w:val="clear"/>
            <w:vAlign w:val="center"/>
          </w:tcPr>
          <w:p>
            <w:pPr>
              <w:pStyle w:val="TableContents"/>
              <w:spacing w:before="0" w:after="283"/>
              <w:jc w:val="center"/>
              <w:rPr/>
            </w:pPr>
            <w:r>
              <w:rPr/>
              <w:drawing>
                <wp:inline distT="0" distB="0" distL="0" distR="0">
                  <wp:extent cx="571500" cy="571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1500" cy="571500"/>
                          </a:xfrm>
                          <a:prstGeom prst="rect">
                            <a:avLst/>
                          </a:prstGeom>
                        </pic:spPr>
                      </pic:pic>
                    </a:graphicData>
                  </a:graphic>
                </wp:inline>
              </w:drawing>
            </w:r>
          </w:p>
        </w:tc>
      </w:tr>
      <w:tr>
        <w:trPr/>
        <w:tc>
          <w:tcPr>
            <w:tcW w:w="2592" w:type="dxa"/>
            <w:tcBorders/>
            <w:shd w:fill="auto" w:val="clear"/>
            <w:vAlign w:val="center"/>
          </w:tcPr>
          <w:p>
            <w:pPr>
              <w:pStyle w:val="TableContents"/>
              <w:spacing w:before="0" w:after="283"/>
              <w:jc w:val="left"/>
              <w:rPr>
                <w:b/>
              </w:rPr>
            </w:pPr>
            <w:r>
              <w:rPr>
                <w:b/>
              </w:rPr>
              <w:t>If you are an owner of record as of the record date,</w:t>
              <w:br/>
              <w:t>you may vote via any of the following methods:</w:t>
            </w:r>
          </w:p>
        </w:tc>
        <w:tc>
          <w:tcPr>
            <w:tcW w:w="60" w:type="dxa"/>
            <w:tcBorders/>
            <w:shd w:fill="auto" w:val="clear"/>
            <w:vAlign w:val="center"/>
          </w:tcPr>
          <w:p>
            <w:pPr>
              <w:pStyle w:val="TableContents"/>
              <w:spacing w:before="0" w:after="283"/>
              <w:jc w:val="center"/>
              <w:rPr/>
            </w:pPr>
            <w:r>
              <w:rPr/>
              <w:t> </w:t>
            </w:r>
          </w:p>
        </w:tc>
        <w:tc>
          <w:tcPr>
            <w:tcW w:w="2045" w:type="dxa"/>
            <w:tcBorders/>
            <w:shd w:fill="auto" w:val="clear"/>
            <w:vAlign w:val="center"/>
          </w:tcPr>
          <w:p>
            <w:pPr>
              <w:pStyle w:val="TableContents"/>
              <w:spacing w:before="0" w:after="283"/>
              <w:jc w:val="center"/>
              <w:rPr/>
            </w:pPr>
            <w:r>
              <w:rPr>
                <w:b/>
              </w:rPr>
              <w:t>INTERNET</w:t>
            </w:r>
            <w:r>
              <w:rPr/>
              <w:br/>
              <w:t>Visit the website at:</w:t>
              <w:br/>
              <w:t>www.proxyvote.com</w:t>
            </w:r>
          </w:p>
        </w:tc>
        <w:tc>
          <w:tcPr>
            <w:tcW w:w="60" w:type="dxa"/>
            <w:tcBorders/>
            <w:shd w:fill="auto" w:val="clear"/>
            <w:vAlign w:val="center"/>
          </w:tcPr>
          <w:p>
            <w:pPr>
              <w:pStyle w:val="TableContents"/>
              <w:spacing w:before="0" w:after="283"/>
              <w:jc w:val="center"/>
              <w:rPr/>
            </w:pPr>
            <w:r>
              <w:rPr/>
              <w:t> </w:t>
            </w:r>
          </w:p>
        </w:tc>
        <w:tc>
          <w:tcPr>
            <w:tcW w:w="1546" w:type="dxa"/>
            <w:tcBorders/>
            <w:shd w:fill="auto" w:val="clear"/>
            <w:vAlign w:val="center"/>
          </w:tcPr>
          <w:p>
            <w:pPr>
              <w:pStyle w:val="TableContents"/>
              <w:spacing w:before="0" w:after="283"/>
              <w:jc w:val="center"/>
              <w:rPr/>
            </w:pPr>
            <w:r>
              <w:rPr>
                <w:b/>
              </w:rPr>
              <w:t>TELEPHONE</w:t>
            </w:r>
            <w:r>
              <w:rPr/>
              <w:br/>
              <w:t>Call toll-free at</w:t>
              <w:br/>
              <w:t>1-800-690-6903</w:t>
            </w:r>
          </w:p>
        </w:tc>
        <w:tc>
          <w:tcPr>
            <w:tcW w:w="60" w:type="dxa"/>
            <w:tcBorders/>
            <w:shd w:fill="auto" w:val="clear"/>
            <w:vAlign w:val="center"/>
          </w:tcPr>
          <w:p>
            <w:pPr>
              <w:pStyle w:val="TableContents"/>
              <w:spacing w:before="0" w:after="283"/>
              <w:jc w:val="center"/>
              <w:rPr/>
            </w:pPr>
            <w:r>
              <w:rPr/>
              <w:t> </w:t>
            </w:r>
          </w:p>
        </w:tc>
        <w:tc>
          <w:tcPr>
            <w:tcW w:w="1240" w:type="dxa"/>
            <w:tcBorders/>
            <w:shd w:fill="auto" w:val="clear"/>
            <w:vAlign w:val="center"/>
          </w:tcPr>
          <w:p>
            <w:pPr>
              <w:pStyle w:val="TableContents"/>
              <w:spacing w:before="0" w:after="283"/>
              <w:jc w:val="center"/>
              <w:rPr/>
            </w:pPr>
            <w:r>
              <w:rPr>
                <w:b/>
              </w:rPr>
              <w:t>MAIL</w:t>
            </w:r>
            <w:r>
              <w:rPr/>
              <w:br/>
              <w:t>If you requested</w:t>
              <w:br/>
              <w:t>and received a</w:t>
              <w:br/>
              <w:t>proxy card, sign,</w:t>
              <w:br/>
              <w:t>date and mail the</w:t>
              <w:br/>
              <w:t>proxy card in the</w:t>
              <w:br/>
              <w:t>enclosed envelope</w:t>
            </w:r>
          </w:p>
        </w:tc>
        <w:tc>
          <w:tcPr>
            <w:tcW w:w="60" w:type="dxa"/>
            <w:tcBorders/>
            <w:shd w:fill="auto" w:val="clear"/>
            <w:vAlign w:val="center"/>
          </w:tcPr>
          <w:p>
            <w:pPr>
              <w:pStyle w:val="TableContents"/>
              <w:spacing w:before="0" w:after="283"/>
              <w:jc w:val="center"/>
              <w:rPr/>
            </w:pPr>
            <w:r>
              <w:rPr/>
              <w:t> </w:t>
            </w:r>
          </w:p>
        </w:tc>
        <w:tc>
          <w:tcPr>
            <w:tcW w:w="2542" w:type="dxa"/>
            <w:tcBorders/>
            <w:shd w:fill="auto" w:val="clear"/>
            <w:vAlign w:val="center"/>
          </w:tcPr>
          <w:p>
            <w:pPr>
              <w:pStyle w:val="TableContents"/>
              <w:spacing w:before="0" w:after="283"/>
              <w:jc w:val="center"/>
              <w:rPr/>
            </w:pPr>
            <w:r>
              <w:rPr>
                <w:b/>
              </w:rPr>
              <w:t>AT THE MEETING:</w:t>
            </w:r>
            <w:r>
              <w:rPr/>
              <w:br/>
              <w:t>Vote at the meeting by</w:t>
              <w:br/>
              <w:t>going to:</w:t>
              <w:br/>
              <w:t>www.</w:t>
              <w:br/>
              <w:t>virtualshareholdermeeting.</w:t>
              <w:br/>
              <w:t>com/RARE2023</w:t>
            </w:r>
          </w:p>
        </w:tc>
      </w:tr>
      <w:tr>
        <w:trPr/>
        <w:tc>
          <w:tcPr>
            <w:tcW w:w="2592"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jc w:val="center"/>
              <w:rPr/>
            </w:pPr>
            <w:r>
              <w:rPr/>
              <w:t> </w:t>
            </w:r>
          </w:p>
        </w:tc>
        <w:tc>
          <w:tcPr>
            <w:tcW w:w="20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546"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542" w:type="dxa"/>
            <w:tcBorders/>
            <w:shd w:fill="auto" w:val="clear"/>
            <w:vAlign w:val="center"/>
          </w:tcPr>
          <w:p>
            <w:pPr>
              <w:pStyle w:val="TableContents"/>
              <w:spacing w:before="0" w:after="283"/>
              <w:jc w:val="center"/>
              <w:rPr/>
            </w:pPr>
            <w:r>
              <w:rPr/>
              <w:t> </w:t>
            </w:r>
          </w:p>
        </w:tc>
      </w:tr>
    </w:tbl>
    <w:p>
      <w:pPr>
        <w:pStyle w:val="TextBody"/>
        <w:spacing w:before="0" w:after="0"/>
        <w:jc w:val="left"/>
        <w:rPr>
          <w:rFonts w:ascii="Arial;Helvetica;Sans-Serif" w:hAnsi="Arial;Helvetica;Sans-Serif"/>
          <w:b/>
          <w:i w:val="false"/>
          <w:caps w:val="false"/>
          <w:smallCaps w:val="false"/>
          <w:sz w:val="16"/>
          <w:bdr w:val="single" w:sz="2" w:space="5" w:color="7CBC3E"/>
        </w:rPr>
      </w:pPr>
      <w:r>
        <w:rPr>
          <w:rFonts w:ascii="Arial;Helvetica;Sans-Serif" w:hAnsi="Arial;Helvetica;Sans-Serif"/>
          <w:b/>
          <w:i w:val="false"/>
          <w:caps w:val="false"/>
          <w:smallCaps w:val="false"/>
          <w:sz w:val="16"/>
          <w:bdr w:val="single" w:sz="2" w:space="5" w:color="7CBC3E"/>
        </w:rPr>
        <w:t>If you are a beneficial owner of shares held through a broker, bank or other owner of record, you must follow the voting instructions you receive from the owner of record to vote your shares.</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rFonts w:ascii="Arial;Helvetica;Sans-Serif" w:hAnsi="Arial;Helvetica;Sans-Serif"/>
          <w:b/>
          <w:i w:val="false"/>
          <w:caps w:val="false"/>
          <w:smallCaps w:val="false"/>
          <w:sz w:val="28"/>
          <w:highlight w:val="green"/>
        </w:rPr>
      </w:pPr>
      <w:bookmarkStart w:id="2" w:name="toc"/>
      <w:bookmarkEnd w:id="2"/>
      <w:r>
        <w:rPr>
          <w:rFonts w:ascii="Arial;Helvetica;Sans-Serif" w:hAnsi="Arial;Helvetica;Sans-Serif"/>
          <w:b/>
          <w:i w:val="false"/>
          <w:caps w:val="false"/>
          <w:smallCaps w:val="false"/>
          <w:sz w:val="28"/>
          <w:highlight w:val="green"/>
        </w:rPr>
        <w:t>Table of Contents</w:t>
      </w:r>
    </w:p>
    <w:p>
      <w:pPr>
        <w:pStyle w:val="TextBody"/>
        <w:spacing w:before="0" w:after="0"/>
        <w:ind w:left="0" w:right="0" w:hanging="0"/>
        <w:rPr>
          <w:caps w:val="false"/>
          <w:smallCaps w:val="false"/>
          <w:highlight w:val="green"/>
        </w:rPr>
      </w:pPr>
      <w:r>
        <w:rPr>
          <w:caps w:val="false"/>
          <w:smallCaps w:val="false"/>
          <w:highlight w:val="green"/>
        </w:rPr>
        <w:t> </w:t>
      </w:r>
    </w:p>
    <w:tbl>
      <w:tblPr>
        <w:tblW w:w="10205" w:type="dxa"/>
        <w:jc w:val="left"/>
        <w:tblInd w:w="0" w:type="dxa"/>
        <w:tblCellMar>
          <w:top w:w="0" w:type="dxa"/>
          <w:left w:w="0" w:type="dxa"/>
          <w:bottom w:w="0" w:type="dxa"/>
          <w:right w:w="0" w:type="dxa"/>
        </w:tblCellMar>
      </w:tblPr>
      <w:tblGrid>
        <w:gridCol w:w="9960"/>
        <w:gridCol w:w="245"/>
      </w:tblGrid>
      <w:tr>
        <w:trPr/>
        <w:tc>
          <w:tcPr>
            <w:tcW w:w="9960" w:type="dxa"/>
            <w:tcBorders/>
            <w:shd w:fill="auto" w:val="clear"/>
            <w:vAlign w:val="center"/>
          </w:tcPr>
          <w:p>
            <w:pPr>
              <w:pStyle w:val="TableContents"/>
              <w:spacing w:before="0" w:after="283"/>
              <w:rPr/>
            </w:pPr>
            <w:hyperlink w:anchor="lrarea001">
              <w:r>
                <w:rPr>
                  <w:rStyle w:val="InternetLink"/>
                  <w:rFonts w:ascii="Arial;Helvetica;Sans-Serif" w:hAnsi="Arial;Helvetica;Sans-Serif"/>
                  <w:b/>
                  <w:i w:val="false"/>
                  <w:caps w:val="false"/>
                  <w:smallCaps w:val="false"/>
                  <w:strike w:val="false"/>
                  <w:dstrike w:val="false"/>
                  <w:color w:val="7CBC3E"/>
                  <w:sz w:val="20"/>
                  <w:u w:val="none"/>
                  <w:effect w:val="none"/>
                </w:rPr>
                <w:t>Proxy Statement Overview</w:t>
              </w:r>
            </w:hyperlink>
          </w:p>
        </w:tc>
        <w:tc>
          <w:tcPr>
            <w:tcW w:w="245" w:type="dxa"/>
            <w:tcBorders/>
            <w:shd w:fill="auto" w:val="clear"/>
            <w:vAlign w:val="center"/>
          </w:tcPr>
          <w:p>
            <w:pPr>
              <w:pStyle w:val="TableContents"/>
              <w:spacing w:before="0" w:after="283"/>
              <w:jc w:val="right"/>
              <w:rPr/>
            </w:pPr>
            <w:hyperlink w:anchor="lrarea001">
              <w:r>
                <w:rPr>
                  <w:rStyle w:val="InternetLink"/>
                  <w:rFonts w:ascii="Arial;Helvetica;Sans-Serif" w:hAnsi="Arial;Helvetica;Sans-Serif"/>
                  <w:b/>
                  <w:i w:val="false"/>
                  <w:caps w:val="false"/>
                  <w:smallCaps w:val="false"/>
                  <w:strike w:val="false"/>
                  <w:dstrike w:val="false"/>
                  <w:color w:val="7CBC3E"/>
                  <w:sz w:val="20"/>
                  <w:u w:val="none"/>
                  <w:effect w:val="none"/>
                </w:rPr>
                <w:t>5</w:t>
              </w:r>
            </w:hyperlink>
          </w:p>
        </w:tc>
      </w:tr>
      <w:tr>
        <w:trPr/>
        <w:tc>
          <w:tcPr>
            <w:tcW w:w="9960" w:type="dxa"/>
            <w:tcBorders/>
            <w:shd w:fill="auto" w:val="clear"/>
            <w:vAlign w:val="center"/>
          </w:tcPr>
          <w:p>
            <w:pPr>
              <w:pStyle w:val="TableContents"/>
              <w:spacing w:before="0" w:after="283"/>
              <w:rPr/>
            </w:pPr>
            <w:hyperlink w:anchor="lrarea002">
              <w:r>
                <w:rPr>
                  <w:rStyle w:val="InternetLink"/>
                  <w:rFonts w:ascii="Arial;Helvetica;Sans-Serif" w:hAnsi="Arial;Helvetica;Sans-Serif"/>
                  <w:b w:val="false"/>
                  <w:i w:val="false"/>
                  <w:caps w:val="false"/>
                  <w:smallCaps w:val="false"/>
                  <w:strike w:val="false"/>
                  <w:dstrike w:val="false"/>
                  <w:color w:val="000000"/>
                  <w:sz w:val="18"/>
                  <w:u w:val="none"/>
                  <w:effect w:val="none"/>
                </w:rPr>
                <w:t>Meeting and Voting Information</w:t>
              </w:r>
            </w:hyperlink>
          </w:p>
        </w:tc>
        <w:tc>
          <w:tcPr>
            <w:tcW w:w="245" w:type="dxa"/>
            <w:tcBorders/>
            <w:shd w:fill="auto" w:val="clear"/>
            <w:vAlign w:val="center"/>
          </w:tcPr>
          <w:p>
            <w:pPr>
              <w:pStyle w:val="TableContents"/>
              <w:spacing w:before="0" w:after="283"/>
              <w:jc w:val="right"/>
              <w:rPr/>
            </w:pPr>
            <w:hyperlink w:anchor="lrarea002">
              <w:r>
                <w:rPr>
                  <w:rStyle w:val="InternetLink"/>
                  <w:rFonts w:ascii="Arial;Helvetica;Sans-Serif" w:hAnsi="Arial;Helvetica;Sans-Serif"/>
                  <w:b w:val="false"/>
                  <w:i w:val="false"/>
                  <w:caps w:val="false"/>
                  <w:smallCaps w:val="false"/>
                  <w:strike w:val="false"/>
                  <w:dstrike w:val="false"/>
                  <w:color w:val="000000"/>
                  <w:sz w:val="18"/>
                  <w:u w:val="none"/>
                  <w:effect w:val="none"/>
                </w:rPr>
                <w:t>5</w:t>
              </w:r>
            </w:hyperlink>
          </w:p>
        </w:tc>
      </w:tr>
      <w:tr>
        <w:trPr/>
        <w:tc>
          <w:tcPr>
            <w:tcW w:w="9960" w:type="dxa"/>
            <w:tcBorders/>
            <w:shd w:fill="auto" w:val="clear"/>
            <w:vAlign w:val="center"/>
          </w:tcPr>
          <w:p>
            <w:pPr>
              <w:pStyle w:val="TableContents"/>
              <w:spacing w:before="0" w:after="283"/>
              <w:rPr/>
            </w:pPr>
            <w:hyperlink w:anchor="lrarea003">
              <w:r>
                <w:rPr>
                  <w:rStyle w:val="InternetLink"/>
                  <w:rFonts w:ascii="Arial;Helvetica;Sans-Serif" w:hAnsi="Arial;Helvetica;Sans-Serif"/>
                  <w:b w:val="false"/>
                  <w:i w:val="false"/>
                  <w:caps w:val="false"/>
                  <w:smallCaps w:val="false"/>
                  <w:strike w:val="false"/>
                  <w:dstrike w:val="false"/>
                  <w:color w:val="000000"/>
                  <w:sz w:val="18"/>
                  <w:u w:val="none"/>
                  <w:effect w:val="none"/>
                </w:rPr>
                <w:t>Business Highlights</w:t>
              </w:r>
            </w:hyperlink>
          </w:p>
        </w:tc>
        <w:tc>
          <w:tcPr>
            <w:tcW w:w="245" w:type="dxa"/>
            <w:tcBorders/>
            <w:shd w:fill="auto" w:val="clear"/>
            <w:vAlign w:val="center"/>
          </w:tcPr>
          <w:p>
            <w:pPr>
              <w:pStyle w:val="TableContents"/>
              <w:spacing w:before="0" w:after="283"/>
              <w:jc w:val="right"/>
              <w:rPr/>
            </w:pPr>
            <w:hyperlink w:anchor="lrarea003">
              <w:r>
                <w:rPr>
                  <w:rStyle w:val="InternetLink"/>
                  <w:rFonts w:ascii="Arial;Helvetica;Sans-Serif" w:hAnsi="Arial;Helvetica;Sans-Serif"/>
                  <w:b w:val="false"/>
                  <w:i w:val="false"/>
                  <w:caps w:val="false"/>
                  <w:smallCaps w:val="false"/>
                  <w:strike w:val="false"/>
                  <w:dstrike w:val="false"/>
                  <w:color w:val="000000"/>
                  <w:sz w:val="18"/>
                  <w:u w:val="none"/>
                  <w:effect w:val="none"/>
                </w:rPr>
                <w:t>5</w:t>
              </w:r>
            </w:hyperlink>
          </w:p>
        </w:tc>
      </w:tr>
      <w:tr>
        <w:trPr/>
        <w:tc>
          <w:tcPr>
            <w:tcW w:w="9960" w:type="dxa"/>
            <w:tcBorders/>
            <w:shd w:fill="auto" w:val="clear"/>
            <w:vAlign w:val="center"/>
          </w:tcPr>
          <w:p>
            <w:pPr>
              <w:pStyle w:val="TableContents"/>
              <w:spacing w:before="0" w:after="283"/>
              <w:rPr/>
            </w:pPr>
            <w:hyperlink w:anchor="lrarea004">
              <w:r>
                <w:rPr>
                  <w:rStyle w:val="InternetLink"/>
                  <w:rFonts w:ascii="Arial;Helvetica;Sans-Serif" w:hAnsi="Arial;Helvetica;Sans-Serif"/>
                  <w:b w:val="false"/>
                  <w:i w:val="false"/>
                  <w:caps w:val="false"/>
                  <w:smallCaps w:val="false"/>
                  <w:strike w:val="false"/>
                  <w:dstrike w:val="false"/>
                  <w:color w:val="000000"/>
                  <w:sz w:val="18"/>
                  <w:u w:val="none"/>
                  <w:effect w:val="none"/>
                </w:rPr>
                <w:t>Board of Directors</w:t>
              </w:r>
            </w:hyperlink>
          </w:p>
        </w:tc>
        <w:tc>
          <w:tcPr>
            <w:tcW w:w="245" w:type="dxa"/>
            <w:tcBorders/>
            <w:shd w:fill="auto" w:val="clear"/>
            <w:vAlign w:val="center"/>
          </w:tcPr>
          <w:p>
            <w:pPr>
              <w:pStyle w:val="TableContents"/>
              <w:spacing w:before="0" w:after="283"/>
              <w:jc w:val="right"/>
              <w:rPr/>
            </w:pPr>
            <w:hyperlink w:anchor="lrarea004">
              <w:r>
                <w:rPr>
                  <w:rStyle w:val="InternetLink"/>
                  <w:rFonts w:ascii="Arial;Helvetica;Sans-Serif" w:hAnsi="Arial;Helvetica;Sans-Serif"/>
                  <w:b w:val="false"/>
                  <w:i w:val="false"/>
                  <w:caps w:val="false"/>
                  <w:smallCaps w:val="false"/>
                  <w:strike w:val="false"/>
                  <w:dstrike w:val="false"/>
                  <w:color w:val="000000"/>
                  <w:sz w:val="18"/>
                  <w:u w:val="none"/>
                  <w:effect w:val="none"/>
                </w:rPr>
                <w:t>6</w:t>
              </w:r>
            </w:hyperlink>
          </w:p>
        </w:tc>
      </w:tr>
      <w:tr>
        <w:trPr/>
        <w:tc>
          <w:tcPr>
            <w:tcW w:w="9960" w:type="dxa"/>
            <w:tcBorders/>
            <w:shd w:fill="auto" w:val="clear"/>
            <w:vAlign w:val="center"/>
          </w:tcPr>
          <w:p>
            <w:pPr>
              <w:pStyle w:val="TableContents"/>
              <w:spacing w:before="0" w:after="283"/>
              <w:rPr/>
            </w:pPr>
            <w:hyperlink w:anchor="lrarea005">
              <w:r>
                <w:rPr>
                  <w:rStyle w:val="InternetLink"/>
                  <w:rFonts w:ascii="Arial;Helvetica;Sans-Serif" w:hAnsi="Arial;Helvetica;Sans-Serif"/>
                  <w:b w:val="false"/>
                  <w:i w:val="false"/>
                  <w:caps w:val="false"/>
                  <w:smallCaps w:val="false"/>
                  <w:strike w:val="false"/>
                  <w:dstrike w:val="false"/>
                  <w:color w:val="000000"/>
                  <w:sz w:val="18"/>
                  <w:u w:val="none"/>
                  <w:effect w:val="none"/>
                </w:rPr>
                <w:t>Board Diversity, Skills and Experience</w:t>
              </w:r>
            </w:hyperlink>
          </w:p>
        </w:tc>
        <w:tc>
          <w:tcPr>
            <w:tcW w:w="245" w:type="dxa"/>
            <w:tcBorders/>
            <w:shd w:fill="auto" w:val="clear"/>
            <w:vAlign w:val="center"/>
          </w:tcPr>
          <w:p>
            <w:pPr>
              <w:pStyle w:val="TableContents"/>
              <w:spacing w:before="0" w:after="283"/>
              <w:jc w:val="right"/>
              <w:rPr/>
            </w:pPr>
            <w:hyperlink w:anchor="lrarea005">
              <w:r>
                <w:rPr>
                  <w:rStyle w:val="InternetLink"/>
                  <w:rFonts w:ascii="Arial;Helvetica;Sans-Serif" w:hAnsi="Arial;Helvetica;Sans-Serif"/>
                  <w:b w:val="false"/>
                  <w:i w:val="false"/>
                  <w:caps w:val="false"/>
                  <w:smallCaps w:val="false"/>
                  <w:strike w:val="false"/>
                  <w:dstrike w:val="false"/>
                  <w:color w:val="000000"/>
                  <w:sz w:val="18"/>
                  <w:u w:val="none"/>
                  <w:effect w:val="none"/>
                </w:rPr>
                <w:t>8</w:t>
              </w:r>
            </w:hyperlink>
          </w:p>
        </w:tc>
      </w:tr>
      <w:tr>
        <w:trPr/>
        <w:tc>
          <w:tcPr>
            <w:tcW w:w="9960" w:type="dxa"/>
            <w:tcBorders/>
            <w:shd w:fill="auto" w:val="clear"/>
            <w:vAlign w:val="center"/>
          </w:tcPr>
          <w:p>
            <w:pPr>
              <w:pStyle w:val="TableContents"/>
              <w:spacing w:before="0" w:after="283"/>
              <w:rPr/>
            </w:pPr>
            <w:hyperlink w:anchor="lrarea006">
              <w:r>
                <w:rPr>
                  <w:rStyle w:val="InternetLink"/>
                  <w:rFonts w:ascii="Arial;Helvetica;Sans-Serif" w:hAnsi="Arial;Helvetica;Sans-Serif"/>
                  <w:b w:val="false"/>
                  <w:i w:val="false"/>
                  <w:caps w:val="false"/>
                  <w:smallCaps w:val="false"/>
                  <w:strike w:val="false"/>
                  <w:dstrike w:val="false"/>
                  <w:color w:val="000000"/>
                  <w:sz w:val="18"/>
                  <w:u w:val="none"/>
                  <w:effect w:val="none"/>
                </w:rPr>
                <w:t>Corporate Governance Overview</w:t>
              </w:r>
            </w:hyperlink>
          </w:p>
        </w:tc>
        <w:tc>
          <w:tcPr>
            <w:tcW w:w="245" w:type="dxa"/>
            <w:tcBorders/>
            <w:shd w:fill="auto" w:val="clear"/>
            <w:vAlign w:val="center"/>
          </w:tcPr>
          <w:p>
            <w:pPr>
              <w:pStyle w:val="TableContents"/>
              <w:spacing w:before="0" w:after="283"/>
              <w:jc w:val="right"/>
              <w:rPr/>
            </w:pPr>
            <w:hyperlink w:anchor="lrarea006">
              <w:r>
                <w:rPr>
                  <w:rStyle w:val="InternetLink"/>
                  <w:rFonts w:ascii="Arial;Helvetica;Sans-Serif" w:hAnsi="Arial;Helvetica;Sans-Serif"/>
                  <w:b w:val="false"/>
                  <w:i w:val="false"/>
                  <w:caps w:val="false"/>
                  <w:smallCaps w:val="false"/>
                  <w:strike w:val="false"/>
                  <w:dstrike w:val="false"/>
                  <w:color w:val="000000"/>
                  <w:sz w:val="18"/>
                  <w:u w:val="none"/>
                  <w:effect w:val="none"/>
                </w:rPr>
                <w:t>9</w:t>
              </w:r>
            </w:hyperlink>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lrarea007">
              <w:r>
                <w:rPr>
                  <w:rStyle w:val="InternetLink"/>
                  <w:rFonts w:ascii="Arial;Helvetica;Sans-Serif" w:hAnsi="Arial;Helvetica;Sans-Serif"/>
                  <w:b/>
                  <w:i w:val="false"/>
                  <w:caps w:val="false"/>
                  <w:smallCaps w:val="false"/>
                  <w:strike w:val="false"/>
                  <w:dstrike w:val="false"/>
                  <w:color w:val="7CBC3E"/>
                  <w:sz w:val="20"/>
                  <w:u w:val="none"/>
                  <w:effect w:val="none"/>
                </w:rPr>
                <w:t>Proposal 1 – Election of Class I Directors</w:t>
              </w:r>
            </w:hyperlink>
          </w:p>
        </w:tc>
        <w:tc>
          <w:tcPr>
            <w:tcW w:w="245" w:type="dxa"/>
            <w:tcBorders/>
            <w:shd w:fill="auto" w:val="clear"/>
            <w:vAlign w:val="center"/>
          </w:tcPr>
          <w:p>
            <w:pPr>
              <w:pStyle w:val="TableContents"/>
              <w:spacing w:before="0" w:after="283"/>
              <w:jc w:val="right"/>
              <w:rPr/>
            </w:pPr>
            <w:hyperlink w:anchor="lrarea007">
              <w:r>
                <w:rPr>
                  <w:rStyle w:val="InternetLink"/>
                  <w:rFonts w:ascii="Arial;Helvetica;Sans-Serif" w:hAnsi="Arial;Helvetica;Sans-Serif"/>
                  <w:b/>
                  <w:i w:val="false"/>
                  <w:caps w:val="false"/>
                  <w:smallCaps w:val="false"/>
                  <w:strike w:val="false"/>
                  <w:dstrike w:val="false"/>
                  <w:color w:val="7CBC3E"/>
                  <w:sz w:val="20"/>
                  <w:u w:val="none"/>
                  <w:effect w:val="none"/>
                </w:rPr>
                <w:t>10</w:t>
              </w:r>
            </w:hyperlink>
          </w:p>
        </w:tc>
      </w:tr>
      <w:tr>
        <w:trPr/>
        <w:tc>
          <w:tcPr>
            <w:tcW w:w="9960" w:type="dxa"/>
            <w:tcBorders/>
            <w:shd w:fill="auto" w:val="clear"/>
            <w:vAlign w:val="center"/>
          </w:tcPr>
          <w:p>
            <w:pPr>
              <w:pStyle w:val="TableContents"/>
              <w:spacing w:before="0" w:after="283"/>
              <w:rPr/>
            </w:pPr>
            <w:hyperlink w:anchor="lrarea008">
              <w:r>
                <w:rPr>
                  <w:rStyle w:val="InternetLink"/>
                  <w:rFonts w:ascii="Arial;Helvetica;Sans-Serif" w:hAnsi="Arial;Helvetica;Sans-Serif"/>
                  <w:b w:val="false"/>
                  <w:i w:val="false"/>
                  <w:caps w:val="false"/>
                  <w:smallCaps w:val="false"/>
                  <w:strike w:val="false"/>
                  <w:dstrike w:val="false"/>
                  <w:color w:val="000000"/>
                  <w:sz w:val="18"/>
                  <w:u w:val="none"/>
                  <w:effect w:val="none"/>
                </w:rPr>
                <w:t>Nomination of Directors</w:t>
              </w:r>
            </w:hyperlink>
          </w:p>
        </w:tc>
        <w:tc>
          <w:tcPr>
            <w:tcW w:w="245" w:type="dxa"/>
            <w:tcBorders/>
            <w:shd w:fill="auto" w:val="clear"/>
            <w:vAlign w:val="center"/>
          </w:tcPr>
          <w:p>
            <w:pPr>
              <w:pStyle w:val="TableContents"/>
              <w:spacing w:before="0" w:after="283"/>
              <w:jc w:val="right"/>
              <w:rPr/>
            </w:pPr>
            <w:hyperlink w:anchor="lrarea008">
              <w:r>
                <w:rPr>
                  <w:rStyle w:val="InternetLink"/>
                  <w:rFonts w:ascii="Arial;Helvetica;Sans-Serif" w:hAnsi="Arial;Helvetica;Sans-Serif"/>
                  <w:b w:val="false"/>
                  <w:i w:val="false"/>
                  <w:caps w:val="false"/>
                  <w:smallCaps w:val="false"/>
                  <w:strike w:val="false"/>
                  <w:dstrike w:val="false"/>
                  <w:color w:val="000000"/>
                  <w:sz w:val="18"/>
                  <w:u w:val="none"/>
                  <w:effect w:val="none"/>
                </w:rPr>
                <w:t>10</w:t>
              </w:r>
            </w:hyperlink>
          </w:p>
        </w:tc>
      </w:tr>
      <w:tr>
        <w:trPr/>
        <w:tc>
          <w:tcPr>
            <w:tcW w:w="9960" w:type="dxa"/>
            <w:tcBorders/>
            <w:shd w:fill="auto" w:val="clear"/>
            <w:vAlign w:val="center"/>
          </w:tcPr>
          <w:p>
            <w:pPr>
              <w:pStyle w:val="TableContents"/>
              <w:spacing w:before="0" w:after="283"/>
              <w:rPr/>
            </w:pPr>
            <w:hyperlink w:anchor="lrarea009">
              <w:r>
                <w:rPr>
                  <w:rStyle w:val="InternetLink"/>
                  <w:rFonts w:ascii="Arial;Helvetica;Sans-Serif" w:hAnsi="Arial;Helvetica;Sans-Serif"/>
                  <w:b w:val="false"/>
                  <w:i w:val="false"/>
                  <w:caps w:val="false"/>
                  <w:smallCaps w:val="false"/>
                  <w:strike w:val="false"/>
                  <w:dstrike w:val="false"/>
                  <w:color w:val="000000"/>
                  <w:sz w:val="18"/>
                  <w:u w:val="none"/>
                  <w:effect w:val="none"/>
                </w:rPr>
                <w:t>Nominees and Incumbent Directors</w:t>
              </w:r>
            </w:hyperlink>
          </w:p>
        </w:tc>
        <w:tc>
          <w:tcPr>
            <w:tcW w:w="245" w:type="dxa"/>
            <w:tcBorders/>
            <w:shd w:fill="auto" w:val="clear"/>
            <w:vAlign w:val="center"/>
          </w:tcPr>
          <w:p>
            <w:pPr>
              <w:pStyle w:val="TableContents"/>
              <w:spacing w:before="0" w:after="283"/>
              <w:jc w:val="right"/>
              <w:rPr/>
            </w:pPr>
            <w:hyperlink w:anchor="lrarea009">
              <w:r>
                <w:rPr>
                  <w:rStyle w:val="InternetLink"/>
                  <w:rFonts w:ascii="Arial;Helvetica;Sans-Serif" w:hAnsi="Arial;Helvetica;Sans-Serif"/>
                  <w:b w:val="false"/>
                  <w:i w:val="false"/>
                  <w:caps w:val="false"/>
                  <w:smallCaps w:val="false"/>
                  <w:strike w:val="false"/>
                  <w:dstrike w:val="false"/>
                  <w:color w:val="000000"/>
                  <w:sz w:val="18"/>
                  <w:u w:val="none"/>
                  <w:effect w:val="none"/>
                </w:rPr>
                <w:t>11</w:t>
              </w:r>
            </w:hyperlink>
          </w:p>
        </w:tc>
      </w:tr>
      <w:tr>
        <w:trPr/>
        <w:tc>
          <w:tcPr>
            <w:tcW w:w="9960" w:type="dxa"/>
            <w:tcBorders/>
            <w:shd w:fill="auto" w:val="clear"/>
            <w:vAlign w:val="center"/>
          </w:tcPr>
          <w:p>
            <w:pPr>
              <w:pStyle w:val="TableContents"/>
              <w:spacing w:before="0" w:after="283"/>
              <w:rPr/>
            </w:pPr>
            <w:hyperlink w:anchor="lrarea010">
              <w:r>
                <w:rPr>
                  <w:rStyle w:val="InternetLink"/>
                  <w:rFonts w:ascii="Arial;Helvetica;Sans-Serif" w:hAnsi="Arial;Helvetica;Sans-Serif"/>
                  <w:b w:val="false"/>
                  <w:i w:val="false"/>
                  <w:caps w:val="false"/>
                  <w:smallCaps w:val="false"/>
                  <w:strike w:val="false"/>
                  <w:dstrike w:val="false"/>
                  <w:color w:val="000000"/>
                  <w:sz w:val="18"/>
                  <w:u w:val="none"/>
                  <w:effect w:val="none"/>
                </w:rPr>
                <w:t>Class I Directors Nominated for Election</w:t>
              </w:r>
            </w:hyperlink>
          </w:p>
        </w:tc>
        <w:tc>
          <w:tcPr>
            <w:tcW w:w="245" w:type="dxa"/>
            <w:tcBorders/>
            <w:shd w:fill="auto" w:val="clear"/>
            <w:vAlign w:val="center"/>
          </w:tcPr>
          <w:p>
            <w:pPr>
              <w:pStyle w:val="TableContents"/>
              <w:spacing w:before="0" w:after="283"/>
              <w:jc w:val="right"/>
              <w:rPr/>
            </w:pPr>
            <w:hyperlink w:anchor="lrarea010">
              <w:r>
                <w:rPr>
                  <w:rStyle w:val="InternetLink"/>
                  <w:rFonts w:ascii="Arial;Helvetica;Sans-Serif" w:hAnsi="Arial;Helvetica;Sans-Serif"/>
                  <w:b w:val="false"/>
                  <w:i w:val="false"/>
                  <w:caps w:val="false"/>
                  <w:smallCaps w:val="false"/>
                  <w:strike w:val="false"/>
                  <w:dstrike w:val="false"/>
                  <w:color w:val="000000"/>
                  <w:sz w:val="18"/>
                  <w:u w:val="none"/>
                  <w:effect w:val="none"/>
                </w:rPr>
                <w:t>11</w:t>
              </w:r>
            </w:hyperlink>
          </w:p>
        </w:tc>
      </w:tr>
      <w:tr>
        <w:trPr/>
        <w:tc>
          <w:tcPr>
            <w:tcW w:w="9960" w:type="dxa"/>
            <w:tcBorders/>
            <w:shd w:fill="auto" w:val="clear"/>
            <w:vAlign w:val="center"/>
          </w:tcPr>
          <w:p>
            <w:pPr>
              <w:pStyle w:val="TableContents"/>
              <w:spacing w:before="0" w:after="283"/>
              <w:rPr/>
            </w:pPr>
            <w:hyperlink w:anchor="lrarea011">
              <w:r>
                <w:rPr>
                  <w:rStyle w:val="InternetLink"/>
                  <w:rFonts w:ascii="Arial;Helvetica;Sans-Serif" w:hAnsi="Arial;Helvetica;Sans-Serif"/>
                  <w:b w:val="false"/>
                  <w:i w:val="false"/>
                  <w:caps w:val="false"/>
                  <w:smallCaps w:val="false"/>
                  <w:strike w:val="false"/>
                  <w:dstrike w:val="false"/>
                  <w:color w:val="000000"/>
                  <w:sz w:val="18"/>
                  <w:u w:val="none"/>
                  <w:effect w:val="none"/>
                </w:rPr>
                <w:t>Class II Directors Continuing in Office Until 2024</w:t>
              </w:r>
            </w:hyperlink>
          </w:p>
        </w:tc>
        <w:tc>
          <w:tcPr>
            <w:tcW w:w="245" w:type="dxa"/>
            <w:tcBorders/>
            <w:shd w:fill="auto" w:val="clear"/>
            <w:vAlign w:val="center"/>
          </w:tcPr>
          <w:p>
            <w:pPr>
              <w:pStyle w:val="TableContents"/>
              <w:spacing w:before="0" w:after="283"/>
              <w:jc w:val="right"/>
              <w:rPr/>
            </w:pPr>
            <w:hyperlink w:anchor="lrarea011">
              <w:r>
                <w:rPr>
                  <w:rStyle w:val="InternetLink"/>
                  <w:rFonts w:ascii="Arial;Helvetica;Sans-Serif" w:hAnsi="Arial;Helvetica;Sans-Serif"/>
                  <w:b w:val="false"/>
                  <w:i w:val="false"/>
                  <w:caps w:val="false"/>
                  <w:smallCaps w:val="false"/>
                  <w:strike w:val="false"/>
                  <w:dstrike w:val="false"/>
                  <w:color w:val="000000"/>
                  <w:sz w:val="18"/>
                  <w:u w:val="none"/>
                  <w:effect w:val="none"/>
                </w:rPr>
                <w:t>12</w:t>
              </w:r>
            </w:hyperlink>
          </w:p>
        </w:tc>
      </w:tr>
      <w:tr>
        <w:trPr/>
        <w:tc>
          <w:tcPr>
            <w:tcW w:w="9960" w:type="dxa"/>
            <w:tcBorders/>
            <w:shd w:fill="auto" w:val="clear"/>
            <w:vAlign w:val="center"/>
          </w:tcPr>
          <w:p>
            <w:pPr>
              <w:pStyle w:val="TableContents"/>
              <w:spacing w:before="0" w:after="283"/>
              <w:rPr/>
            </w:pPr>
            <w:hyperlink w:anchor="lrarea012">
              <w:r>
                <w:rPr>
                  <w:rStyle w:val="InternetLink"/>
                  <w:rFonts w:ascii="Arial;Helvetica;Sans-Serif" w:hAnsi="Arial;Helvetica;Sans-Serif"/>
                  <w:b w:val="false"/>
                  <w:i w:val="false"/>
                  <w:caps w:val="false"/>
                  <w:smallCaps w:val="false"/>
                  <w:strike w:val="false"/>
                  <w:dstrike w:val="false"/>
                  <w:color w:val="000000"/>
                  <w:sz w:val="18"/>
                  <w:u w:val="none"/>
                  <w:effect w:val="none"/>
                </w:rPr>
                <w:t>Class III Directors Continuing in Office Until 2025</w:t>
              </w:r>
            </w:hyperlink>
          </w:p>
        </w:tc>
        <w:tc>
          <w:tcPr>
            <w:tcW w:w="245" w:type="dxa"/>
            <w:tcBorders/>
            <w:shd w:fill="auto" w:val="clear"/>
            <w:vAlign w:val="center"/>
          </w:tcPr>
          <w:p>
            <w:pPr>
              <w:pStyle w:val="TableContents"/>
              <w:spacing w:before="0" w:after="283"/>
              <w:jc w:val="right"/>
              <w:rPr/>
            </w:pPr>
            <w:hyperlink w:anchor="lrarea012">
              <w:r>
                <w:rPr>
                  <w:rStyle w:val="InternetLink"/>
                  <w:rFonts w:ascii="Arial;Helvetica;Sans-Serif" w:hAnsi="Arial;Helvetica;Sans-Serif"/>
                  <w:b w:val="false"/>
                  <w:i w:val="false"/>
                  <w:caps w:val="false"/>
                  <w:smallCaps w:val="false"/>
                  <w:strike w:val="false"/>
                  <w:dstrike w:val="false"/>
                  <w:color w:val="000000"/>
                  <w:sz w:val="18"/>
                  <w:u w:val="none"/>
                  <w:effect w:val="none"/>
                </w:rPr>
                <w:t>14</w:t>
              </w:r>
            </w:hyperlink>
          </w:p>
        </w:tc>
      </w:tr>
      <w:tr>
        <w:trPr/>
        <w:tc>
          <w:tcPr>
            <w:tcW w:w="9960" w:type="dxa"/>
            <w:tcBorders/>
            <w:shd w:fill="auto" w:val="clear"/>
            <w:vAlign w:val="center"/>
          </w:tcPr>
          <w:p>
            <w:pPr>
              <w:pStyle w:val="TableContents"/>
              <w:spacing w:before="0" w:after="283"/>
              <w:rPr/>
            </w:pPr>
            <w:hyperlink w:anchor="lrarea013">
              <w:r>
                <w:rPr>
                  <w:rStyle w:val="InternetLink"/>
                  <w:rFonts w:ascii="Arial;Helvetica;Sans-Serif" w:hAnsi="Arial;Helvetica;Sans-Serif"/>
                  <w:b w:val="false"/>
                  <w:i w:val="false"/>
                  <w:caps w:val="false"/>
                  <w:smallCaps w:val="false"/>
                  <w:strike w:val="false"/>
                  <w:dstrike w:val="false"/>
                  <w:color w:val="000000"/>
                  <w:sz w:val="18"/>
                  <w:u w:val="none"/>
                  <w:effect w:val="none"/>
                </w:rPr>
                <w:t>Class III Director Retiring from the Board</w:t>
              </w:r>
            </w:hyperlink>
          </w:p>
        </w:tc>
        <w:tc>
          <w:tcPr>
            <w:tcW w:w="245" w:type="dxa"/>
            <w:tcBorders/>
            <w:shd w:fill="auto" w:val="clear"/>
            <w:vAlign w:val="center"/>
          </w:tcPr>
          <w:p>
            <w:pPr>
              <w:pStyle w:val="TableContents"/>
              <w:spacing w:before="0" w:after="283"/>
              <w:jc w:val="right"/>
              <w:rPr/>
            </w:pPr>
            <w:hyperlink w:anchor="lrarea013">
              <w:r>
                <w:rPr>
                  <w:rStyle w:val="InternetLink"/>
                  <w:rFonts w:ascii="Arial;Helvetica;Sans-Serif" w:hAnsi="Arial;Helvetica;Sans-Serif"/>
                  <w:b w:val="false"/>
                  <w:i w:val="false"/>
                  <w:caps w:val="false"/>
                  <w:smallCaps w:val="false"/>
                  <w:strike w:val="false"/>
                  <w:dstrike w:val="false"/>
                  <w:color w:val="000000"/>
                  <w:sz w:val="18"/>
                  <w:u w:val="none"/>
                  <w:effect w:val="none"/>
                </w:rPr>
                <w:t>15</w:t>
              </w:r>
            </w:hyperlink>
          </w:p>
        </w:tc>
      </w:tr>
      <w:tr>
        <w:trPr/>
        <w:tc>
          <w:tcPr>
            <w:tcW w:w="9960" w:type="dxa"/>
            <w:tcBorders/>
            <w:shd w:fill="auto" w:val="clear"/>
            <w:vAlign w:val="center"/>
          </w:tcPr>
          <w:p>
            <w:pPr>
              <w:pStyle w:val="TableContents"/>
              <w:spacing w:before="0" w:after="283"/>
              <w:rPr/>
            </w:pPr>
            <w:hyperlink w:anchor="lrarea014">
              <w:r>
                <w:rPr>
                  <w:rStyle w:val="InternetLink"/>
                  <w:rFonts w:ascii="Arial;Helvetica;Sans-Serif" w:hAnsi="Arial;Helvetica;Sans-Serif"/>
                  <w:b w:val="false"/>
                  <w:i w:val="false"/>
                  <w:caps w:val="false"/>
                  <w:smallCaps w:val="false"/>
                  <w:strike w:val="false"/>
                  <w:dstrike w:val="false"/>
                  <w:color w:val="000000"/>
                  <w:sz w:val="18"/>
                  <w:u w:val="none"/>
                  <w:effect w:val="none"/>
                </w:rPr>
                <w:t>Vote Required</w:t>
              </w:r>
            </w:hyperlink>
          </w:p>
        </w:tc>
        <w:tc>
          <w:tcPr>
            <w:tcW w:w="245" w:type="dxa"/>
            <w:tcBorders/>
            <w:shd w:fill="auto" w:val="clear"/>
            <w:vAlign w:val="center"/>
          </w:tcPr>
          <w:p>
            <w:pPr>
              <w:pStyle w:val="TableContents"/>
              <w:spacing w:before="0" w:after="283"/>
              <w:jc w:val="right"/>
              <w:rPr/>
            </w:pPr>
            <w:hyperlink w:anchor="lrarea014">
              <w:r>
                <w:rPr>
                  <w:rStyle w:val="InternetLink"/>
                  <w:rFonts w:ascii="Arial;Helvetica;Sans-Serif" w:hAnsi="Arial;Helvetica;Sans-Serif"/>
                  <w:b w:val="false"/>
                  <w:i w:val="false"/>
                  <w:caps w:val="false"/>
                  <w:smallCaps w:val="false"/>
                  <w:strike w:val="false"/>
                  <w:dstrike w:val="false"/>
                  <w:color w:val="000000"/>
                  <w:sz w:val="18"/>
                  <w:u w:val="none"/>
                  <w:effect w:val="none"/>
                </w:rPr>
                <w:t>15</w:t>
              </w:r>
            </w:hyperlink>
          </w:p>
        </w:tc>
      </w:tr>
      <w:tr>
        <w:trPr/>
        <w:tc>
          <w:tcPr>
            <w:tcW w:w="9960" w:type="dxa"/>
            <w:tcBorders/>
            <w:shd w:fill="auto" w:val="clear"/>
            <w:vAlign w:val="center"/>
          </w:tcPr>
          <w:p>
            <w:pPr>
              <w:pStyle w:val="TableContents"/>
              <w:spacing w:before="0" w:after="283"/>
              <w:rPr/>
            </w:pPr>
            <w:hyperlink w:anchor="lrarea015">
              <w:r>
                <w:rPr>
                  <w:rStyle w:val="InternetLink"/>
                  <w:rFonts w:ascii="Arial;Helvetica;Sans-Serif" w:hAnsi="Arial;Helvetica;Sans-Serif"/>
                  <w:b w:val="false"/>
                  <w:i w:val="false"/>
                  <w:caps w:val="false"/>
                  <w:smallCaps w:val="false"/>
                  <w:strike w:val="false"/>
                  <w:dstrike w:val="false"/>
                  <w:color w:val="000000"/>
                  <w:sz w:val="18"/>
                  <w:u w:val="none"/>
                  <w:effect w:val="none"/>
                </w:rPr>
                <w:t>Director Resignation Policy</w:t>
              </w:r>
            </w:hyperlink>
          </w:p>
        </w:tc>
        <w:tc>
          <w:tcPr>
            <w:tcW w:w="245" w:type="dxa"/>
            <w:tcBorders/>
            <w:shd w:fill="auto" w:val="clear"/>
            <w:vAlign w:val="center"/>
          </w:tcPr>
          <w:p>
            <w:pPr>
              <w:pStyle w:val="TableContents"/>
              <w:spacing w:before="0" w:after="283"/>
              <w:jc w:val="right"/>
              <w:rPr/>
            </w:pPr>
            <w:hyperlink w:anchor="lrarea015">
              <w:r>
                <w:rPr>
                  <w:rStyle w:val="InternetLink"/>
                  <w:rFonts w:ascii="Arial;Helvetica;Sans-Serif" w:hAnsi="Arial;Helvetica;Sans-Serif"/>
                  <w:b w:val="false"/>
                  <w:i w:val="false"/>
                  <w:caps w:val="false"/>
                  <w:smallCaps w:val="false"/>
                  <w:strike w:val="false"/>
                  <w:dstrike w:val="false"/>
                  <w:color w:val="000000"/>
                  <w:sz w:val="18"/>
                  <w:u w:val="none"/>
                  <w:effect w:val="none"/>
                </w:rPr>
                <w:t>15</w:t>
              </w:r>
            </w:hyperlink>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lrarea016">
              <w:r>
                <w:rPr>
                  <w:rStyle w:val="InternetLink"/>
                  <w:rFonts w:ascii="Arial;Helvetica;Sans-Serif" w:hAnsi="Arial;Helvetica;Sans-Serif"/>
                  <w:b/>
                  <w:i w:val="false"/>
                  <w:caps w:val="false"/>
                  <w:smallCaps w:val="false"/>
                  <w:strike w:val="false"/>
                  <w:dstrike w:val="false"/>
                  <w:color w:val="7CBC3E"/>
                  <w:sz w:val="20"/>
                  <w:u w:val="none"/>
                  <w:effect w:val="none"/>
                </w:rPr>
                <w:t>Proposal 2 – Approval of the Ultragenyx</w:t>
              </w:r>
            </w:hyperlink>
            <w:hyperlink w:anchor="lrarea016">
              <w:r>
                <w:rPr>
                  <w:rStyle w:val="InternetLink"/>
                  <w:rFonts w:ascii="Arial;Helvetica;Sans-Serif" w:hAnsi="Arial;Helvetica;Sans-Serif"/>
                  <w:b w:val="false"/>
                  <w:i w:val="false"/>
                  <w:caps w:val="false"/>
                  <w:smallCaps w:val="false"/>
                  <w:strike w:val="false"/>
                  <w:dstrike w:val="false"/>
                  <w:color w:val="7CBC3E"/>
                  <w:sz w:val="20"/>
                  <w:u w:val="none"/>
                  <w:effect w:val="none"/>
                </w:rPr>
                <w:t xml:space="preserve"> </w:t>
              </w:r>
            </w:hyperlink>
            <w:hyperlink w:anchor="lrarea016">
              <w:r>
                <w:rPr>
                  <w:rStyle w:val="InternetLink"/>
                  <w:rFonts w:ascii="Arial;Helvetica;Sans-Serif" w:hAnsi="Arial;Helvetica;Sans-Serif"/>
                  <w:b/>
                  <w:i w:val="false"/>
                  <w:caps w:val="false"/>
                  <w:smallCaps w:val="false"/>
                  <w:strike w:val="false"/>
                  <w:dstrike w:val="false"/>
                  <w:color w:val="7CBC3E"/>
                  <w:sz w:val="20"/>
                  <w:u w:val="none"/>
                  <w:effect w:val="none"/>
                </w:rPr>
                <w:t>Pharmaceutical Inc. 2023 Incentive Plan</w:t>
              </w:r>
            </w:hyperlink>
          </w:p>
        </w:tc>
        <w:tc>
          <w:tcPr>
            <w:tcW w:w="245" w:type="dxa"/>
            <w:tcBorders/>
            <w:shd w:fill="auto" w:val="clear"/>
            <w:vAlign w:val="center"/>
          </w:tcPr>
          <w:p>
            <w:pPr>
              <w:pStyle w:val="TableContents"/>
              <w:spacing w:before="0" w:after="283"/>
              <w:jc w:val="right"/>
              <w:rPr/>
            </w:pPr>
            <w:hyperlink w:anchor="lrarea016">
              <w:r>
                <w:rPr>
                  <w:rStyle w:val="InternetLink"/>
                  <w:rFonts w:ascii="Arial;Helvetica;Sans-Serif" w:hAnsi="Arial;Helvetica;Sans-Serif"/>
                  <w:b/>
                  <w:i w:val="false"/>
                  <w:caps w:val="false"/>
                  <w:smallCaps w:val="false"/>
                  <w:strike w:val="false"/>
                  <w:dstrike w:val="false"/>
                  <w:color w:val="7CBC3E"/>
                  <w:sz w:val="20"/>
                  <w:u w:val="none"/>
                  <w:effect w:val="none"/>
                </w:rPr>
                <w:t>16</w:t>
              </w:r>
            </w:hyperlink>
          </w:p>
        </w:tc>
      </w:tr>
      <w:tr>
        <w:trPr/>
        <w:tc>
          <w:tcPr>
            <w:tcW w:w="9960" w:type="dxa"/>
            <w:tcBorders/>
            <w:shd w:fill="auto" w:val="clear"/>
            <w:vAlign w:val="center"/>
          </w:tcPr>
          <w:p>
            <w:pPr>
              <w:pStyle w:val="TableContents"/>
              <w:spacing w:before="0" w:after="283"/>
              <w:rPr/>
            </w:pPr>
            <w:hyperlink w:anchor="lrarea017">
              <w:r>
                <w:rPr>
                  <w:rStyle w:val="InternetLink"/>
                  <w:rFonts w:ascii="Arial;Helvetica;Sans-Serif" w:hAnsi="Arial;Helvetica;Sans-Serif"/>
                  <w:b w:val="false"/>
                  <w:i w:val="false"/>
                  <w:caps w:val="false"/>
                  <w:smallCaps w:val="false"/>
                  <w:strike w:val="false"/>
                  <w:dstrike w:val="false"/>
                  <w:color w:val="000000"/>
                  <w:sz w:val="18"/>
                  <w:u w:val="none"/>
                  <w:effect w:val="none"/>
                </w:rPr>
                <w:t>Share Reserve Under the 2023 Plan</w:t>
              </w:r>
            </w:hyperlink>
          </w:p>
        </w:tc>
        <w:tc>
          <w:tcPr>
            <w:tcW w:w="245" w:type="dxa"/>
            <w:tcBorders/>
            <w:shd w:fill="auto" w:val="clear"/>
            <w:vAlign w:val="center"/>
          </w:tcPr>
          <w:p>
            <w:pPr>
              <w:pStyle w:val="TableContents"/>
              <w:spacing w:before="0" w:after="283"/>
              <w:jc w:val="right"/>
              <w:rPr/>
            </w:pPr>
            <w:hyperlink w:anchor="lrarea017">
              <w:r>
                <w:rPr>
                  <w:rStyle w:val="InternetLink"/>
                  <w:rFonts w:ascii="Arial;Helvetica;Sans-Serif" w:hAnsi="Arial;Helvetica;Sans-Serif"/>
                  <w:b w:val="false"/>
                  <w:i w:val="false"/>
                  <w:caps w:val="false"/>
                  <w:smallCaps w:val="false"/>
                  <w:strike w:val="false"/>
                  <w:dstrike w:val="false"/>
                  <w:color w:val="000000"/>
                  <w:sz w:val="18"/>
                  <w:u w:val="none"/>
                  <w:effect w:val="none"/>
                </w:rPr>
                <w:t>16</w:t>
              </w:r>
            </w:hyperlink>
          </w:p>
        </w:tc>
      </w:tr>
      <w:tr>
        <w:trPr/>
        <w:tc>
          <w:tcPr>
            <w:tcW w:w="9960" w:type="dxa"/>
            <w:tcBorders/>
            <w:shd w:fill="auto" w:val="clear"/>
            <w:vAlign w:val="center"/>
          </w:tcPr>
          <w:p>
            <w:pPr>
              <w:pStyle w:val="TableContents"/>
              <w:spacing w:before="0" w:after="283"/>
              <w:rPr/>
            </w:pPr>
            <w:hyperlink w:anchor="lrarea018">
              <w:r>
                <w:rPr>
                  <w:rStyle w:val="InternetLink"/>
                  <w:rFonts w:ascii="Arial;Helvetica;Sans-Serif" w:hAnsi="Arial;Helvetica;Sans-Serif"/>
                  <w:b w:val="false"/>
                  <w:i w:val="false"/>
                  <w:caps w:val="false"/>
                  <w:smallCaps w:val="false"/>
                  <w:strike w:val="false"/>
                  <w:dstrike w:val="false"/>
                  <w:color w:val="000000"/>
                  <w:sz w:val="18"/>
                  <w:u w:val="none"/>
                  <w:effect w:val="none"/>
                </w:rPr>
                <w:t>Reasons for Seeking Stockholder Approval</w:t>
              </w:r>
            </w:hyperlink>
          </w:p>
        </w:tc>
        <w:tc>
          <w:tcPr>
            <w:tcW w:w="245" w:type="dxa"/>
            <w:tcBorders/>
            <w:shd w:fill="auto" w:val="clear"/>
            <w:vAlign w:val="center"/>
          </w:tcPr>
          <w:p>
            <w:pPr>
              <w:pStyle w:val="TableContents"/>
              <w:spacing w:before="0" w:after="283"/>
              <w:jc w:val="right"/>
              <w:rPr/>
            </w:pPr>
            <w:hyperlink w:anchor="lrarea018">
              <w:r>
                <w:rPr>
                  <w:rStyle w:val="InternetLink"/>
                  <w:rFonts w:ascii="Arial;Helvetica;Sans-Serif" w:hAnsi="Arial;Helvetica;Sans-Serif"/>
                  <w:b w:val="false"/>
                  <w:i w:val="false"/>
                  <w:caps w:val="false"/>
                  <w:smallCaps w:val="false"/>
                  <w:strike w:val="false"/>
                  <w:dstrike w:val="false"/>
                  <w:color w:val="000000"/>
                  <w:sz w:val="18"/>
                  <w:u w:val="none"/>
                  <w:effect w:val="none"/>
                </w:rPr>
                <w:t>16</w:t>
              </w:r>
            </w:hyperlink>
          </w:p>
        </w:tc>
      </w:tr>
      <w:tr>
        <w:trPr/>
        <w:tc>
          <w:tcPr>
            <w:tcW w:w="9960" w:type="dxa"/>
            <w:tcBorders/>
            <w:shd w:fill="auto" w:val="clear"/>
            <w:vAlign w:val="center"/>
          </w:tcPr>
          <w:p>
            <w:pPr>
              <w:pStyle w:val="TableContents"/>
              <w:spacing w:before="0" w:after="283"/>
              <w:rPr/>
            </w:pPr>
            <w:hyperlink w:anchor="lrarea019">
              <w:r>
                <w:rPr>
                  <w:rStyle w:val="InternetLink"/>
                  <w:rFonts w:ascii="Arial;Helvetica;Sans-Serif" w:hAnsi="Arial;Helvetica;Sans-Serif"/>
                  <w:b w:val="false"/>
                  <w:i w:val="false"/>
                  <w:caps w:val="false"/>
                  <w:smallCaps w:val="false"/>
                  <w:strike w:val="false"/>
                  <w:dstrike w:val="false"/>
                  <w:color w:val="000000"/>
                  <w:sz w:val="18"/>
                  <w:u w:val="none"/>
                  <w:effect w:val="none"/>
                </w:rPr>
                <w:t>Key Features and Governance Best Practices</w:t>
              </w:r>
            </w:hyperlink>
          </w:p>
        </w:tc>
        <w:tc>
          <w:tcPr>
            <w:tcW w:w="245" w:type="dxa"/>
            <w:tcBorders/>
            <w:shd w:fill="auto" w:val="clear"/>
            <w:vAlign w:val="center"/>
          </w:tcPr>
          <w:p>
            <w:pPr>
              <w:pStyle w:val="TableContents"/>
              <w:spacing w:before="0" w:after="283"/>
              <w:jc w:val="right"/>
              <w:rPr/>
            </w:pPr>
            <w:hyperlink w:anchor="lrarea019">
              <w:r>
                <w:rPr>
                  <w:rStyle w:val="InternetLink"/>
                  <w:rFonts w:ascii="Arial;Helvetica;Sans-Serif" w:hAnsi="Arial;Helvetica;Sans-Serif"/>
                  <w:b w:val="false"/>
                  <w:i w:val="false"/>
                  <w:caps w:val="false"/>
                  <w:smallCaps w:val="false"/>
                  <w:strike w:val="false"/>
                  <w:dstrike w:val="false"/>
                  <w:color w:val="000000"/>
                  <w:sz w:val="18"/>
                  <w:u w:val="none"/>
                  <w:effect w:val="none"/>
                </w:rPr>
                <w:t>17</w:t>
              </w:r>
            </w:hyperlink>
          </w:p>
        </w:tc>
      </w:tr>
      <w:tr>
        <w:trPr/>
        <w:tc>
          <w:tcPr>
            <w:tcW w:w="9960" w:type="dxa"/>
            <w:tcBorders/>
            <w:shd w:fill="auto" w:val="clear"/>
            <w:vAlign w:val="center"/>
          </w:tcPr>
          <w:p>
            <w:pPr>
              <w:pStyle w:val="TableContents"/>
              <w:spacing w:before="0" w:after="283"/>
              <w:rPr/>
            </w:pPr>
            <w:hyperlink w:anchor="lrarea020">
              <w:r>
                <w:rPr>
                  <w:rStyle w:val="InternetLink"/>
                  <w:rFonts w:ascii="Arial;Helvetica;Sans-Serif" w:hAnsi="Arial;Helvetica;Sans-Serif"/>
                  <w:b w:val="false"/>
                  <w:i w:val="false"/>
                  <w:caps w:val="false"/>
                  <w:smallCaps w:val="false"/>
                  <w:strike w:val="false"/>
                  <w:dstrike w:val="false"/>
                  <w:color w:val="000000"/>
                  <w:sz w:val="18"/>
                  <w:u w:val="none"/>
                  <w:effect w:val="none"/>
                </w:rPr>
                <w:t>Shares Remaining Under the Prior Plans</w:t>
              </w:r>
            </w:hyperlink>
          </w:p>
        </w:tc>
        <w:tc>
          <w:tcPr>
            <w:tcW w:w="245" w:type="dxa"/>
            <w:tcBorders/>
            <w:shd w:fill="auto" w:val="clear"/>
            <w:vAlign w:val="center"/>
          </w:tcPr>
          <w:p>
            <w:pPr>
              <w:pStyle w:val="TableContents"/>
              <w:spacing w:before="0" w:after="283"/>
              <w:jc w:val="right"/>
              <w:rPr/>
            </w:pPr>
            <w:hyperlink w:anchor="lrarea020">
              <w:r>
                <w:rPr>
                  <w:rStyle w:val="InternetLink"/>
                  <w:rFonts w:ascii="Arial;Helvetica;Sans-Serif" w:hAnsi="Arial;Helvetica;Sans-Serif"/>
                  <w:b w:val="false"/>
                  <w:i w:val="false"/>
                  <w:caps w:val="false"/>
                  <w:smallCaps w:val="false"/>
                  <w:strike w:val="false"/>
                  <w:dstrike w:val="false"/>
                  <w:color w:val="000000"/>
                  <w:sz w:val="18"/>
                  <w:u w:val="none"/>
                  <w:effect w:val="none"/>
                </w:rPr>
                <w:t>17</w:t>
              </w:r>
            </w:hyperlink>
          </w:p>
        </w:tc>
      </w:tr>
      <w:tr>
        <w:trPr/>
        <w:tc>
          <w:tcPr>
            <w:tcW w:w="9960" w:type="dxa"/>
            <w:tcBorders/>
            <w:shd w:fill="auto" w:val="clear"/>
            <w:vAlign w:val="center"/>
          </w:tcPr>
          <w:p>
            <w:pPr>
              <w:pStyle w:val="TableContents"/>
              <w:spacing w:before="0" w:after="283"/>
              <w:rPr/>
            </w:pPr>
            <w:hyperlink w:anchor="lrarea021">
              <w:r>
                <w:rPr>
                  <w:rStyle w:val="InternetLink"/>
                  <w:rFonts w:ascii="Arial;Helvetica;Sans-Serif" w:hAnsi="Arial;Helvetica;Sans-Serif"/>
                  <w:b w:val="false"/>
                  <w:i w:val="false"/>
                  <w:caps w:val="false"/>
                  <w:smallCaps w:val="false"/>
                  <w:strike w:val="false"/>
                  <w:dstrike w:val="false"/>
                  <w:color w:val="000000"/>
                  <w:sz w:val="18"/>
                  <w:u w:val="none"/>
                  <w:effect w:val="none"/>
                </w:rPr>
                <w:t>Dilution</w:t>
              </w:r>
            </w:hyperlink>
          </w:p>
        </w:tc>
        <w:tc>
          <w:tcPr>
            <w:tcW w:w="245" w:type="dxa"/>
            <w:tcBorders/>
            <w:shd w:fill="auto" w:val="clear"/>
            <w:vAlign w:val="center"/>
          </w:tcPr>
          <w:p>
            <w:pPr>
              <w:pStyle w:val="TableContents"/>
              <w:spacing w:before="0" w:after="283"/>
              <w:jc w:val="right"/>
              <w:rPr/>
            </w:pPr>
            <w:hyperlink w:anchor="lrarea021">
              <w:r>
                <w:rPr>
                  <w:rStyle w:val="InternetLink"/>
                  <w:rFonts w:ascii="Arial;Helvetica;Sans-Serif" w:hAnsi="Arial;Helvetica;Sans-Serif"/>
                  <w:b w:val="false"/>
                  <w:i w:val="false"/>
                  <w:caps w:val="false"/>
                  <w:smallCaps w:val="false"/>
                  <w:strike w:val="false"/>
                  <w:dstrike w:val="false"/>
                  <w:color w:val="000000"/>
                  <w:sz w:val="18"/>
                  <w:u w:val="none"/>
                  <w:effect w:val="none"/>
                </w:rPr>
                <w:t>18</w:t>
              </w:r>
            </w:hyperlink>
          </w:p>
        </w:tc>
      </w:tr>
      <w:tr>
        <w:trPr/>
        <w:tc>
          <w:tcPr>
            <w:tcW w:w="9960" w:type="dxa"/>
            <w:tcBorders/>
            <w:shd w:fill="auto" w:val="clear"/>
            <w:vAlign w:val="center"/>
          </w:tcPr>
          <w:p>
            <w:pPr>
              <w:pStyle w:val="TableContents"/>
              <w:spacing w:before="0" w:after="283"/>
              <w:rPr/>
            </w:pPr>
            <w:hyperlink w:anchor="lrarea022">
              <w:r>
                <w:rPr>
                  <w:rStyle w:val="InternetLink"/>
                  <w:rFonts w:ascii="Arial;Helvetica;Sans-Serif" w:hAnsi="Arial;Helvetica;Sans-Serif"/>
                  <w:b w:val="false"/>
                  <w:i w:val="false"/>
                  <w:caps w:val="false"/>
                  <w:smallCaps w:val="false"/>
                  <w:strike w:val="false"/>
                  <w:dstrike w:val="false"/>
                  <w:color w:val="000000"/>
                  <w:sz w:val="18"/>
                  <w:u w:val="none"/>
                  <w:effect w:val="none"/>
                </w:rPr>
                <w:t>Historical Burn Rate</w:t>
              </w:r>
            </w:hyperlink>
          </w:p>
        </w:tc>
        <w:tc>
          <w:tcPr>
            <w:tcW w:w="245" w:type="dxa"/>
            <w:tcBorders/>
            <w:shd w:fill="auto" w:val="clear"/>
            <w:vAlign w:val="center"/>
          </w:tcPr>
          <w:p>
            <w:pPr>
              <w:pStyle w:val="TableContents"/>
              <w:spacing w:before="0" w:after="283"/>
              <w:jc w:val="right"/>
              <w:rPr/>
            </w:pPr>
            <w:hyperlink w:anchor="lrarea022">
              <w:r>
                <w:rPr>
                  <w:rStyle w:val="InternetLink"/>
                  <w:rFonts w:ascii="Arial;Helvetica;Sans-Serif" w:hAnsi="Arial;Helvetica;Sans-Serif"/>
                  <w:b w:val="false"/>
                  <w:i w:val="false"/>
                  <w:caps w:val="false"/>
                  <w:smallCaps w:val="false"/>
                  <w:strike w:val="false"/>
                  <w:dstrike w:val="false"/>
                  <w:color w:val="000000"/>
                  <w:sz w:val="18"/>
                  <w:u w:val="none"/>
                  <w:effect w:val="none"/>
                </w:rPr>
                <w:t>18</w:t>
              </w:r>
            </w:hyperlink>
          </w:p>
        </w:tc>
      </w:tr>
      <w:tr>
        <w:trPr/>
        <w:tc>
          <w:tcPr>
            <w:tcW w:w="9960" w:type="dxa"/>
            <w:tcBorders/>
            <w:shd w:fill="auto" w:val="clear"/>
            <w:vAlign w:val="center"/>
          </w:tcPr>
          <w:p>
            <w:pPr>
              <w:pStyle w:val="TableContents"/>
              <w:spacing w:before="0" w:after="283"/>
              <w:rPr/>
            </w:pPr>
            <w:hyperlink w:anchor="lrarea023">
              <w:r>
                <w:rPr>
                  <w:rStyle w:val="InternetLink"/>
                  <w:rFonts w:ascii="Arial;Helvetica;Sans-Serif" w:hAnsi="Arial;Helvetica;Sans-Serif"/>
                  <w:b w:val="false"/>
                  <w:i w:val="false"/>
                  <w:caps w:val="false"/>
                  <w:smallCaps w:val="false"/>
                  <w:strike w:val="false"/>
                  <w:dstrike w:val="false"/>
                  <w:color w:val="000000"/>
                  <w:sz w:val="18"/>
                  <w:u w:val="none"/>
                  <w:effect w:val="none"/>
                </w:rPr>
                <w:t>Summary of the 2023 Plan</w:t>
              </w:r>
            </w:hyperlink>
          </w:p>
        </w:tc>
        <w:tc>
          <w:tcPr>
            <w:tcW w:w="245" w:type="dxa"/>
            <w:tcBorders/>
            <w:shd w:fill="auto" w:val="clear"/>
            <w:vAlign w:val="center"/>
          </w:tcPr>
          <w:p>
            <w:pPr>
              <w:pStyle w:val="TableContents"/>
              <w:spacing w:before="0" w:after="283"/>
              <w:jc w:val="right"/>
              <w:rPr/>
            </w:pPr>
            <w:hyperlink w:anchor="lrarea023">
              <w:r>
                <w:rPr>
                  <w:rStyle w:val="InternetLink"/>
                  <w:rFonts w:ascii="Arial;Helvetica;Sans-Serif" w:hAnsi="Arial;Helvetica;Sans-Serif"/>
                  <w:b w:val="false"/>
                  <w:i w:val="false"/>
                  <w:caps w:val="false"/>
                  <w:smallCaps w:val="false"/>
                  <w:strike w:val="false"/>
                  <w:dstrike w:val="false"/>
                  <w:color w:val="000000"/>
                  <w:sz w:val="18"/>
                  <w:u w:val="none"/>
                  <w:effect w:val="none"/>
                </w:rPr>
                <w:t>18</w:t>
              </w:r>
            </w:hyperlink>
          </w:p>
        </w:tc>
      </w:tr>
      <w:tr>
        <w:trPr/>
        <w:tc>
          <w:tcPr>
            <w:tcW w:w="9960" w:type="dxa"/>
            <w:tcBorders/>
            <w:shd w:fill="auto" w:val="clear"/>
            <w:vAlign w:val="center"/>
          </w:tcPr>
          <w:p>
            <w:pPr>
              <w:pStyle w:val="TableContents"/>
              <w:spacing w:before="0" w:after="283"/>
              <w:rPr/>
            </w:pPr>
            <w:hyperlink w:anchor="lrarea024">
              <w:r>
                <w:rPr>
                  <w:rStyle w:val="InternetLink"/>
                  <w:rFonts w:ascii="Arial;Helvetica;Sans-Serif" w:hAnsi="Arial;Helvetica;Sans-Serif"/>
                  <w:b w:val="false"/>
                  <w:i w:val="false"/>
                  <w:caps w:val="false"/>
                  <w:smallCaps w:val="false"/>
                  <w:strike w:val="false"/>
                  <w:dstrike w:val="false"/>
                  <w:color w:val="000000"/>
                  <w:sz w:val="18"/>
                  <w:u w:val="none"/>
                  <w:effect w:val="none"/>
                </w:rPr>
                <w:t>Purpose</w:t>
              </w:r>
            </w:hyperlink>
          </w:p>
        </w:tc>
        <w:tc>
          <w:tcPr>
            <w:tcW w:w="245" w:type="dxa"/>
            <w:tcBorders/>
            <w:shd w:fill="auto" w:val="clear"/>
            <w:vAlign w:val="center"/>
          </w:tcPr>
          <w:p>
            <w:pPr>
              <w:pStyle w:val="TableContents"/>
              <w:spacing w:before="0" w:after="283"/>
              <w:jc w:val="right"/>
              <w:rPr/>
            </w:pPr>
            <w:hyperlink w:anchor="lrarea024">
              <w:r>
                <w:rPr>
                  <w:rStyle w:val="InternetLink"/>
                  <w:rFonts w:ascii="Arial;Helvetica;Sans-Serif" w:hAnsi="Arial;Helvetica;Sans-Serif"/>
                  <w:b w:val="false"/>
                  <w:i w:val="false"/>
                  <w:caps w:val="false"/>
                  <w:smallCaps w:val="false"/>
                  <w:strike w:val="false"/>
                  <w:dstrike w:val="false"/>
                  <w:color w:val="000000"/>
                  <w:sz w:val="18"/>
                  <w:u w:val="none"/>
                  <w:effect w:val="none"/>
                </w:rPr>
                <w:t>18</w:t>
              </w:r>
            </w:hyperlink>
          </w:p>
        </w:tc>
      </w:tr>
      <w:tr>
        <w:trPr/>
        <w:tc>
          <w:tcPr>
            <w:tcW w:w="9960" w:type="dxa"/>
            <w:tcBorders/>
            <w:shd w:fill="auto" w:val="clear"/>
            <w:vAlign w:val="center"/>
          </w:tcPr>
          <w:p>
            <w:pPr>
              <w:pStyle w:val="TableContents"/>
              <w:spacing w:before="0" w:after="283"/>
              <w:rPr/>
            </w:pPr>
            <w:hyperlink w:anchor="lrarea025">
              <w:r>
                <w:rPr>
                  <w:rStyle w:val="InternetLink"/>
                  <w:rFonts w:ascii="Arial;Helvetica;Sans-Serif" w:hAnsi="Arial;Helvetica;Sans-Serif"/>
                  <w:b w:val="false"/>
                  <w:i w:val="false"/>
                  <w:caps w:val="false"/>
                  <w:smallCaps w:val="false"/>
                  <w:strike w:val="false"/>
                  <w:dstrike w:val="false"/>
                  <w:color w:val="000000"/>
                  <w:sz w:val="18"/>
                  <w:u w:val="none"/>
                  <w:effect w:val="none"/>
                </w:rPr>
                <w:t>Plan Administration</w:t>
              </w:r>
            </w:hyperlink>
          </w:p>
        </w:tc>
        <w:tc>
          <w:tcPr>
            <w:tcW w:w="245" w:type="dxa"/>
            <w:tcBorders/>
            <w:shd w:fill="auto" w:val="clear"/>
            <w:vAlign w:val="center"/>
          </w:tcPr>
          <w:p>
            <w:pPr>
              <w:pStyle w:val="TableContents"/>
              <w:spacing w:before="0" w:after="283"/>
              <w:jc w:val="right"/>
              <w:rPr/>
            </w:pPr>
            <w:hyperlink w:anchor="lrarea025">
              <w:r>
                <w:rPr>
                  <w:rStyle w:val="InternetLink"/>
                  <w:rFonts w:ascii="Arial;Helvetica;Sans-Serif" w:hAnsi="Arial;Helvetica;Sans-Serif"/>
                  <w:b w:val="false"/>
                  <w:i w:val="false"/>
                  <w:caps w:val="false"/>
                  <w:smallCaps w:val="false"/>
                  <w:strike w:val="false"/>
                  <w:dstrike w:val="false"/>
                  <w:color w:val="000000"/>
                  <w:sz w:val="18"/>
                  <w:u w:val="none"/>
                  <w:effect w:val="none"/>
                </w:rPr>
                <w:t>18</w:t>
              </w:r>
            </w:hyperlink>
          </w:p>
        </w:tc>
      </w:tr>
      <w:tr>
        <w:trPr/>
        <w:tc>
          <w:tcPr>
            <w:tcW w:w="9960" w:type="dxa"/>
            <w:tcBorders/>
            <w:shd w:fill="auto" w:val="clear"/>
            <w:vAlign w:val="center"/>
          </w:tcPr>
          <w:p>
            <w:pPr>
              <w:pStyle w:val="TableContents"/>
              <w:spacing w:before="0" w:after="283"/>
              <w:rPr/>
            </w:pPr>
            <w:hyperlink w:anchor="lrarea026">
              <w:r>
                <w:rPr>
                  <w:rStyle w:val="InternetLink"/>
                  <w:rFonts w:ascii="Arial;Helvetica;Sans-Serif" w:hAnsi="Arial;Helvetica;Sans-Serif"/>
                  <w:b w:val="false"/>
                  <w:i w:val="false"/>
                  <w:caps w:val="false"/>
                  <w:smallCaps w:val="false"/>
                  <w:strike w:val="false"/>
                  <w:dstrike w:val="false"/>
                  <w:color w:val="000000"/>
                  <w:sz w:val="18"/>
                  <w:u w:val="none"/>
                  <w:effect w:val="none"/>
                </w:rPr>
                <w:t>Authorized Shares</w:t>
              </w:r>
            </w:hyperlink>
          </w:p>
        </w:tc>
        <w:tc>
          <w:tcPr>
            <w:tcW w:w="245" w:type="dxa"/>
            <w:tcBorders/>
            <w:shd w:fill="auto" w:val="clear"/>
            <w:vAlign w:val="center"/>
          </w:tcPr>
          <w:p>
            <w:pPr>
              <w:pStyle w:val="TableContents"/>
              <w:spacing w:before="0" w:after="283"/>
              <w:jc w:val="right"/>
              <w:rPr/>
            </w:pPr>
            <w:hyperlink w:anchor="lrarea026">
              <w:r>
                <w:rPr>
                  <w:rStyle w:val="InternetLink"/>
                  <w:rFonts w:ascii="Arial;Helvetica;Sans-Serif" w:hAnsi="Arial;Helvetica;Sans-Serif"/>
                  <w:b w:val="false"/>
                  <w:i w:val="false"/>
                  <w:caps w:val="false"/>
                  <w:smallCaps w:val="false"/>
                  <w:strike w:val="false"/>
                  <w:dstrike w:val="false"/>
                  <w:color w:val="000000"/>
                  <w:sz w:val="18"/>
                  <w:u w:val="none"/>
                  <w:effect w:val="none"/>
                </w:rPr>
                <w:t>19</w:t>
              </w:r>
            </w:hyperlink>
          </w:p>
        </w:tc>
      </w:tr>
      <w:tr>
        <w:trPr/>
        <w:tc>
          <w:tcPr>
            <w:tcW w:w="9960" w:type="dxa"/>
            <w:tcBorders/>
            <w:shd w:fill="auto" w:val="clear"/>
            <w:vAlign w:val="center"/>
          </w:tcPr>
          <w:p>
            <w:pPr>
              <w:pStyle w:val="TableContents"/>
              <w:spacing w:before="0" w:after="283"/>
              <w:rPr/>
            </w:pPr>
            <w:hyperlink w:anchor="lrarea027">
              <w:r>
                <w:rPr>
                  <w:rStyle w:val="InternetLink"/>
                  <w:rFonts w:ascii="Arial;Helvetica;Sans-Serif" w:hAnsi="Arial;Helvetica;Sans-Serif"/>
                  <w:b w:val="false"/>
                  <w:i w:val="false"/>
                  <w:caps w:val="false"/>
                  <w:smallCaps w:val="false"/>
                  <w:strike w:val="false"/>
                  <w:dstrike w:val="false"/>
                  <w:color w:val="000000"/>
                  <w:sz w:val="18"/>
                  <w:u w:val="none"/>
                  <w:effect w:val="none"/>
                </w:rPr>
                <w:t>Limits on Non-Employee Director Compensation</w:t>
              </w:r>
            </w:hyperlink>
          </w:p>
        </w:tc>
        <w:tc>
          <w:tcPr>
            <w:tcW w:w="245" w:type="dxa"/>
            <w:tcBorders/>
            <w:shd w:fill="auto" w:val="clear"/>
            <w:vAlign w:val="center"/>
          </w:tcPr>
          <w:p>
            <w:pPr>
              <w:pStyle w:val="TableContents"/>
              <w:spacing w:before="0" w:after="283"/>
              <w:jc w:val="right"/>
              <w:rPr/>
            </w:pPr>
            <w:hyperlink w:anchor="lrarea027">
              <w:r>
                <w:rPr>
                  <w:rStyle w:val="InternetLink"/>
                  <w:rFonts w:ascii="Arial;Helvetica;Sans-Serif" w:hAnsi="Arial;Helvetica;Sans-Serif"/>
                  <w:b w:val="false"/>
                  <w:i w:val="false"/>
                  <w:caps w:val="false"/>
                  <w:smallCaps w:val="false"/>
                  <w:strike w:val="false"/>
                  <w:dstrike w:val="false"/>
                  <w:color w:val="000000"/>
                  <w:sz w:val="18"/>
                  <w:u w:val="none"/>
                  <w:effect w:val="none"/>
                </w:rPr>
                <w:t>19</w:t>
              </w:r>
            </w:hyperlink>
          </w:p>
        </w:tc>
      </w:tr>
      <w:tr>
        <w:trPr/>
        <w:tc>
          <w:tcPr>
            <w:tcW w:w="9960" w:type="dxa"/>
            <w:tcBorders/>
            <w:shd w:fill="auto" w:val="clear"/>
            <w:vAlign w:val="center"/>
          </w:tcPr>
          <w:p>
            <w:pPr>
              <w:pStyle w:val="TableContents"/>
              <w:spacing w:before="0" w:after="283"/>
              <w:rPr/>
            </w:pPr>
            <w:hyperlink w:anchor="lrarea028">
              <w:r>
                <w:rPr>
                  <w:rStyle w:val="InternetLink"/>
                  <w:rFonts w:ascii="Arial;Helvetica;Sans-Serif" w:hAnsi="Arial;Helvetica;Sans-Serif"/>
                  <w:b w:val="false"/>
                  <w:i w:val="false"/>
                  <w:caps w:val="false"/>
                  <w:smallCaps w:val="false"/>
                  <w:strike w:val="false"/>
                  <w:dstrike w:val="false"/>
                  <w:color w:val="000000"/>
                  <w:sz w:val="18"/>
                  <w:u w:val="none"/>
                  <w:effect w:val="none"/>
                </w:rPr>
                <w:t>Eligibility</w:t>
              </w:r>
            </w:hyperlink>
          </w:p>
        </w:tc>
        <w:tc>
          <w:tcPr>
            <w:tcW w:w="245" w:type="dxa"/>
            <w:tcBorders/>
            <w:shd w:fill="auto" w:val="clear"/>
            <w:vAlign w:val="center"/>
          </w:tcPr>
          <w:p>
            <w:pPr>
              <w:pStyle w:val="TableContents"/>
              <w:spacing w:before="0" w:after="283"/>
              <w:jc w:val="right"/>
              <w:rPr/>
            </w:pPr>
            <w:hyperlink w:anchor="lrarea028">
              <w:r>
                <w:rPr>
                  <w:rStyle w:val="InternetLink"/>
                  <w:rFonts w:ascii="Arial;Helvetica;Sans-Serif" w:hAnsi="Arial;Helvetica;Sans-Serif"/>
                  <w:b w:val="false"/>
                  <w:i w:val="false"/>
                  <w:caps w:val="false"/>
                  <w:smallCaps w:val="false"/>
                  <w:strike w:val="false"/>
                  <w:dstrike w:val="false"/>
                  <w:color w:val="000000"/>
                  <w:sz w:val="18"/>
                  <w:u w:val="none"/>
                  <w:effect w:val="none"/>
                </w:rPr>
                <w:t>19</w:t>
              </w:r>
            </w:hyperlink>
          </w:p>
        </w:tc>
      </w:tr>
      <w:tr>
        <w:trPr/>
        <w:tc>
          <w:tcPr>
            <w:tcW w:w="9960" w:type="dxa"/>
            <w:tcBorders/>
            <w:shd w:fill="auto" w:val="clear"/>
            <w:vAlign w:val="center"/>
          </w:tcPr>
          <w:p>
            <w:pPr>
              <w:pStyle w:val="TableContents"/>
              <w:spacing w:before="0" w:after="283"/>
              <w:rPr/>
            </w:pPr>
            <w:hyperlink w:anchor="lrarea029">
              <w:r>
                <w:rPr>
                  <w:rStyle w:val="InternetLink"/>
                  <w:rFonts w:ascii="Arial;Helvetica;Sans-Serif" w:hAnsi="Arial;Helvetica;Sans-Serif"/>
                  <w:b w:val="false"/>
                  <w:i w:val="false"/>
                  <w:caps w:val="false"/>
                  <w:smallCaps w:val="false"/>
                  <w:strike w:val="false"/>
                  <w:dstrike w:val="false"/>
                  <w:color w:val="000000"/>
                  <w:sz w:val="18"/>
                  <w:u w:val="none"/>
                  <w:effect w:val="none"/>
                </w:rPr>
                <w:t>Awards Under the 2023 Plan</w:t>
              </w:r>
            </w:hyperlink>
          </w:p>
        </w:tc>
        <w:tc>
          <w:tcPr>
            <w:tcW w:w="245" w:type="dxa"/>
            <w:tcBorders/>
            <w:shd w:fill="auto" w:val="clear"/>
            <w:vAlign w:val="center"/>
          </w:tcPr>
          <w:p>
            <w:pPr>
              <w:pStyle w:val="TableContents"/>
              <w:spacing w:before="0" w:after="283"/>
              <w:jc w:val="right"/>
              <w:rPr/>
            </w:pPr>
            <w:hyperlink w:anchor="lrarea029">
              <w:r>
                <w:rPr>
                  <w:rStyle w:val="InternetLink"/>
                  <w:rFonts w:ascii="Arial;Helvetica;Sans-Serif" w:hAnsi="Arial;Helvetica;Sans-Serif"/>
                  <w:b w:val="false"/>
                  <w:i w:val="false"/>
                  <w:caps w:val="false"/>
                  <w:smallCaps w:val="false"/>
                  <w:strike w:val="false"/>
                  <w:dstrike w:val="false"/>
                  <w:color w:val="000000"/>
                  <w:sz w:val="18"/>
                  <w:u w:val="none"/>
                  <w:effect w:val="none"/>
                </w:rPr>
                <w:t>19</w:t>
              </w:r>
            </w:hyperlink>
          </w:p>
        </w:tc>
      </w:tr>
      <w:tr>
        <w:trPr/>
        <w:tc>
          <w:tcPr>
            <w:tcW w:w="9960" w:type="dxa"/>
            <w:tcBorders/>
            <w:shd w:fill="auto" w:val="clear"/>
            <w:vAlign w:val="center"/>
          </w:tcPr>
          <w:p>
            <w:pPr>
              <w:pStyle w:val="TableContents"/>
              <w:spacing w:before="0" w:after="283"/>
              <w:rPr/>
            </w:pPr>
            <w:hyperlink w:anchor="lrarea030">
              <w:r>
                <w:rPr>
                  <w:rStyle w:val="InternetLink"/>
                  <w:rFonts w:ascii="Arial;Helvetica;Sans-Serif" w:hAnsi="Arial;Helvetica;Sans-Serif"/>
                  <w:b w:val="false"/>
                  <w:i w:val="false"/>
                  <w:caps w:val="false"/>
                  <w:smallCaps w:val="false"/>
                  <w:strike w:val="false"/>
                  <w:dstrike w:val="false"/>
                  <w:color w:val="000000"/>
                  <w:sz w:val="18"/>
                  <w:u w:val="none"/>
                  <w:effect w:val="none"/>
                </w:rPr>
                <w:t>Stock Options</w:t>
              </w:r>
            </w:hyperlink>
          </w:p>
        </w:tc>
        <w:tc>
          <w:tcPr>
            <w:tcW w:w="245" w:type="dxa"/>
            <w:tcBorders/>
            <w:shd w:fill="auto" w:val="clear"/>
            <w:vAlign w:val="center"/>
          </w:tcPr>
          <w:p>
            <w:pPr>
              <w:pStyle w:val="TableContents"/>
              <w:spacing w:before="0" w:after="283"/>
              <w:jc w:val="right"/>
              <w:rPr/>
            </w:pPr>
            <w:hyperlink w:anchor="lrarea030">
              <w:r>
                <w:rPr>
                  <w:rStyle w:val="InternetLink"/>
                  <w:rFonts w:ascii="Arial;Helvetica;Sans-Serif" w:hAnsi="Arial;Helvetica;Sans-Serif"/>
                  <w:b w:val="false"/>
                  <w:i w:val="false"/>
                  <w:caps w:val="false"/>
                  <w:smallCaps w:val="false"/>
                  <w:strike w:val="false"/>
                  <w:dstrike w:val="false"/>
                  <w:color w:val="000000"/>
                  <w:sz w:val="18"/>
                  <w:u w:val="none"/>
                  <w:effect w:val="none"/>
                </w:rPr>
                <w:t>19</w:t>
              </w:r>
            </w:hyperlink>
          </w:p>
        </w:tc>
      </w:tr>
      <w:tr>
        <w:trPr/>
        <w:tc>
          <w:tcPr>
            <w:tcW w:w="9960" w:type="dxa"/>
            <w:tcBorders/>
            <w:shd w:fill="auto" w:val="clear"/>
            <w:vAlign w:val="center"/>
          </w:tcPr>
          <w:p>
            <w:pPr>
              <w:pStyle w:val="TableContents"/>
              <w:spacing w:before="0" w:after="283"/>
              <w:rPr/>
            </w:pPr>
            <w:hyperlink w:anchor="lrarea031">
              <w:r>
                <w:rPr>
                  <w:rStyle w:val="InternetLink"/>
                  <w:rFonts w:ascii="Arial;Helvetica;Sans-Serif" w:hAnsi="Arial;Helvetica;Sans-Serif"/>
                  <w:b w:val="false"/>
                  <w:i w:val="false"/>
                  <w:caps w:val="false"/>
                  <w:smallCaps w:val="false"/>
                  <w:strike w:val="false"/>
                  <w:dstrike w:val="false"/>
                  <w:color w:val="000000"/>
                  <w:sz w:val="18"/>
                  <w:u w:val="none"/>
                  <w:effect w:val="none"/>
                </w:rPr>
                <w:t>SARs</w:t>
              </w:r>
            </w:hyperlink>
          </w:p>
        </w:tc>
        <w:tc>
          <w:tcPr>
            <w:tcW w:w="245" w:type="dxa"/>
            <w:tcBorders/>
            <w:shd w:fill="auto" w:val="clear"/>
            <w:vAlign w:val="center"/>
          </w:tcPr>
          <w:p>
            <w:pPr>
              <w:pStyle w:val="TableContents"/>
              <w:spacing w:before="0" w:after="283"/>
              <w:jc w:val="right"/>
              <w:rPr/>
            </w:pPr>
            <w:hyperlink w:anchor="lrarea031">
              <w:r>
                <w:rPr>
                  <w:rStyle w:val="InternetLink"/>
                  <w:rFonts w:ascii="Arial;Helvetica;Sans-Serif" w:hAnsi="Arial;Helvetica;Sans-Serif"/>
                  <w:b w:val="false"/>
                  <w:i w:val="false"/>
                  <w:caps w:val="false"/>
                  <w:smallCaps w:val="false"/>
                  <w:strike w:val="false"/>
                  <w:dstrike w:val="false"/>
                  <w:color w:val="000000"/>
                  <w:sz w:val="18"/>
                  <w:u w:val="none"/>
                  <w:effect w:val="none"/>
                </w:rPr>
                <w:t>20</w:t>
              </w:r>
            </w:hyperlink>
          </w:p>
        </w:tc>
      </w:tr>
      <w:tr>
        <w:trPr/>
        <w:tc>
          <w:tcPr>
            <w:tcW w:w="9960" w:type="dxa"/>
            <w:tcBorders/>
            <w:shd w:fill="auto" w:val="clear"/>
            <w:vAlign w:val="center"/>
          </w:tcPr>
          <w:p>
            <w:pPr>
              <w:pStyle w:val="TableContents"/>
              <w:spacing w:before="0" w:after="283"/>
              <w:rPr/>
            </w:pPr>
            <w:hyperlink w:anchor="lrarea032">
              <w:r>
                <w:rPr>
                  <w:rStyle w:val="InternetLink"/>
                  <w:rFonts w:ascii="Arial;Helvetica;Sans-Serif" w:hAnsi="Arial;Helvetica;Sans-Serif"/>
                  <w:b w:val="false"/>
                  <w:i w:val="false"/>
                  <w:caps w:val="false"/>
                  <w:smallCaps w:val="false"/>
                  <w:strike w:val="false"/>
                  <w:dstrike w:val="false"/>
                  <w:color w:val="000000"/>
                  <w:sz w:val="18"/>
                  <w:u w:val="none"/>
                  <w:effect w:val="none"/>
                </w:rPr>
                <w:t>Restricted and Unrestricted Stock</w:t>
              </w:r>
            </w:hyperlink>
          </w:p>
        </w:tc>
        <w:tc>
          <w:tcPr>
            <w:tcW w:w="245" w:type="dxa"/>
            <w:tcBorders/>
            <w:shd w:fill="auto" w:val="clear"/>
            <w:vAlign w:val="center"/>
          </w:tcPr>
          <w:p>
            <w:pPr>
              <w:pStyle w:val="TableContents"/>
              <w:spacing w:before="0" w:after="283"/>
              <w:jc w:val="right"/>
              <w:rPr/>
            </w:pPr>
            <w:hyperlink w:anchor="lrarea032">
              <w:r>
                <w:rPr>
                  <w:rStyle w:val="InternetLink"/>
                  <w:rFonts w:ascii="Arial;Helvetica;Sans-Serif" w:hAnsi="Arial;Helvetica;Sans-Serif"/>
                  <w:b w:val="false"/>
                  <w:i w:val="false"/>
                  <w:caps w:val="false"/>
                  <w:smallCaps w:val="false"/>
                  <w:strike w:val="false"/>
                  <w:dstrike w:val="false"/>
                  <w:color w:val="000000"/>
                  <w:sz w:val="18"/>
                  <w:u w:val="none"/>
                  <w:effect w:val="none"/>
                </w:rPr>
                <w:t>20</w:t>
              </w:r>
            </w:hyperlink>
          </w:p>
        </w:tc>
      </w:tr>
      <w:tr>
        <w:trPr/>
        <w:tc>
          <w:tcPr>
            <w:tcW w:w="9960" w:type="dxa"/>
            <w:tcBorders/>
            <w:shd w:fill="auto" w:val="clear"/>
            <w:vAlign w:val="center"/>
          </w:tcPr>
          <w:p>
            <w:pPr>
              <w:pStyle w:val="TableContents"/>
              <w:spacing w:before="0" w:after="283"/>
              <w:rPr/>
            </w:pPr>
            <w:hyperlink w:anchor="lrarea033">
              <w:r>
                <w:rPr>
                  <w:rStyle w:val="InternetLink"/>
                  <w:rFonts w:ascii="Arial;Helvetica;Sans-Serif" w:hAnsi="Arial;Helvetica;Sans-Serif"/>
                  <w:b w:val="false"/>
                  <w:i w:val="false"/>
                  <w:caps w:val="false"/>
                  <w:smallCaps w:val="false"/>
                  <w:strike w:val="false"/>
                  <w:dstrike w:val="false"/>
                  <w:color w:val="000000"/>
                  <w:sz w:val="18"/>
                  <w:u w:val="none"/>
                  <w:effect w:val="none"/>
                </w:rPr>
                <w:t>Stock Units</w:t>
              </w:r>
            </w:hyperlink>
          </w:p>
        </w:tc>
        <w:tc>
          <w:tcPr>
            <w:tcW w:w="245" w:type="dxa"/>
            <w:tcBorders/>
            <w:shd w:fill="auto" w:val="clear"/>
            <w:vAlign w:val="center"/>
          </w:tcPr>
          <w:p>
            <w:pPr>
              <w:pStyle w:val="TableContents"/>
              <w:spacing w:before="0" w:after="283"/>
              <w:jc w:val="right"/>
              <w:rPr/>
            </w:pPr>
            <w:hyperlink w:anchor="lrarea033">
              <w:r>
                <w:rPr>
                  <w:rStyle w:val="InternetLink"/>
                  <w:rFonts w:ascii="Arial;Helvetica;Sans-Serif" w:hAnsi="Arial;Helvetica;Sans-Serif"/>
                  <w:b w:val="false"/>
                  <w:i w:val="false"/>
                  <w:caps w:val="false"/>
                  <w:smallCaps w:val="false"/>
                  <w:strike w:val="false"/>
                  <w:dstrike w:val="false"/>
                  <w:color w:val="000000"/>
                  <w:sz w:val="18"/>
                  <w:u w:val="none"/>
                  <w:effect w:val="none"/>
                </w:rPr>
                <w:t>20</w:t>
              </w:r>
            </w:hyperlink>
          </w:p>
        </w:tc>
      </w:tr>
      <w:tr>
        <w:trPr/>
        <w:tc>
          <w:tcPr>
            <w:tcW w:w="9960" w:type="dxa"/>
            <w:tcBorders/>
            <w:shd w:fill="auto" w:val="clear"/>
            <w:vAlign w:val="center"/>
          </w:tcPr>
          <w:p>
            <w:pPr>
              <w:pStyle w:val="TableContents"/>
              <w:spacing w:before="0" w:after="283"/>
              <w:rPr/>
            </w:pPr>
            <w:hyperlink w:anchor="lrarea034">
              <w:r>
                <w:rPr>
                  <w:rStyle w:val="InternetLink"/>
                  <w:rFonts w:ascii="Arial;Helvetica;Sans-Serif" w:hAnsi="Arial;Helvetica;Sans-Serif"/>
                  <w:b w:val="false"/>
                  <w:i w:val="false"/>
                  <w:caps w:val="false"/>
                  <w:smallCaps w:val="false"/>
                  <w:strike w:val="false"/>
                  <w:dstrike w:val="false"/>
                  <w:color w:val="000000"/>
                  <w:sz w:val="18"/>
                  <w:u w:val="none"/>
                  <w:effect w:val="none"/>
                </w:rPr>
                <w:t>Performance Awards</w:t>
              </w:r>
            </w:hyperlink>
          </w:p>
        </w:tc>
        <w:tc>
          <w:tcPr>
            <w:tcW w:w="245" w:type="dxa"/>
            <w:tcBorders/>
            <w:shd w:fill="auto" w:val="clear"/>
            <w:vAlign w:val="center"/>
          </w:tcPr>
          <w:p>
            <w:pPr>
              <w:pStyle w:val="TableContents"/>
              <w:spacing w:before="0" w:after="283"/>
              <w:jc w:val="right"/>
              <w:rPr/>
            </w:pPr>
            <w:hyperlink w:anchor="lrarea034">
              <w:r>
                <w:rPr>
                  <w:rStyle w:val="InternetLink"/>
                  <w:rFonts w:ascii="Arial;Helvetica;Sans-Serif" w:hAnsi="Arial;Helvetica;Sans-Serif"/>
                  <w:b w:val="false"/>
                  <w:i w:val="false"/>
                  <w:caps w:val="false"/>
                  <w:smallCaps w:val="false"/>
                  <w:strike w:val="false"/>
                  <w:dstrike w:val="false"/>
                  <w:color w:val="000000"/>
                  <w:sz w:val="18"/>
                  <w:u w:val="none"/>
                  <w:effect w:val="none"/>
                </w:rPr>
                <w:t>20</w:t>
              </w:r>
            </w:hyperlink>
          </w:p>
        </w:tc>
      </w:tr>
      <w:tr>
        <w:trPr/>
        <w:tc>
          <w:tcPr>
            <w:tcW w:w="9960" w:type="dxa"/>
            <w:tcBorders/>
            <w:shd w:fill="auto" w:val="clear"/>
            <w:vAlign w:val="center"/>
          </w:tcPr>
          <w:p>
            <w:pPr>
              <w:pStyle w:val="TableContents"/>
              <w:spacing w:before="0" w:after="283"/>
              <w:rPr/>
            </w:pPr>
            <w:hyperlink w:anchor="lrarea035">
              <w:r>
                <w:rPr>
                  <w:rStyle w:val="InternetLink"/>
                  <w:rFonts w:ascii="Arial;Helvetica;Sans-Serif" w:hAnsi="Arial;Helvetica;Sans-Serif"/>
                  <w:b w:val="false"/>
                  <w:i w:val="false"/>
                  <w:caps w:val="false"/>
                  <w:smallCaps w:val="false"/>
                  <w:strike w:val="false"/>
                  <w:dstrike w:val="false"/>
                  <w:color w:val="000000"/>
                  <w:sz w:val="18"/>
                  <w:u w:val="none"/>
                  <w:effect w:val="none"/>
                </w:rPr>
                <w:t>Cash Awards</w:t>
              </w:r>
            </w:hyperlink>
          </w:p>
        </w:tc>
        <w:tc>
          <w:tcPr>
            <w:tcW w:w="245" w:type="dxa"/>
            <w:tcBorders/>
            <w:shd w:fill="auto" w:val="clear"/>
            <w:vAlign w:val="center"/>
          </w:tcPr>
          <w:p>
            <w:pPr>
              <w:pStyle w:val="TableContents"/>
              <w:spacing w:before="0" w:after="283"/>
              <w:jc w:val="right"/>
              <w:rPr/>
            </w:pPr>
            <w:hyperlink w:anchor="lrarea035">
              <w:r>
                <w:rPr>
                  <w:rStyle w:val="InternetLink"/>
                  <w:rFonts w:ascii="Arial;Helvetica;Sans-Serif" w:hAnsi="Arial;Helvetica;Sans-Serif"/>
                  <w:b w:val="false"/>
                  <w:i w:val="false"/>
                  <w:caps w:val="false"/>
                  <w:smallCaps w:val="false"/>
                  <w:strike w:val="false"/>
                  <w:dstrike w:val="false"/>
                  <w:color w:val="000000"/>
                  <w:sz w:val="18"/>
                  <w:u w:val="none"/>
                  <w:effect w:val="none"/>
                </w:rPr>
                <w:t>20</w:t>
              </w:r>
            </w:hyperlink>
          </w:p>
        </w:tc>
      </w:tr>
      <w:tr>
        <w:trPr/>
        <w:tc>
          <w:tcPr>
            <w:tcW w:w="9960" w:type="dxa"/>
            <w:tcBorders/>
            <w:shd w:fill="auto" w:val="clear"/>
            <w:vAlign w:val="center"/>
          </w:tcPr>
          <w:p>
            <w:pPr>
              <w:pStyle w:val="TableContents"/>
              <w:spacing w:before="0" w:after="283"/>
              <w:rPr/>
            </w:pPr>
            <w:hyperlink w:anchor="lrarea036">
              <w:r>
                <w:rPr>
                  <w:rStyle w:val="InternetLink"/>
                  <w:rFonts w:ascii="Arial;Helvetica;Sans-Serif" w:hAnsi="Arial;Helvetica;Sans-Serif"/>
                  <w:b w:val="false"/>
                  <w:i w:val="false"/>
                  <w:caps w:val="false"/>
                  <w:smallCaps w:val="false"/>
                  <w:strike w:val="false"/>
                  <w:dstrike w:val="false"/>
                  <w:color w:val="000000"/>
                  <w:sz w:val="18"/>
                  <w:u w:val="none"/>
                  <w:effect w:val="none"/>
                </w:rPr>
                <w:t>Termination of Employment</w:t>
              </w:r>
            </w:hyperlink>
          </w:p>
        </w:tc>
        <w:tc>
          <w:tcPr>
            <w:tcW w:w="245" w:type="dxa"/>
            <w:tcBorders/>
            <w:shd w:fill="auto" w:val="clear"/>
            <w:vAlign w:val="center"/>
          </w:tcPr>
          <w:p>
            <w:pPr>
              <w:pStyle w:val="TableContents"/>
              <w:spacing w:before="0" w:after="283"/>
              <w:jc w:val="right"/>
              <w:rPr/>
            </w:pPr>
            <w:hyperlink w:anchor="lrarea036">
              <w:r>
                <w:rPr>
                  <w:rStyle w:val="InternetLink"/>
                  <w:rFonts w:ascii="Arial;Helvetica;Sans-Serif" w:hAnsi="Arial;Helvetica;Sans-Serif"/>
                  <w:b w:val="false"/>
                  <w:i w:val="false"/>
                  <w:caps w:val="false"/>
                  <w:smallCaps w:val="false"/>
                  <w:strike w:val="false"/>
                  <w:dstrike w:val="false"/>
                  <w:color w:val="000000"/>
                  <w:sz w:val="18"/>
                  <w:u w:val="none"/>
                  <w:effect w:val="none"/>
                </w:rPr>
                <w:t>20</w:t>
              </w:r>
            </w:hyperlink>
          </w:p>
        </w:tc>
      </w:tr>
      <w:tr>
        <w:trPr/>
        <w:tc>
          <w:tcPr>
            <w:tcW w:w="9960" w:type="dxa"/>
            <w:tcBorders/>
            <w:shd w:fill="auto" w:val="clear"/>
            <w:vAlign w:val="center"/>
          </w:tcPr>
          <w:p>
            <w:pPr>
              <w:pStyle w:val="TableContents"/>
              <w:spacing w:before="0" w:after="283"/>
              <w:rPr/>
            </w:pPr>
            <w:hyperlink w:anchor="lrarea037">
              <w:r>
                <w:rPr>
                  <w:rStyle w:val="InternetLink"/>
                  <w:rFonts w:ascii="Arial;Helvetica;Sans-Serif" w:hAnsi="Arial;Helvetica;Sans-Serif"/>
                  <w:b w:val="false"/>
                  <w:i w:val="false"/>
                  <w:caps w:val="false"/>
                  <w:smallCaps w:val="false"/>
                  <w:strike w:val="false"/>
                  <w:dstrike w:val="false"/>
                  <w:color w:val="000000"/>
                  <w:sz w:val="18"/>
                  <w:u w:val="none"/>
                  <w:effect w:val="none"/>
                </w:rPr>
                <w:t>Transferability</w:t>
              </w:r>
            </w:hyperlink>
          </w:p>
        </w:tc>
        <w:tc>
          <w:tcPr>
            <w:tcW w:w="245" w:type="dxa"/>
            <w:tcBorders/>
            <w:shd w:fill="auto" w:val="clear"/>
            <w:vAlign w:val="center"/>
          </w:tcPr>
          <w:p>
            <w:pPr>
              <w:pStyle w:val="TableContents"/>
              <w:spacing w:before="0" w:after="283"/>
              <w:jc w:val="right"/>
              <w:rPr/>
            </w:pPr>
            <w:hyperlink w:anchor="lrarea037">
              <w:r>
                <w:rPr>
                  <w:rStyle w:val="InternetLink"/>
                  <w:rFonts w:ascii="Arial;Helvetica;Sans-Serif" w:hAnsi="Arial;Helvetica;Sans-Serif"/>
                  <w:b w:val="false"/>
                  <w:i w:val="false"/>
                  <w:caps w:val="false"/>
                  <w:smallCaps w:val="false"/>
                  <w:strike w:val="false"/>
                  <w:dstrike w:val="false"/>
                  <w:color w:val="000000"/>
                  <w:sz w:val="18"/>
                  <w:u w:val="none"/>
                  <w:effect w:val="none"/>
                </w:rPr>
                <w:t>20</w:t>
              </w:r>
            </w:hyperlink>
          </w:p>
        </w:tc>
      </w:tr>
      <w:tr>
        <w:trPr/>
        <w:tc>
          <w:tcPr>
            <w:tcW w:w="9960" w:type="dxa"/>
            <w:tcBorders/>
            <w:shd w:fill="auto" w:val="clear"/>
            <w:vAlign w:val="center"/>
          </w:tcPr>
          <w:p>
            <w:pPr>
              <w:pStyle w:val="TableContents"/>
              <w:spacing w:before="0" w:after="283"/>
              <w:rPr/>
            </w:pPr>
            <w:hyperlink w:anchor="lrarea038">
              <w:r>
                <w:rPr>
                  <w:rStyle w:val="InternetLink"/>
                  <w:rFonts w:ascii="Arial;Helvetica;Sans-Serif" w:hAnsi="Arial;Helvetica;Sans-Serif"/>
                  <w:b w:val="false"/>
                  <w:i w:val="false"/>
                  <w:caps w:val="false"/>
                  <w:smallCaps w:val="false"/>
                  <w:strike w:val="false"/>
                  <w:dstrike w:val="false"/>
                  <w:color w:val="000000"/>
                  <w:sz w:val="18"/>
                  <w:u w:val="none"/>
                  <w:effect w:val="none"/>
                </w:rPr>
                <w:t>Clawback; Recovery of Compensation</w:t>
              </w:r>
            </w:hyperlink>
          </w:p>
        </w:tc>
        <w:tc>
          <w:tcPr>
            <w:tcW w:w="245" w:type="dxa"/>
            <w:tcBorders/>
            <w:shd w:fill="auto" w:val="clear"/>
            <w:vAlign w:val="center"/>
          </w:tcPr>
          <w:p>
            <w:pPr>
              <w:pStyle w:val="TableContents"/>
              <w:spacing w:before="0" w:after="283"/>
              <w:jc w:val="right"/>
              <w:rPr/>
            </w:pPr>
            <w:hyperlink w:anchor="lrarea038">
              <w:r>
                <w:rPr>
                  <w:rStyle w:val="InternetLink"/>
                  <w:rFonts w:ascii="Arial;Helvetica;Sans-Serif" w:hAnsi="Arial;Helvetica;Sans-Serif"/>
                  <w:b w:val="false"/>
                  <w:i w:val="false"/>
                  <w:caps w:val="false"/>
                  <w:smallCaps w:val="false"/>
                  <w:strike w:val="false"/>
                  <w:dstrike w:val="false"/>
                  <w:color w:val="000000"/>
                  <w:sz w:val="18"/>
                  <w:u w:val="none"/>
                  <w:effect w:val="none"/>
                </w:rPr>
                <w:t>21</w:t>
              </w:r>
            </w:hyperlink>
          </w:p>
        </w:tc>
      </w:tr>
      <w:tr>
        <w:trPr/>
        <w:tc>
          <w:tcPr>
            <w:tcW w:w="9960" w:type="dxa"/>
            <w:tcBorders/>
            <w:shd w:fill="auto" w:val="clear"/>
            <w:vAlign w:val="center"/>
          </w:tcPr>
          <w:p>
            <w:pPr>
              <w:pStyle w:val="TableContents"/>
              <w:spacing w:before="0" w:after="283"/>
              <w:rPr/>
            </w:pPr>
            <w:hyperlink w:anchor="lrarea039">
              <w:r>
                <w:rPr>
                  <w:rStyle w:val="InternetLink"/>
                  <w:rFonts w:ascii="Arial;Helvetica;Sans-Serif" w:hAnsi="Arial;Helvetica;Sans-Serif"/>
                  <w:b w:val="false"/>
                  <w:i w:val="false"/>
                  <w:caps w:val="false"/>
                  <w:smallCaps w:val="false"/>
                  <w:strike w:val="false"/>
                  <w:dstrike w:val="false"/>
                  <w:color w:val="000000"/>
                  <w:sz w:val="18"/>
                  <w:u w:val="none"/>
                  <w:effect w:val="none"/>
                </w:rPr>
                <w:t>Covered Transaction</w:t>
              </w:r>
            </w:hyperlink>
          </w:p>
        </w:tc>
        <w:tc>
          <w:tcPr>
            <w:tcW w:w="245" w:type="dxa"/>
            <w:tcBorders/>
            <w:shd w:fill="auto" w:val="clear"/>
            <w:vAlign w:val="center"/>
          </w:tcPr>
          <w:p>
            <w:pPr>
              <w:pStyle w:val="TableContents"/>
              <w:spacing w:before="0" w:after="283"/>
              <w:jc w:val="right"/>
              <w:rPr/>
            </w:pPr>
            <w:hyperlink w:anchor="lrarea039">
              <w:r>
                <w:rPr>
                  <w:rStyle w:val="InternetLink"/>
                  <w:rFonts w:ascii="Arial;Helvetica;Sans-Serif" w:hAnsi="Arial;Helvetica;Sans-Serif"/>
                  <w:b w:val="false"/>
                  <w:i w:val="false"/>
                  <w:caps w:val="false"/>
                  <w:smallCaps w:val="false"/>
                  <w:strike w:val="false"/>
                  <w:dstrike w:val="false"/>
                  <w:color w:val="000000"/>
                  <w:sz w:val="18"/>
                  <w:u w:val="none"/>
                  <w:effect w:val="none"/>
                </w:rPr>
                <w:t>21</w:t>
              </w:r>
            </w:hyperlink>
          </w:p>
        </w:tc>
      </w:tr>
      <w:tr>
        <w:trPr/>
        <w:tc>
          <w:tcPr>
            <w:tcW w:w="9960" w:type="dxa"/>
            <w:tcBorders/>
            <w:shd w:fill="auto" w:val="clear"/>
            <w:vAlign w:val="center"/>
          </w:tcPr>
          <w:p>
            <w:pPr>
              <w:pStyle w:val="TableContents"/>
              <w:spacing w:before="0" w:after="283"/>
              <w:rPr/>
            </w:pPr>
            <w:hyperlink w:anchor="lrarea040">
              <w:r>
                <w:rPr>
                  <w:rStyle w:val="InternetLink"/>
                  <w:rFonts w:ascii="Arial;Helvetica;Sans-Serif" w:hAnsi="Arial;Helvetica;Sans-Serif"/>
                  <w:b w:val="false"/>
                  <w:i w:val="false"/>
                  <w:caps w:val="false"/>
                  <w:smallCaps w:val="false"/>
                  <w:strike w:val="false"/>
                  <w:dstrike w:val="false"/>
                  <w:color w:val="000000"/>
                  <w:sz w:val="18"/>
                  <w:u w:val="none"/>
                  <w:effect w:val="none"/>
                </w:rPr>
                <w:t>Prohibition Against Repricing</w:t>
              </w:r>
            </w:hyperlink>
          </w:p>
        </w:tc>
        <w:tc>
          <w:tcPr>
            <w:tcW w:w="245" w:type="dxa"/>
            <w:tcBorders/>
            <w:shd w:fill="auto" w:val="clear"/>
            <w:vAlign w:val="center"/>
          </w:tcPr>
          <w:p>
            <w:pPr>
              <w:pStyle w:val="TableContents"/>
              <w:spacing w:before="0" w:after="283"/>
              <w:jc w:val="right"/>
              <w:rPr/>
            </w:pPr>
            <w:hyperlink w:anchor="lrarea040">
              <w:r>
                <w:rPr>
                  <w:rStyle w:val="InternetLink"/>
                  <w:rFonts w:ascii="Arial;Helvetica;Sans-Serif" w:hAnsi="Arial;Helvetica;Sans-Serif"/>
                  <w:b w:val="false"/>
                  <w:i w:val="false"/>
                  <w:caps w:val="false"/>
                  <w:smallCaps w:val="false"/>
                  <w:strike w:val="false"/>
                  <w:dstrike w:val="false"/>
                  <w:color w:val="000000"/>
                  <w:sz w:val="18"/>
                  <w:u w:val="none"/>
                  <w:effect w:val="none"/>
                </w:rPr>
                <w:t>21</w:t>
              </w:r>
            </w:hyperlink>
          </w:p>
        </w:tc>
      </w:tr>
      <w:tr>
        <w:trPr/>
        <w:tc>
          <w:tcPr>
            <w:tcW w:w="9960" w:type="dxa"/>
            <w:tcBorders/>
            <w:shd w:fill="auto" w:val="clear"/>
            <w:vAlign w:val="center"/>
          </w:tcPr>
          <w:p>
            <w:pPr>
              <w:pStyle w:val="TableContents"/>
              <w:spacing w:before="0" w:after="283"/>
              <w:rPr/>
            </w:pPr>
            <w:hyperlink w:anchor="lrarea041">
              <w:r>
                <w:rPr>
                  <w:rStyle w:val="InternetLink"/>
                  <w:rFonts w:ascii="Arial;Helvetica;Sans-Serif" w:hAnsi="Arial;Helvetica;Sans-Serif"/>
                  <w:b w:val="false"/>
                  <w:i w:val="false"/>
                  <w:caps w:val="false"/>
                  <w:smallCaps w:val="false"/>
                  <w:strike w:val="false"/>
                  <w:dstrike w:val="false"/>
                  <w:color w:val="000000"/>
                  <w:sz w:val="18"/>
                  <w:u w:val="none"/>
                  <w:effect w:val="none"/>
                </w:rPr>
                <w:t>Adjustment</w:t>
              </w:r>
            </w:hyperlink>
          </w:p>
        </w:tc>
        <w:tc>
          <w:tcPr>
            <w:tcW w:w="245" w:type="dxa"/>
            <w:tcBorders/>
            <w:shd w:fill="auto" w:val="clear"/>
            <w:vAlign w:val="center"/>
          </w:tcPr>
          <w:p>
            <w:pPr>
              <w:pStyle w:val="TableContents"/>
              <w:spacing w:before="0" w:after="283"/>
              <w:jc w:val="right"/>
              <w:rPr/>
            </w:pPr>
            <w:hyperlink w:anchor="lrarea041">
              <w:r>
                <w:rPr>
                  <w:rStyle w:val="InternetLink"/>
                  <w:rFonts w:ascii="Arial;Helvetica;Sans-Serif" w:hAnsi="Arial;Helvetica;Sans-Serif"/>
                  <w:b w:val="false"/>
                  <w:i w:val="false"/>
                  <w:caps w:val="false"/>
                  <w:smallCaps w:val="false"/>
                  <w:strike w:val="false"/>
                  <w:dstrike w:val="false"/>
                  <w:color w:val="000000"/>
                  <w:sz w:val="18"/>
                  <w:u w:val="none"/>
                  <w:effect w:val="none"/>
                </w:rPr>
                <w:t>21</w:t>
              </w:r>
            </w:hyperlink>
          </w:p>
        </w:tc>
      </w:tr>
      <w:tr>
        <w:trPr/>
        <w:tc>
          <w:tcPr>
            <w:tcW w:w="9960" w:type="dxa"/>
            <w:tcBorders/>
            <w:shd w:fill="auto" w:val="clear"/>
            <w:vAlign w:val="center"/>
          </w:tcPr>
          <w:p>
            <w:pPr>
              <w:pStyle w:val="TableContents"/>
              <w:spacing w:before="0" w:after="283"/>
              <w:rPr/>
            </w:pPr>
            <w:hyperlink w:anchor="lrarea042">
              <w:r>
                <w:rPr>
                  <w:rStyle w:val="InternetLink"/>
                  <w:rFonts w:ascii="Arial;Helvetica;Sans-Serif" w:hAnsi="Arial;Helvetica;Sans-Serif"/>
                  <w:b w:val="false"/>
                  <w:i w:val="false"/>
                  <w:caps w:val="false"/>
                  <w:smallCaps w:val="false"/>
                  <w:strike w:val="false"/>
                  <w:dstrike w:val="false"/>
                  <w:color w:val="000000"/>
                  <w:sz w:val="18"/>
                  <w:u w:val="none"/>
                  <w:effect w:val="none"/>
                </w:rPr>
                <w:t>Amendment and Termination</w:t>
              </w:r>
            </w:hyperlink>
          </w:p>
        </w:tc>
        <w:tc>
          <w:tcPr>
            <w:tcW w:w="245" w:type="dxa"/>
            <w:tcBorders/>
            <w:shd w:fill="auto" w:val="clear"/>
            <w:vAlign w:val="center"/>
          </w:tcPr>
          <w:p>
            <w:pPr>
              <w:pStyle w:val="TableContents"/>
              <w:spacing w:before="0" w:after="283"/>
              <w:jc w:val="right"/>
              <w:rPr/>
            </w:pPr>
            <w:hyperlink w:anchor="lrarea042">
              <w:r>
                <w:rPr>
                  <w:rStyle w:val="InternetLink"/>
                  <w:rFonts w:ascii="Arial;Helvetica;Sans-Serif" w:hAnsi="Arial;Helvetica;Sans-Serif"/>
                  <w:b w:val="false"/>
                  <w:i w:val="false"/>
                  <w:caps w:val="false"/>
                  <w:smallCaps w:val="false"/>
                  <w:strike w:val="false"/>
                  <w:dstrike w:val="false"/>
                  <w:color w:val="000000"/>
                  <w:sz w:val="18"/>
                  <w:u w:val="none"/>
                  <w:effect w:val="none"/>
                </w:rPr>
                <w:t>21</w:t>
              </w:r>
            </w:hyperlink>
          </w:p>
        </w:tc>
      </w:tr>
      <w:tr>
        <w:trPr/>
        <w:tc>
          <w:tcPr>
            <w:tcW w:w="9960" w:type="dxa"/>
            <w:tcBorders/>
            <w:shd w:fill="auto" w:val="clear"/>
            <w:vAlign w:val="center"/>
          </w:tcPr>
          <w:p>
            <w:pPr>
              <w:pStyle w:val="TableContents"/>
              <w:spacing w:before="0" w:after="283"/>
              <w:rPr/>
            </w:pPr>
            <w:hyperlink w:anchor="lrarea043">
              <w:r>
                <w:rPr>
                  <w:rStyle w:val="InternetLink"/>
                  <w:rFonts w:ascii="Arial;Helvetica;Sans-Serif" w:hAnsi="Arial;Helvetica;Sans-Serif"/>
                  <w:b w:val="false"/>
                  <w:i w:val="false"/>
                  <w:caps w:val="false"/>
                  <w:smallCaps w:val="false"/>
                  <w:strike w:val="false"/>
                  <w:dstrike w:val="false"/>
                  <w:color w:val="000000"/>
                  <w:sz w:val="18"/>
                  <w:u w:val="none"/>
                  <w:effect w:val="none"/>
                </w:rPr>
                <w:t>New Plan Benefits</w:t>
              </w:r>
            </w:hyperlink>
          </w:p>
        </w:tc>
        <w:tc>
          <w:tcPr>
            <w:tcW w:w="245" w:type="dxa"/>
            <w:tcBorders/>
            <w:shd w:fill="auto" w:val="clear"/>
            <w:vAlign w:val="center"/>
          </w:tcPr>
          <w:p>
            <w:pPr>
              <w:pStyle w:val="TableContents"/>
              <w:spacing w:before="0" w:after="283"/>
              <w:jc w:val="right"/>
              <w:rPr/>
            </w:pPr>
            <w:hyperlink w:anchor="lrarea043">
              <w:r>
                <w:rPr>
                  <w:rStyle w:val="InternetLink"/>
                  <w:rFonts w:ascii="Arial;Helvetica;Sans-Serif" w:hAnsi="Arial;Helvetica;Sans-Serif"/>
                  <w:b w:val="false"/>
                  <w:i w:val="false"/>
                  <w:caps w:val="false"/>
                  <w:smallCaps w:val="false"/>
                  <w:strike w:val="false"/>
                  <w:dstrike w:val="false"/>
                  <w:color w:val="000000"/>
                  <w:sz w:val="18"/>
                  <w:u w:val="none"/>
                  <w:effect w:val="none"/>
                </w:rPr>
                <w:t>21</w:t>
              </w:r>
            </w:hyperlink>
          </w:p>
        </w:tc>
      </w:tr>
      <w:tr>
        <w:trPr/>
        <w:tc>
          <w:tcPr>
            <w:tcW w:w="9960" w:type="dxa"/>
            <w:tcBorders/>
            <w:shd w:fill="auto" w:val="clear"/>
            <w:vAlign w:val="center"/>
          </w:tcPr>
          <w:p>
            <w:pPr>
              <w:pStyle w:val="TableContents"/>
              <w:spacing w:before="0" w:after="283"/>
              <w:rPr/>
            </w:pPr>
            <w:hyperlink w:anchor="lrarea044">
              <w:r>
                <w:rPr>
                  <w:rStyle w:val="InternetLink"/>
                  <w:rFonts w:ascii="Arial;Helvetica;Sans-Serif" w:hAnsi="Arial;Helvetica;Sans-Serif"/>
                  <w:b w:val="false"/>
                  <w:i w:val="false"/>
                  <w:caps w:val="false"/>
                  <w:smallCaps w:val="false"/>
                  <w:strike w:val="false"/>
                  <w:dstrike w:val="false"/>
                  <w:color w:val="000000"/>
                  <w:sz w:val="18"/>
                  <w:u w:val="none"/>
                  <w:effect w:val="none"/>
                </w:rPr>
                <w:t>Federal Income Tax Consequences</w:t>
              </w:r>
            </w:hyperlink>
          </w:p>
        </w:tc>
        <w:tc>
          <w:tcPr>
            <w:tcW w:w="245" w:type="dxa"/>
            <w:tcBorders/>
            <w:shd w:fill="auto" w:val="clear"/>
            <w:vAlign w:val="center"/>
          </w:tcPr>
          <w:p>
            <w:pPr>
              <w:pStyle w:val="TableContents"/>
              <w:spacing w:before="0" w:after="283"/>
              <w:jc w:val="right"/>
              <w:rPr/>
            </w:pPr>
            <w:hyperlink w:anchor="lrarea044">
              <w:r>
                <w:rPr>
                  <w:rStyle w:val="InternetLink"/>
                  <w:rFonts w:ascii="Arial;Helvetica;Sans-Serif" w:hAnsi="Arial;Helvetica;Sans-Serif"/>
                  <w:b w:val="false"/>
                  <w:i w:val="false"/>
                  <w:caps w:val="false"/>
                  <w:smallCaps w:val="false"/>
                  <w:strike w:val="false"/>
                  <w:dstrike w:val="false"/>
                  <w:color w:val="000000"/>
                  <w:sz w:val="18"/>
                  <w:u w:val="none"/>
                  <w:effect w:val="none"/>
                </w:rPr>
                <w:t>22</w:t>
              </w:r>
            </w:hyperlink>
          </w:p>
        </w:tc>
      </w:tr>
      <w:tr>
        <w:trPr/>
        <w:tc>
          <w:tcPr>
            <w:tcW w:w="9960" w:type="dxa"/>
            <w:tcBorders/>
            <w:shd w:fill="auto" w:val="clear"/>
            <w:vAlign w:val="center"/>
          </w:tcPr>
          <w:p>
            <w:pPr>
              <w:pStyle w:val="TableContents"/>
              <w:spacing w:before="0" w:after="283"/>
              <w:rPr/>
            </w:pPr>
            <w:hyperlink w:anchor="lrarea045">
              <w:r>
                <w:rPr>
                  <w:rStyle w:val="InternetLink"/>
                  <w:rFonts w:ascii="Arial;Helvetica;Sans-Serif" w:hAnsi="Arial;Helvetica;Sans-Serif"/>
                  <w:b w:val="false"/>
                  <w:i w:val="false"/>
                  <w:caps w:val="false"/>
                  <w:smallCaps w:val="false"/>
                  <w:strike w:val="false"/>
                  <w:dstrike w:val="false"/>
                  <w:color w:val="000000"/>
                  <w:sz w:val="18"/>
                  <w:u w:val="none"/>
                  <w:effect w:val="none"/>
                </w:rPr>
                <w:t>Stock Option Grants</w:t>
              </w:r>
            </w:hyperlink>
          </w:p>
        </w:tc>
        <w:tc>
          <w:tcPr>
            <w:tcW w:w="245" w:type="dxa"/>
            <w:tcBorders/>
            <w:shd w:fill="auto" w:val="clear"/>
            <w:vAlign w:val="center"/>
          </w:tcPr>
          <w:p>
            <w:pPr>
              <w:pStyle w:val="TableContents"/>
              <w:spacing w:before="0" w:after="283"/>
              <w:jc w:val="right"/>
              <w:rPr/>
            </w:pPr>
            <w:hyperlink w:anchor="lrarea045">
              <w:r>
                <w:rPr>
                  <w:rStyle w:val="InternetLink"/>
                  <w:rFonts w:ascii="Arial;Helvetica;Sans-Serif" w:hAnsi="Arial;Helvetica;Sans-Serif"/>
                  <w:b w:val="false"/>
                  <w:i w:val="false"/>
                  <w:caps w:val="false"/>
                  <w:smallCaps w:val="false"/>
                  <w:strike w:val="false"/>
                  <w:dstrike w:val="false"/>
                  <w:color w:val="000000"/>
                  <w:sz w:val="18"/>
                  <w:u w:val="none"/>
                  <w:effect w:val="none"/>
                </w:rPr>
                <w:t>22</w:t>
              </w:r>
            </w:hyperlink>
          </w:p>
        </w:tc>
      </w:tr>
      <w:tr>
        <w:trPr/>
        <w:tc>
          <w:tcPr>
            <w:tcW w:w="9960" w:type="dxa"/>
            <w:tcBorders/>
            <w:shd w:fill="auto" w:val="clear"/>
            <w:vAlign w:val="center"/>
          </w:tcPr>
          <w:p>
            <w:pPr>
              <w:pStyle w:val="TableContents"/>
              <w:spacing w:before="0" w:after="283"/>
              <w:rPr/>
            </w:pPr>
            <w:hyperlink w:anchor="lrarea046">
              <w:r>
                <w:rPr>
                  <w:rStyle w:val="InternetLink"/>
                  <w:rFonts w:ascii="Arial;Helvetica;Sans-Serif" w:hAnsi="Arial;Helvetica;Sans-Serif"/>
                  <w:b w:val="false"/>
                  <w:i w:val="false"/>
                  <w:caps w:val="false"/>
                  <w:smallCaps w:val="false"/>
                  <w:strike w:val="false"/>
                  <w:dstrike w:val="false"/>
                  <w:color w:val="000000"/>
                  <w:sz w:val="18"/>
                  <w:u w:val="none"/>
                  <w:effect w:val="none"/>
                </w:rPr>
                <w:t>Incentive Stock Options</w:t>
              </w:r>
            </w:hyperlink>
          </w:p>
        </w:tc>
        <w:tc>
          <w:tcPr>
            <w:tcW w:w="245" w:type="dxa"/>
            <w:tcBorders/>
            <w:shd w:fill="auto" w:val="clear"/>
            <w:vAlign w:val="center"/>
          </w:tcPr>
          <w:p>
            <w:pPr>
              <w:pStyle w:val="TableContents"/>
              <w:spacing w:before="0" w:after="283"/>
              <w:jc w:val="right"/>
              <w:rPr/>
            </w:pPr>
            <w:hyperlink w:anchor="lrarea046">
              <w:r>
                <w:rPr>
                  <w:rStyle w:val="InternetLink"/>
                  <w:rFonts w:ascii="Arial;Helvetica;Sans-Serif" w:hAnsi="Arial;Helvetica;Sans-Serif"/>
                  <w:b w:val="false"/>
                  <w:i w:val="false"/>
                  <w:caps w:val="false"/>
                  <w:smallCaps w:val="false"/>
                  <w:strike w:val="false"/>
                  <w:dstrike w:val="false"/>
                  <w:color w:val="000000"/>
                  <w:sz w:val="18"/>
                  <w:u w:val="none"/>
                  <w:effect w:val="none"/>
                </w:rPr>
                <w:t>22</w:t>
              </w:r>
            </w:hyperlink>
          </w:p>
        </w:tc>
      </w:tr>
      <w:tr>
        <w:trPr/>
        <w:tc>
          <w:tcPr>
            <w:tcW w:w="9960" w:type="dxa"/>
            <w:tcBorders/>
            <w:shd w:fill="auto" w:val="clear"/>
            <w:vAlign w:val="center"/>
          </w:tcPr>
          <w:p>
            <w:pPr>
              <w:pStyle w:val="TableContents"/>
              <w:spacing w:before="0" w:after="283"/>
              <w:rPr/>
            </w:pPr>
            <w:hyperlink w:anchor="lrarea047">
              <w:r>
                <w:rPr>
                  <w:rStyle w:val="InternetLink"/>
                  <w:rFonts w:ascii="Arial;Helvetica;Sans-Serif" w:hAnsi="Arial;Helvetica;Sans-Serif"/>
                  <w:b w:val="false"/>
                  <w:i w:val="false"/>
                  <w:caps w:val="false"/>
                  <w:smallCaps w:val="false"/>
                  <w:strike w:val="false"/>
                  <w:dstrike w:val="false"/>
                  <w:color w:val="000000"/>
                  <w:sz w:val="18"/>
                  <w:u w:val="none"/>
                  <w:effect w:val="none"/>
                </w:rPr>
                <w:t>Non-Statutory Stock Options</w:t>
              </w:r>
            </w:hyperlink>
          </w:p>
        </w:tc>
        <w:tc>
          <w:tcPr>
            <w:tcW w:w="245" w:type="dxa"/>
            <w:tcBorders/>
            <w:shd w:fill="auto" w:val="clear"/>
            <w:vAlign w:val="center"/>
          </w:tcPr>
          <w:p>
            <w:pPr>
              <w:pStyle w:val="TableContents"/>
              <w:spacing w:before="0" w:after="283"/>
              <w:jc w:val="right"/>
              <w:rPr/>
            </w:pPr>
            <w:hyperlink w:anchor="lrarea047">
              <w:r>
                <w:rPr>
                  <w:rStyle w:val="InternetLink"/>
                  <w:rFonts w:ascii="Arial;Helvetica;Sans-Serif" w:hAnsi="Arial;Helvetica;Sans-Serif"/>
                  <w:b w:val="false"/>
                  <w:i w:val="false"/>
                  <w:caps w:val="false"/>
                  <w:smallCaps w:val="false"/>
                  <w:strike w:val="false"/>
                  <w:dstrike w:val="false"/>
                  <w:color w:val="000000"/>
                  <w:sz w:val="18"/>
                  <w:u w:val="none"/>
                  <w:effect w:val="none"/>
                </w:rPr>
                <w:t>22</w:t>
              </w:r>
            </w:hyperlink>
          </w:p>
        </w:tc>
      </w:tr>
      <w:tr>
        <w:trPr/>
        <w:tc>
          <w:tcPr>
            <w:tcW w:w="9960" w:type="dxa"/>
            <w:tcBorders/>
            <w:shd w:fill="auto" w:val="clear"/>
            <w:vAlign w:val="center"/>
          </w:tcPr>
          <w:p>
            <w:pPr>
              <w:pStyle w:val="TableContents"/>
              <w:spacing w:before="0" w:after="283"/>
              <w:rPr/>
            </w:pPr>
            <w:hyperlink w:anchor="lrarea048">
              <w:r>
                <w:rPr>
                  <w:rStyle w:val="InternetLink"/>
                  <w:rFonts w:ascii="Arial;Helvetica;Sans-Serif" w:hAnsi="Arial;Helvetica;Sans-Serif"/>
                  <w:b w:val="false"/>
                  <w:i w:val="false"/>
                  <w:caps w:val="false"/>
                  <w:smallCaps w:val="false"/>
                  <w:strike w:val="false"/>
                  <w:dstrike w:val="false"/>
                  <w:color w:val="000000"/>
                  <w:sz w:val="18"/>
                  <w:u w:val="none"/>
                  <w:effect w:val="none"/>
                </w:rPr>
                <w:t>SARs</w:t>
              </w:r>
            </w:hyperlink>
          </w:p>
        </w:tc>
        <w:tc>
          <w:tcPr>
            <w:tcW w:w="245" w:type="dxa"/>
            <w:tcBorders/>
            <w:shd w:fill="auto" w:val="clear"/>
            <w:vAlign w:val="center"/>
          </w:tcPr>
          <w:p>
            <w:pPr>
              <w:pStyle w:val="TableContents"/>
              <w:spacing w:before="0" w:after="283"/>
              <w:jc w:val="right"/>
              <w:rPr/>
            </w:pPr>
            <w:hyperlink w:anchor="lrarea048">
              <w:r>
                <w:rPr>
                  <w:rStyle w:val="InternetLink"/>
                  <w:rFonts w:ascii="Arial;Helvetica;Sans-Serif" w:hAnsi="Arial;Helvetica;Sans-Serif"/>
                  <w:b w:val="false"/>
                  <w:i w:val="false"/>
                  <w:caps w:val="false"/>
                  <w:smallCaps w:val="false"/>
                  <w:strike w:val="false"/>
                  <w:dstrike w:val="false"/>
                  <w:color w:val="000000"/>
                  <w:sz w:val="18"/>
                  <w:u w:val="none"/>
                  <w:effect w:val="none"/>
                </w:rPr>
                <w:t>22</w:t>
              </w:r>
            </w:hyperlink>
          </w:p>
        </w:tc>
      </w:tr>
      <w:tr>
        <w:trPr/>
        <w:tc>
          <w:tcPr>
            <w:tcW w:w="9960" w:type="dxa"/>
            <w:tcBorders/>
            <w:shd w:fill="auto" w:val="clear"/>
            <w:vAlign w:val="center"/>
          </w:tcPr>
          <w:p>
            <w:pPr>
              <w:pStyle w:val="TableContents"/>
              <w:spacing w:before="0" w:after="283"/>
              <w:rPr/>
            </w:pPr>
            <w:hyperlink w:anchor="lrarea049">
              <w:r>
                <w:rPr>
                  <w:rStyle w:val="InternetLink"/>
                  <w:rFonts w:ascii="Arial;Helvetica;Sans-Serif" w:hAnsi="Arial;Helvetica;Sans-Serif"/>
                  <w:b w:val="false"/>
                  <w:i w:val="false"/>
                  <w:caps w:val="false"/>
                  <w:smallCaps w:val="false"/>
                  <w:strike w:val="false"/>
                  <w:dstrike w:val="false"/>
                  <w:color w:val="000000"/>
                  <w:sz w:val="18"/>
                  <w:u w:val="none"/>
                  <w:effect w:val="none"/>
                </w:rPr>
                <w:t>Stock Awards</w:t>
              </w:r>
            </w:hyperlink>
          </w:p>
        </w:tc>
        <w:tc>
          <w:tcPr>
            <w:tcW w:w="245" w:type="dxa"/>
            <w:tcBorders/>
            <w:shd w:fill="auto" w:val="clear"/>
            <w:vAlign w:val="center"/>
          </w:tcPr>
          <w:p>
            <w:pPr>
              <w:pStyle w:val="TableContents"/>
              <w:spacing w:before="0" w:after="283"/>
              <w:jc w:val="right"/>
              <w:rPr/>
            </w:pPr>
            <w:hyperlink w:anchor="lrarea049">
              <w:r>
                <w:rPr>
                  <w:rStyle w:val="InternetLink"/>
                  <w:rFonts w:ascii="Arial;Helvetica;Sans-Serif" w:hAnsi="Arial;Helvetica;Sans-Serif"/>
                  <w:b w:val="false"/>
                  <w:i w:val="false"/>
                  <w:caps w:val="false"/>
                  <w:smallCaps w:val="false"/>
                  <w:strike w:val="false"/>
                  <w:dstrike w:val="false"/>
                  <w:color w:val="000000"/>
                  <w:sz w:val="18"/>
                  <w:u w:val="none"/>
                  <w:effect w:val="none"/>
                </w:rPr>
                <w:t>22</w:t>
              </w:r>
            </w:hyperlink>
          </w:p>
        </w:tc>
      </w:tr>
      <w:tr>
        <w:trPr/>
        <w:tc>
          <w:tcPr>
            <w:tcW w:w="9960" w:type="dxa"/>
            <w:tcBorders/>
            <w:shd w:fill="auto" w:val="clear"/>
            <w:vAlign w:val="center"/>
          </w:tcPr>
          <w:p>
            <w:pPr>
              <w:pStyle w:val="TableContents"/>
              <w:spacing w:before="0" w:after="283"/>
              <w:rPr/>
            </w:pPr>
            <w:hyperlink w:anchor="lrarea050">
              <w:r>
                <w:rPr>
                  <w:rStyle w:val="InternetLink"/>
                  <w:rFonts w:ascii="Arial;Helvetica;Sans-Serif" w:hAnsi="Arial;Helvetica;Sans-Serif"/>
                  <w:b w:val="false"/>
                  <w:i w:val="false"/>
                  <w:caps w:val="false"/>
                  <w:smallCaps w:val="false"/>
                  <w:strike w:val="false"/>
                  <w:dstrike w:val="false"/>
                  <w:color w:val="000000"/>
                  <w:sz w:val="18"/>
                  <w:u w:val="none"/>
                  <w:effect w:val="none"/>
                </w:rPr>
                <w:t>Other Awards</w:t>
              </w:r>
            </w:hyperlink>
          </w:p>
        </w:tc>
        <w:tc>
          <w:tcPr>
            <w:tcW w:w="245" w:type="dxa"/>
            <w:tcBorders/>
            <w:shd w:fill="auto" w:val="clear"/>
            <w:vAlign w:val="center"/>
          </w:tcPr>
          <w:p>
            <w:pPr>
              <w:pStyle w:val="TableContents"/>
              <w:spacing w:before="0" w:after="283"/>
              <w:jc w:val="right"/>
              <w:rPr/>
            </w:pPr>
            <w:hyperlink w:anchor="lrarea050">
              <w:r>
                <w:rPr>
                  <w:rStyle w:val="InternetLink"/>
                  <w:rFonts w:ascii="Arial;Helvetica;Sans-Serif" w:hAnsi="Arial;Helvetica;Sans-Serif"/>
                  <w:b w:val="false"/>
                  <w:i w:val="false"/>
                  <w:caps w:val="false"/>
                  <w:smallCaps w:val="false"/>
                  <w:strike w:val="false"/>
                  <w:dstrike w:val="false"/>
                  <w:color w:val="000000"/>
                  <w:sz w:val="18"/>
                  <w:u w:val="none"/>
                  <w:effect w:val="none"/>
                </w:rPr>
                <w:t>23</w:t>
              </w:r>
            </w:hyperlink>
          </w:p>
        </w:tc>
      </w:tr>
      <w:tr>
        <w:trPr/>
        <w:tc>
          <w:tcPr>
            <w:tcW w:w="9960" w:type="dxa"/>
            <w:tcBorders/>
            <w:shd w:fill="auto" w:val="clear"/>
            <w:vAlign w:val="center"/>
          </w:tcPr>
          <w:p>
            <w:pPr>
              <w:pStyle w:val="TableContents"/>
              <w:spacing w:before="0" w:after="283"/>
              <w:rPr/>
            </w:pPr>
            <w:hyperlink w:anchor="lrarea051">
              <w:r>
                <w:rPr>
                  <w:rStyle w:val="InternetLink"/>
                  <w:rFonts w:ascii="Arial;Helvetica;Sans-Serif" w:hAnsi="Arial;Helvetica;Sans-Serif"/>
                  <w:b w:val="false"/>
                  <w:i w:val="false"/>
                  <w:caps w:val="false"/>
                  <w:smallCaps w:val="false"/>
                  <w:strike w:val="false"/>
                  <w:dstrike w:val="false"/>
                  <w:color w:val="000000"/>
                  <w:sz w:val="18"/>
                  <w:u w:val="none"/>
                  <w:effect w:val="none"/>
                </w:rPr>
                <w:t>Deductibility of Executive Compensation</w:t>
              </w:r>
            </w:hyperlink>
          </w:p>
        </w:tc>
        <w:tc>
          <w:tcPr>
            <w:tcW w:w="245" w:type="dxa"/>
            <w:tcBorders/>
            <w:shd w:fill="auto" w:val="clear"/>
            <w:vAlign w:val="center"/>
          </w:tcPr>
          <w:p>
            <w:pPr>
              <w:pStyle w:val="TableContents"/>
              <w:spacing w:before="0" w:after="283"/>
              <w:jc w:val="right"/>
              <w:rPr/>
            </w:pPr>
            <w:hyperlink w:anchor="lrarea051">
              <w:r>
                <w:rPr>
                  <w:rStyle w:val="InternetLink"/>
                  <w:rFonts w:ascii="Arial;Helvetica;Sans-Serif" w:hAnsi="Arial;Helvetica;Sans-Serif"/>
                  <w:b w:val="false"/>
                  <w:i w:val="false"/>
                  <w:caps w:val="false"/>
                  <w:smallCaps w:val="false"/>
                  <w:strike w:val="false"/>
                  <w:dstrike w:val="false"/>
                  <w:color w:val="000000"/>
                  <w:sz w:val="18"/>
                  <w:u w:val="none"/>
                  <w:effect w:val="none"/>
                </w:rPr>
                <w:t>23</w:t>
              </w:r>
            </w:hyperlink>
          </w:p>
        </w:tc>
      </w:tr>
      <w:tr>
        <w:trPr/>
        <w:tc>
          <w:tcPr>
            <w:tcW w:w="9960" w:type="dxa"/>
            <w:tcBorders/>
            <w:shd w:fill="auto" w:val="clear"/>
            <w:vAlign w:val="center"/>
          </w:tcPr>
          <w:p>
            <w:pPr>
              <w:pStyle w:val="TableContents"/>
              <w:spacing w:before="0" w:after="283"/>
              <w:rPr/>
            </w:pPr>
            <w:hyperlink w:anchor="lrarea052">
              <w:r>
                <w:rPr>
                  <w:rStyle w:val="InternetLink"/>
                  <w:rFonts w:ascii="Arial;Helvetica;Sans-Serif" w:hAnsi="Arial;Helvetica;Sans-Serif"/>
                  <w:b w:val="false"/>
                  <w:i w:val="false"/>
                  <w:caps w:val="false"/>
                  <w:smallCaps w:val="false"/>
                  <w:strike w:val="false"/>
                  <w:dstrike w:val="false"/>
                  <w:color w:val="000000"/>
                  <w:sz w:val="18"/>
                  <w:u w:val="none"/>
                  <w:effect w:val="none"/>
                </w:rPr>
                <w:t>Vote Required</w:t>
              </w:r>
            </w:hyperlink>
          </w:p>
        </w:tc>
        <w:tc>
          <w:tcPr>
            <w:tcW w:w="245" w:type="dxa"/>
            <w:tcBorders/>
            <w:shd w:fill="auto" w:val="clear"/>
            <w:vAlign w:val="center"/>
          </w:tcPr>
          <w:p>
            <w:pPr>
              <w:pStyle w:val="TableContents"/>
              <w:spacing w:before="0" w:after="283"/>
              <w:jc w:val="right"/>
              <w:rPr/>
            </w:pPr>
            <w:hyperlink w:anchor="lrarea052">
              <w:r>
                <w:rPr>
                  <w:rStyle w:val="InternetLink"/>
                  <w:rFonts w:ascii="Arial;Helvetica;Sans-Serif" w:hAnsi="Arial;Helvetica;Sans-Serif"/>
                  <w:b w:val="false"/>
                  <w:i w:val="false"/>
                  <w:caps w:val="false"/>
                  <w:smallCaps w:val="false"/>
                  <w:strike w:val="false"/>
                  <w:dstrike w:val="false"/>
                  <w:color w:val="000000"/>
                  <w:sz w:val="18"/>
                  <w:u w:val="none"/>
                  <w:effect w:val="none"/>
                </w:rPr>
                <w:t>23</w:t>
              </w:r>
            </w:hyperlink>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lrarea053">
              <w:r>
                <w:rPr>
                  <w:rStyle w:val="InternetLink"/>
                  <w:rFonts w:ascii="Arial;Helvetica;Sans-Serif" w:hAnsi="Arial;Helvetica;Sans-Serif"/>
                  <w:b/>
                  <w:i w:val="false"/>
                  <w:caps w:val="false"/>
                  <w:smallCaps w:val="false"/>
                  <w:strike w:val="false"/>
                  <w:dstrike w:val="false"/>
                  <w:color w:val="7CBC3E"/>
                  <w:sz w:val="20"/>
                  <w:u w:val="none"/>
                  <w:effect w:val="none"/>
                </w:rPr>
                <w:t>Proposal 3 – Approval of the Amended and</w:t>
              </w:r>
            </w:hyperlink>
            <w:hyperlink w:anchor="lrarea053">
              <w:r>
                <w:rPr>
                  <w:rStyle w:val="InternetLink"/>
                  <w:rFonts w:ascii="Arial;Helvetica;Sans-Serif" w:hAnsi="Arial;Helvetica;Sans-Serif"/>
                  <w:b w:val="false"/>
                  <w:i w:val="false"/>
                  <w:caps w:val="false"/>
                  <w:smallCaps w:val="false"/>
                  <w:strike w:val="false"/>
                  <w:dstrike w:val="false"/>
                  <w:color w:val="7CBC3E"/>
                  <w:sz w:val="20"/>
                  <w:u w:val="none"/>
                  <w:effect w:val="none"/>
                </w:rPr>
                <w:t xml:space="preserve"> </w:t>
              </w:r>
            </w:hyperlink>
            <w:hyperlink w:anchor="lrarea053">
              <w:r>
                <w:rPr>
                  <w:rStyle w:val="InternetLink"/>
                  <w:rFonts w:ascii="Arial;Helvetica;Sans-Serif" w:hAnsi="Arial;Helvetica;Sans-Serif"/>
                  <w:b/>
                  <w:i w:val="false"/>
                  <w:caps w:val="false"/>
                  <w:smallCaps w:val="false"/>
                  <w:strike w:val="false"/>
                  <w:dstrike w:val="false"/>
                  <w:color w:val="7CBC3E"/>
                  <w:sz w:val="20"/>
                  <w:u w:val="none"/>
                  <w:effect w:val="none"/>
                </w:rPr>
                <w:t>Restated Ultragenyx Pharmaceutical Inc. 2014</w:t>
              </w:r>
            </w:hyperlink>
            <w:hyperlink w:anchor="lrarea053">
              <w:r>
                <w:rPr>
                  <w:rStyle w:val="InternetLink"/>
                  <w:rFonts w:ascii="Arial;Helvetica;Sans-Serif" w:hAnsi="Arial;Helvetica;Sans-Serif"/>
                  <w:b w:val="false"/>
                  <w:i w:val="false"/>
                  <w:caps w:val="false"/>
                  <w:smallCaps w:val="false"/>
                  <w:strike w:val="false"/>
                  <w:dstrike w:val="false"/>
                  <w:color w:val="7CBC3E"/>
                  <w:sz w:val="20"/>
                  <w:u w:val="none"/>
                  <w:effect w:val="none"/>
                </w:rPr>
                <w:t xml:space="preserve"> </w:t>
              </w:r>
            </w:hyperlink>
            <w:hyperlink w:anchor="lrarea053">
              <w:r>
                <w:rPr>
                  <w:rStyle w:val="InternetLink"/>
                  <w:rFonts w:ascii="Arial;Helvetica;Sans-Serif" w:hAnsi="Arial;Helvetica;Sans-Serif"/>
                  <w:b/>
                  <w:i w:val="false"/>
                  <w:caps w:val="false"/>
                  <w:smallCaps w:val="false"/>
                  <w:strike w:val="false"/>
                  <w:dstrike w:val="false"/>
                  <w:color w:val="7CBC3E"/>
                  <w:sz w:val="20"/>
                  <w:u w:val="none"/>
                  <w:effect w:val="none"/>
                </w:rPr>
                <w:t>Employee Stock Purchase Plan</w:t>
              </w:r>
            </w:hyperlink>
          </w:p>
        </w:tc>
        <w:tc>
          <w:tcPr>
            <w:tcW w:w="245" w:type="dxa"/>
            <w:tcBorders/>
            <w:shd w:fill="auto" w:val="clear"/>
            <w:vAlign w:val="center"/>
          </w:tcPr>
          <w:p>
            <w:pPr>
              <w:pStyle w:val="TableContents"/>
              <w:spacing w:before="0" w:after="283"/>
              <w:jc w:val="right"/>
              <w:rPr/>
            </w:pPr>
            <w:hyperlink w:anchor="lrarea053">
              <w:r>
                <w:rPr>
                  <w:rStyle w:val="InternetLink"/>
                  <w:rFonts w:ascii="Arial;Helvetica;Sans-Serif" w:hAnsi="Arial;Helvetica;Sans-Serif"/>
                  <w:b/>
                  <w:i w:val="false"/>
                  <w:caps w:val="false"/>
                  <w:smallCaps w:val="false"/>
                  <w:strike w:val="false"/>
                  <w:dstrike w:val="false"/>
                  <w:color w:val="7CBC3E"/>
                  <w:sz w:val="20"/>
                  <w:u w:val="none"/>
                  <w:effect w:val="none"/>
                </w:rPr>
                <w:t>24</w:t>
              </w:r>
            </w:hyperlink>
          </w:p>
        </w:tc>
      </w:tr>
      <w:tr>
        <w:trPr/>
        <w:tc>
          <w:tcPr>
            <w:tcW w:w="9960" w:type="dxa"/>
            <w:tcBorders/>
            <w:shd w:fill="auto" w:val="clear"/>
            <w:vAlign w:val="center"/>
          </w:tcPr>
          <w:p>
            <w:pPr>
              <w:pStyle w:val="TableContents"/>
              <w:spacing w:before="0" w:after="283"/>
              <w:rPr/>
            </w:pPr>
            <w:hyperlink w:anchor="lrarea054">
              <w:r>
                <w:rPr>
                  <w:rStyle w:val="InternetLink"/>
                  <w:rFonts w:ascii="Arial;Helvetica;Sans-Serif" w:hAnsi="Arial;Helvetica;Sans-Serif"/>
                  <w:b w:val="false"/>
                  <w:i w:val="false"/>
                  <w:caps w:val="false"/>
                  <w:smallCaps w:val="false"/>
                  <w:strike w:val="false"/>
                  <w:dstrike w:val="false"/>
                  <w:color w:val="000000"/>
                  <w:sz w:val="18"/>
                  <w:u w:val="none"/>
                  <w:effect w:val="none"/>
                </w:rPr>
                <w:t>Summary of the A&amp;R ESPP</w:t>
              </w:r>
            </w:hyperlink>
          </w:p>
        </w:tc>
        <w:tc>
          <w:tcPr>
            <w:tcW w:w="245" w:type="dxa"/>
            <w:tcBorders/>
            <w:shd w:fill="auto" w:val="clear"/>
            <w:vAlign w:val="center"/>
          </w:tcPr>
          <w:p>
            <w:pPr>
              <w:pStyle w:val="TableContents"/>
              <w:spacing w:before="0" w:after="283"/>
              <w:jc w:val="right"/>
              <w:rPr/>
            </w:pPr>
            <w:hyperlink w:anchor="lrarea054">
              <w:r>
                <w:rPr>
                  <w:rStyle w:val="InternetLink"/>
                  <w:rFonts w:ascii="Arial;Helvetica;Sans-Serif" w:hAnsi="Arial;Helvetica;Sans-Serif"/>
                  <w:b w:val="false"/>
                  <w:i w:val="false"/>
                  <w:caps w:val="false"/>
                  <w:smallCaps w:val="false"/>
                  <w:strike w:val="false"/>
                  <w:dstrike w:val="false"/>
                  <w:color w:val="000000"/>
                  <w:sz w:val="18"/>
                  <w:u w:val="none"/>
                  <w:effect w:val="none"/>
                </w:rPr>
                <w:t>24</w:t>
              </w:r>
            </w:hyperlink>
          </w:p>
        </w:tc>
      </w:tr>
      <w:tr>
        <w:trPr/>
        <w:tc>
          <w:tcPr>
            <w:tcW w:w="9960" w:type="dxa"/>
            <w:tcBorders/>
            <w:shd w:fill="auto" w:val="clear"/>
            <w:vAlign w:val="center"/>
          </w:tcPr>
          <w:p>
            <w:pPr>
              <w:pStyle w:val="TableContents"/>
              <w:spacing w:before="0" w:after="283"/>
              <w:rPr/>
            </w:pPr>
            <w:hyperlink w:anchor="lrarea055">
              <w:r>
                <w:rPr>
                  <w:rStyle w:val="InternetLink"/>
                  <w:rFonts w:ascii="Arial;Helvetica;Sans-Serif" w:hAnsi="Arial;Helvetica;Sans-Serif"/>
                  <w:b w:val="false"/>
                  <w:i w:val="false"/>
                  <w:caps w:val="false"/>
                  <w:smallCaps w:val="false"/>
                  <w:strike w:val="false"/>
                  <w:dstrike w:val="false"/>
                  <w:color w:val="000000"/>
                  <w:sz w:val="18"/>
                  <w:u w:val="none"/>
                  <w:effect w:val="none"/>
                </w:rPr>
                <w:t>New A&amp;R ESPP Benefits</w:t>
              </w:r>
            </w:hyperlink>
          </w:p>
        </w:tc>
        <w:tc>
          <w:tcPr>
            <w:tcW w:w="245" w:type="dxa"/>
            <w:tcBorders/>
            <w:shd w:fill="auto" w:val="clear"/>
            <w:vAlign w:val="center"/>
          </w:tcPr>
          <w:p>
            <w:pPr>
              <w:pStyle w:val="TableContents"/>
              <w:spacing w:before="0" w:after="283"/>
              <w:jc w:val="right"/>
              <w:rPr/>
            </w:pPr>
            <w:hyperlink w:anchor="lrarea055">
              <w:r>
                <w:rPr>
                  <w:rStyle w:val="InternetLink"/>
                  <w:rFonts w:ascii="Arial;Helvetica;Sans-Serif" w:hAnsi="Arial;Helvetica;Sans-Serif"/>
                  <w:b w:val="false"/>
                  <w:i w:val="false"/>
                  <w:caps w:val="false"/>
                  <w:smallCaps w:val="false"/>
                  <w:strike w:val="false"/>
                  <w:dstrike w:val="false"/>
                  <w:color w:val="000000"/>
                  <w:sz w:val="18"/>
                  <w:u w:val="none"/>
                  <w:effect w:val="none"/>
                </w:rPr>
                <w:t>26</w:t>
              </w:r>
            </w:hyperlink>
          </w:p>
        </w:tc>
      </w:tr>
      <w:tr>
        <w:trPr/>
        <w:tc>
          <w:tcPr>
            <w:tcW w:w="9960" w:type="dxa"/>
            <w:tcBorders/>
            <w:shd w:fill="auto" w:val="clear"/>
            <w:vAlign w:val="center"/>
          </w:tcPr>
          <w:p>
            <w:pPr>
              <w:pStyle w:val="TableContents"/>
              <w:spacing w:before="0" w:after="283"/>
              <w:rPr/>
            </w:pPr>
            <w:hyperlink w:anchor="lrarea056">
              <w:r>
                <w:rPr>
                  <w:rStyle w:val="InternetLink"/>
                  <w:rFonts w:ascii="Arial;Helvetica;Sans-Serif" w:hAnsi="Arial;Helvetica;Sans-Serif"/>
                  <w:b w:val="false"/>
                  <w:i w:val="false"/>
                  <w:caps w:val="false"/>
                  <w:smallCaps w:val="false"/>
                  <w:strike w:val="false"/>
                  <w:dstrike w:val="false"/>
                  <w:color w:val="000000"/>
                  <w:sz w:val="18"/>
                  <w:u w:val="none"/>
                  <w:effect w:val="none"/>
                </w:rPr>
                <w:t>Existing A&amp;R ESPP Benefits</w:t>
              </w:r>
            </w:hyperlink>
          </w:p>
        </w:tc>
        <w:tc>
          <w:tcPr>
            <w:tcW w:w="245" w:type="dxa"/>
            <w:tcBorders/>
            <w:shd w:fill="auto" w:val="clear"/>
            <w:vAlign w:val="center"/>
          </w:tcPr>
          <w:p>
            <w:pPr>
              <w:pStyle w:val="TableContents"/>
              <w:spacing w:before="0" w:after="283"/>
              <w:jc w:val="right"/>
              <w:rPr/>
            </w:pPr>
            <w:hyperlink w:anchor="lrarea056">
              <w:r>
                <w:rPr>
                  <w:rStyle w:val="InternetLink"/>
                  <w:rFonts w:ascii="Arial;Helvetica;Sans-Serif" w:hAnsi="Arial;Helvetica;Sans-Serif"/>
                  <w:b w:val="false"/>
                  <w:i w:val="false"/>
                  <w:caps w:val="false"/>
                  <w:smallCaps w:val="false"/>
                  <w:strike w:val="false"/>
                  <w:dstrike w:val="false"/>
                  <w:color w:val="000000"/>
                  <w:sz w:val="18"/>
                  <w:u w:val="none"/>
                  <w:effect w:val="none"/>
                </w:rPr>
                <w:t>27</w:t>
              </w:r>
            </w:hyperlink>
          </w:p>
        </w:tc>
      </w:tr>
      <w:tr>
        <w:trPr/>
        <w:tc>
          <w:tcPr>
            <w:tcW w:w="9960" w:type="dxa"/>
            <w:tcBorders/>
            <w:shd w:fill="auto" w:val="clear"/>
            <w:vAlign w:val="center"/>
          </w:tcPr>
          <w:p>
            <w:pPr>
              <w:pStyle w:val="TableContents"/>
              <w:spacing w:before="0" w:after="283"/>
              <w:rPr/>
            </w:pPr>
            <w:hyperlink w:anchor="lrarea057">
              <w:r>
                <w:rPr>
                  <w:rStyle w:val="InternetLink"/>
                  <w:rFonts w:ascii="Arial;Helvetica;Sans-Serif" w:hAnsi="Arial;Helvetica;Sans-Serif"/>
                  <w:b w:val="false"/>
                  <w:i w:val="false"/>
                  <w:caps w:val="false"/>
                  <w:smallCaps w:val="false"/>
                  <w:strike w:val="false"/>
                  <w:dstrike w:val="false"/>
                  <w:color w:val="000000"/>
                  <w:sz w:val="18"/>
                  <w:u w:val="none"/>
                  <w:effect w:val="none"/>
                </w:rPr>
                <w:t>U.S. Federal Income Tax Consequences</w:t>
              </w:r>
            </w:hyperlink>
          </w:p>
        </w:tc>
        <w:tc>
          <w:tcPr>
            <w:tcW w:w="245" w:type="dxa"/>
            <w:tcBorders/>
            <w:shd w:fill="auto" w:val="clear"/>
            <w:vAlign w:val="center"/>
          </w:tcPr>
          <w:p>
            <w:pPr>
              <w:pStyle w:val="TableContents"/>
              <w:spacing w:before="0" w:after="283"/>
              <w:jc w:val="right"/>
              <w:rPr/>
            </w:pPr>
            <w:hyperlink w:anchor="lrarea057">
              <w:r>
                <w:rPr>
                  <w:rStyle w:val="InternetLink"/>
                  <w:rFonts w:ascii="Arial;Helvetica;Sans-Serif" w:hAnsi="Arial;Helvetica;Sans-Serif"/>
                  <w:b w:val="false"/>
                  <w:i w:val="false"/>
                  <w:caps w:val="false"/>
                  <w:smallCaps w:val="false"/>
                  <w:strike w:val="false"/>
                  <w:dstrike w:val="false"/>
                  <w:color w:val="000000"/>
                  <w:sz w:val="18"/>
                  <w:u w:val="none"/>
                  <w:effect w:val="none"/>
                </w:rPr>
                <w:t>27</w:t>
              </w:r>
            </w:hyperlink>
          </w:p>
        </w:tc>
      </w:tr>
      <w:tr>
        <w:trPr/>
        <w:tc>
          <w:tcPr>
            <w:tcW w:w="9960" w:type="dxa"/>
            <w:tcBorders/>
            <w:shd w:fill="auto" w:val="clear"/>
            <w:vAlign w:val="center"/>
          </w:tcPr>
          <w:p>
            <w:pPr>
              <w:pStyle w:val="TableContents"/>
              <w:spacing w:before="0" w:after="283"/>
              <w:rPr/>
            </w:pPr>
            <w:hyperlink w:anchor="lrarea058">
              <w:r>
                <w:rPr>
                  <w:rStyle w:val="InternetLink"/>
                  <w:rFonts w:ascii="Arial;Helvetica;Sans-Serif" w:hAnsi="Arial;Helvetica;Sans-Serif"/>
                  <w:b w:val="false"/>
                  <w:i w:val="false"/>
                  <w:caps w:val="false"/>
                  <w:smallCaps w:val="false"/>
                  <w:strike w:val="false"/>
                  <w:dstrike w:val="false"/>
                  <w:color w:val="000000"/>
                  <w:sz w:val="18"/>
                  <w:u w:val="none"/>
                  <w:effect w:val="none"/>
                </w:rPr>
                <w:t>Vote Required</w:t>
              </w:r>
            </w:hyperlink>
          </w:p>
        </w:tc>
        <w:tc>
          <w:tcPr>
            <w:tcW w:w="245" w:type="dxa"/>
            <w:tcBorders/>
            <w:shd w:fill="auto" w:val="clear"/>
            <w:vAlign w:val="center"/>
          </w:tcPr>
          <w:p>
            <w:pPr>
              <w:pStyle w:val="TableContents"/>
              <w:spacing w:before="0" w:after="283"/>
              <w:jc w:val="right"/>
              <w:rPr/>
            </w:pPr>
            <w:hyperlink w:anchor="lrarea058">
              <w:r>
                <w:rPr>
                  <w:rStyle w:val="InternetLink"/>
                  <w:rFonts w:ascii="Arial;Helvetica;Sans-Serif" w:hAnsi="Arial;Helvetica;Sans-Serif"/>
                  <w:b w:val="false"/>
                  <w:i w:val="false"/>
                  <w:caps w:val="false"/>
                  <w:smallCaps w:val="false"/>
                  <w:strike w:val="false"/>
                  <w:dstrike w:val="false"/>
                  <w:color w:val="000000"/>
                  <w:sz w:val="18"/>
                  <w:u w:val="none"/>
                  <w:effect w:val="none"/>
                </w:rPr>
                <w:t>27</w:t>
              </w:r>
            </w:hyperlink>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lrarea059">
              <w:r>
                <w:rPr>
                  <w:rStyle w:val="InternetLink"/>
                  <w:rFonts w:ascii="Arial;Helvetica;Sans-Serif" w:hAnsi="Arial;Helvetica;Sans-Serif"/>
                  <w:b/>
                  <w:i w:val="false"/>
                  <w:caps w:val="false"/>
                  <w:smallCaps w:val="false"/>
                  <w:strike w:val="false"/>
                  <w:dstrike w:val="false"/>
                  <w:color w:val="7CBC3E"/>
                  <w:sz w:val="20"/>
                  <w:u w:val="none"/>
                  <w:effect w:val="none"/>
                </w:rPr>
                <w:t>Proposal 4 – Ratification of the Selection of</w:t>
              </w:r>
            </w:hyperlink>
            <w:hyperlink w:anchor="lrarea059">
              <w:r>
                <w:rPr>
                  <w:rStyle w:val="InternetLink"/>
                  <w:rFonts w:ascii="Arial;Helvetica;Sans-Serif" w:hAnsi="Arial;Helvetica;Sans-Serif"/>
                  <w:b w:val="false"/>
                  <w:i w:val="false"/>
                  <w:caps w:val="false"/>
                  <w:smallCaps w:val="false"/>
                  <w:strike w:val="false"/>
                  <w:dstrike w:val="false"/>
                  <w:color w:val="7CBC3E"/>
                  <w:sz w:val="20"/>
                  <w:u w:val="none"/>
                  <w:effect w:val="none"/>
                </w:rPr>
                <w:t xml:space="preserve"> </w:t>
              </w:r>
            </w:hyperlink>
            <w:hyperlink w:anchor="lrarea059">
              <w:r>
                <w:rPr>
                  <w:rStyle w:val="InternetLink"/>
                  <w:rFonts w:ascii="Arial;Helvetica;Sans-Serif" w:hAnsi="Arial;Helvetica;Sans-Serif"/>
                  <w:b/>
                  <w:i w:val="false"/>
                  <w:caps w:val="false"/>
                  <w:smallCaps w:val="false"/>
                  <w:strike w:val="false"/>
                  <w:dstrike w:val="false"/>
                  <w:color w:val="7CBC3E"/>
                  <w:sz w:val="20"/>
                  <w:u w:val="none"/>
                  <w:effect w:val="none"/>
                </w:rPr>
                <w:t>Independent Registered Public Accounting Firm</w:t>
              </w:r>
            </w:hyperlink>
          </w:p>
        </w:tc>
        <w:tc>
          <w:tcPr>
            <w:tcW w:w="245" w:type="dxa"/>
            <w:tcBorders/>
            <w:shd w:fill="auto" w:val="clear"/>
            <w:vAlign w:val="center"/>
          </w:tcPr>
          <w:p>
            <w:pPr>
              <w:pStyle w:val="TableContents"/>
              <w:spacing w:before="0" w:after="283"/>
              <w:jc w:val="right"/>
              <w:rPr/>
            </w:pPr>
            <w:hyperlink w:anchor="lrarea059">
              <w:r>
                <w:rPr>
                  <w:rStyle w:val="InternetLink"/>
                  <w:rFonts w:ascii="Arial;Helvetica;Sans-Serif" w:hAnsi="Arial;Helvetica;Sans-Serif"/>
                  <w:b/>
                  <w:i w:val="false"/>
                  <w:caps w:val="false"/>
                  <w:smallCaps w:val="false"/>
                  <w:strike w:val="false"/>
                  <w:dstrike w:val="false"/>
                  <w:color w:val="7CBC3E"/>
                  <w:sz w:val="20"/>
                  <w:u w:val="none"/>
                  <w:effect w:val="none"/>
                </w:rPr>
                <w:t>28</w:t>
              </w:r>
            </w:hyperlink>
          </w:p>
        </w:tc>
      </w:tr>
      <w:tr>
        <w:trPr/>
        <w:tc>
          <w:tcPr>
            <w:tcW w:w="9960" w:type="dxa"/>
            <w:tcBorders/>
            <w:shd w:fill="auto" w:val="clear"/>
            <w:vAlign w:val="center"/>
          </w:tcPr>
          <w:p>
            <w:pPr>
              <w:pStyle w:val="TableContents"/>
              <w:spacing w:before="0" w:after="283"/>
              <w:rPr/>
            </w:pPr>
            <w:hyperlink w:anchor="lrarea060">
              <w:r>
                <w:rPr>
                  <w:rStyle w:val="InternetLink"/>
                  <w:rFonts w:ascii="Arial;Helvetica;Sans-Serif" w:hAnsi="Arial;Helvetica;Sans-Serif"/>
                  <w:b w:val="false"/>
                  <w:i w:val="false"/>
                  <w:caps w:val="false"/>
                  <w:smallCaps w:val="false"/>
                  <w:strike w:val="false"/>
                  <w:dstrike w:val="false"/>
                  <w:color w:val="000000"/>
                  <w:sz w:val="18"/>
                  <w:u w:val="none"/>
                  <w:effect w:val="none"/>
                </w:rPr>
                <w:t>Fees for Independent Registered Public Accounting Firm</w:t>
              </w:r>
            </w:hyperlink>
          </w:p>
        </w:tc>
        <w:tc>
          <w:tcPr>
            <w:tcW w:w="245" w:type="dxa"/>
            <w:tcBorders/>
            <w:shd w:fill="auto" w:val="clear"/>
            <w:vAlign w:val="center"/>
          </w:tcPr>
          <w:p>
            <w:pPr>
              <w:pStyle w:val="TableContents"/>
              <w:spacing w:before="0" w:after="283"/>
              <w:jc w:val="right"/>
              <w:rPr/>
            </w:pPr>
            <w:hyperlink w:anchor="lrarea060">
              <w:r>
                <w:rPr>
                  <w:rStyle w:val="InternetLink"/>
                  <w:rFonts w:ascii="Arial;Helvetica;Sans-Serif" w:hAnsi="Arial;Helvetica;Sans-Serif"/>
                  <w:b w:val="false"/>
                  <w:i w:val="false"/>
                  <w:caps w:val="false"/>
                  <w:smallCaps w:val="false"/>
                  <w:strike w:val="false"/>
                  <w:dstrike w:val="false"/>
                  <w:color w:val="000000"/>
                  <w:sz w:val="18"/>
                  <w:u w:val="none"/>
                  <w:effect w:val="none"/>
                </w:rPr>
                <w:t>28</w:t>
              </w:r>
            </w:hyperlink>
          </w:p>
        </w:tc>
      </w:tr>
      <w:tr>
        <w:trPr/>
        <w:tc>
          <w:tcPr>
            <w:tcW w:w="9960" w:type="dxa"/>
            <w:tcBorders/>
            <w:shd w:fill="auto" w:val="clear"/>
            <w:vAlign w:val="center"/>
          </w:tcPr>
          <w:p>
            <w:pPr>
              <w:pStyle w:val="TableContents"/>
              <w:spacing w:before="0" w:after="283"/>
              <w:rPr/>
            </w:pPr>
            <w:hyperlink w:anchor="lrarea061">
              <w:r>
                <w:rPr>
                  <w:rStyle w:val="InternetLink"/>
                  <w:rFonts w:ascii="Arial;Helvetica;Sans-Serif" w:hAnsi="Arial;Helvetica;Sans-Serif"/>
                  <w:b w:val="false"/>
                  <w:i w:val="false"/>
                  <w:caps w:val="false"/>
                  <w:smallCaps w:val="false"/>
                  <w:strike w:val="false"/>
                  <w:dstrike w:val="false"/>
                  <w:color w:val="000000"/>
                  <w:sz w:val="18"/>
                  <w:u w:val="none"/>
                  <w:effect w:val="none"/>
                </w:rPr>
                <w:t>Vote Required</w:t>
              </w:r>
            </w:hyperlink>
          </w:p>
        </w:tc>
        <w:tc>
          <w:tcPr>
            <w:tcW w:w="245" w:type="dxa"/>
            <w:tcBorders/>
            <w:shd w:fill="auto" w:val="clear"/>
            <w:vAlign w:val="center"/>
          </w:tcPr>
          <w:p>
            <w:pPr>
              <w:pStyle w:val="TableContents"/>
              <w:spacing w:before="0" w:after="283"/>
              <w:jc w:val="right"/>
              <w:rPr/>
            </w:pPr>
            <w:hyperlink w:anchor="lrarea061">
              <w:r>
                <w:rPr>
                  <w:rStyle w:val="InternetLink"/>
                  <w:rFonts w:ascii="Arial;Helvetica;Sans-Serif" w:hAnsi="Arial;Helvetica;Sans-Serif"/>
                  <w:b w:val="false"/>
                  <w:i w:val="false"/>
                  <w:caps w:val="false"/>
                  <w:smallCaps w:val="false"/>
                  <w:strike w:val="false"/>
                  <w:dstrike w:val="false"/>
                  <w:color w:val="000000"/>
                  <w:sz w:val="18"/>
                  <w:u w:val="none"/>
                  <w:effect w:val="none"/>
                </w:rPr>
                <w:t>29</w:t>
              </w:r>
            </w:hyperlink>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lrarea062">
              <w:r>
                <w:rPr>
                  <w:rStyle w:val="InternetLink"/>
                  <w:rFonts w:ascii="Arial;Helvetica;Sans-Serif" w:hAnsi="Arial;Helvetica;Sans-Serif"/>
                  <w:b/>
                  <w:i w:val="false"/>
                  <w:caps w:val="false"/>
                  <w:smallCaps w:val="false"/>
                  <w:strike w:val="false"/>
                  <w:dstrike w:val="false"/>
                  <w:color w:val="7CBC3E"/>
                  <w:sz w:val="20"/>
                  <w:u w:val="none"/>
                  <w:effect w:val="none"/>
                </w:rPr>
                <w:t>Report of the Audit Committee</w:t>
              </w:r>
            </w:hyperlink>
          </w:p>
        </w:tc>
        <w:tc>
          <w:tcPr>
            <w:tcW w:w="245" w:type="dxa"/>
            <w:tcBorders/>
            <w:shd w:fill="auto" w:val="clear"/>
            <w:vAlign w:val="center"/>
          </w:tcPr>
          <w:p>
            <w:pPr>
              <w:pStyle w:val="TableContents"/>
              <w:spacing w:before="0" w:after="283"/>
              <w:jc w:val="right"/>
              <w:rPr/>
            </w:pPr>
            <w:hyperlink w:anchor="lrarea062">
              <w:r>
                <w:rPr>
                  <w:rStyle w:val="InternetLink"/>
                  <w:rFonts w:ascii="Arial;Helvetica;Sans-Serif" w:hAnsi="Arial;Helvetica;Sans-Serif"/>
                  <w:b/>
                  <w:i w:val="false"/>
                  <w:caps w:val="false"/>
                  <w:smallCaps w:val="false"/>
                  <w:strike w:val="false"/>
                  <w:dstrike w:val="false"/>
                  <w:color w:val="7CBC3E"/>
                  <w:sz w:val="20"/>
                  <w:u w:val="none"/>
                  <w:effect w:val="none"/>
                </w:rPr>
                <w:t>30</w:t>
              </w:r>
            </w:hyperlink>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lrarea063">
              <w:r>
                <w:rPr>
                  <w:rStyle w:val="InternetLink"/>
                  <w:rFonts w:ascii="Arial;Helvetica;Sans-Serif" w:hAnsi="Arial;Helvetica;Sans-Serif"/>
                  <w:b/>
                  <w:i w:val="false"/>
                  <w:caps w:val="false"/>
                  <w:smallCaps w:val="false"/>
                  <w:strike w:val="false"/>
                  <w:dstrike w:val="false"/>
                  <w:color w:val="7CBC3E"/>
                  <w:sz w:val="20"/>
                  <w:u w:val="none"/>
                  <w:effect w:val="none"/>
                </w:rPr>
                <w:t>Proposal 5 – Advisory (Non-Binding)</w:t>
              </w:r>
            </w:hyperlink>
            <w:hyperlink w:anchor="lrarea063">
              <w:r>
                <w:rPr>
                  <w:rStyle w:val="InternetLink"/>
                  <w:rFonts w:ascii="Arial;Helvetica;Sans-Serif" w:hAnsi="Arial;Helvetica;Sans-Serif"/>
                  <w:b w:val="false"/>
                  <w:i w:val="false"/>
                  <w:caps w:val="false"/>
                  <w:smallCaps w:val="false"/>
                  <w:strike w:val="false"/>
                  <w:dstrike w:val="false"/>
                  <w:color w:val="7CBC3E"/>
                  <w:sz w:val="20"/>
                  <w:u w:val="none"/>
                  <w:effect w:val="none"/>
                </w:rPr>
                <w:t xml:space="preserve"> </w:t>
              </w:r>
            </w:hyperlink>
            <w:hyperlink w:anchor="lrarea063">
              <w:r>
                <w:rPr>
                  <w:rStyle w:val="InternetLink"/>
                  <w:rFonts w:ascii="Arial;Helvetica;Sans-Serif" w:hAnsi="Arial;Helvetica;Sans-Serif"/>
                  <w:b/>
                  <w:i w:val="false"/>
                  <w:caps w:val="false"/>
                  <w:smallCaps w:val="false"/>
                  <w:strike w:val="false"/>
                  <w:dstrike w:val="false"/>
                  <w:color w:val="7CBC3E"/>
                  <w:sz w:val="20"/>
                  <w:u w:val="none"/>
                  <w:effect w:val="none"/>
                </w:rPr>
                <w:t>Vote to Approve the Compensation of</w:t>
              </w:r>
            </w:hyperlink>
            <w:hyperlink w:anchor="lrarea063">
              <w:r>
                <w:rPr>
                  <w:rStyle w:val="InternetLink"/>
                  <w:rFonts w:ascii="Arial;Helvetica;Sans-Serif" w:hAnsi="Arial;Helvetica;Sans-Serif"/>
                  <w:b w:val="false"/>
                  <w:i w:val="false"/>
                  <w:caps w:val="false"/>
                  <w:smallCaps w:val="false"/>
                  <w:strike w:val="false"/>
                  <w:dstrike w:val="false"/>
                  <w:color w:val="7CBC3E"/>
                  <w:sz w:val="20"/>
                  <w:u w:val="none"/>
                  <w:effect w:val="none"/>
                </w:rPr>
                <w:t xml:space="preserve"> </w:t>
              </w:r>
            </w:hyperlink>
            <w:hyperlink w:anchor="lrarea063">
              <w:r>
                <w:rPr>
                  <w:rStyle w:val="InternetLink"/>
                  <w:rFonts w:ascii="Arial;Helvetica;Sans-Serif" w:hAnsi="Arial;Helvetica;Sans-Serif"/>
                  <w:b/>
                  <w:i w:val="false"/>
                  <w:caps w:val="false"/>
                  <w:smallCaps w:val="false"/>
                  <w:strike w:val="false"/>
                  <w:dstrike w:val="false"/>
                  <w:color w:val="7CBC3E"/>
                  <w:sz w:val="20"/>
                  <w:u w:val="none"/>
                  <w:effect w:val="none"/>
                </w:rPr>
                <w:t>our Named Executive Officers</w:t>
              </w:r>
            </w:hyperlink>
          </w:p>
        </w:tc>
        <w:tc>
          <w:tcPr>
            <w:tcW w:w="245" w:type="dxa"/>
            <w:tcBorders/>
            <w:shd w:fill="auto" w:val="clear"/>
            <w:vAlign w:val="center"/>
          </w:tcPr>
          <w:p>
            <w:pPr>
              <w:pStyle w:val="TableContents"/>
              <w:spacing w:before="0" w:after="283"/>
              <w:jc w:val="right"/>
              <w:rPr/>
            </w:pPr>
            <w:hyperlink w:anchor="lrarea063">
              <w:r>
                <w:rPr>
                  <w:rStyle w:val="InternetLink"/>
                  <w:rFonts w:ascii="Arial;Helvetica;Sans-Serif" w:hAnsi="Arial;Helvetica;Sans-Serif"/>
                  <w:b/>
                  <w:i w:val="false"/>
                  <w:caps w:val="false"/>
                  <w:smallCaps w:val="false"/>
                  <w:strike w:val="false"/>
                  <w:dstrike w:val="false"/>
                  <w:color w:val="7CBC3E"/>
                  <w:sz w:val="20"/>
                  <w:u w:val="none"/>
                  <w:effect w:val="none"/>
                </w:rPr>
                <w:t>31</w:t>
              </w:r>
            </w:hyperlink>
          </w:p>
        </w:tc>
      </w:tr>
      <w:tr>
        <w:trPr/>
        <w:tc>
          <w:tcPr>
            <w:tcW w:w="9960" w:type="dxa"/>
            <w:tcBorders/>
            <w:shd w:fill="auto" w:val="clear"/>
            <w:vAlign w:val="center"/>
          </w:tcPr>
          <w:p>
            <w:pPr>
              <w:pStyle w:val="TableContents"/>
              <w:spacing w:before="0" w:after="283"/>
              <w:rPr/>
            </w:pPr>
            <w:hyperlink w:anchor="lrarea064">
              <w:r>
                <w:rPr>
                  <w:rStyle w:val="InternetLink"/>
                  <w:rFonts w:ascii="Arial;Helvetica;Sans-Serif" w:hAnsi="Arial;Helvetica;Sans-Serif"/>
                  <w:b w:val="false"/>
                  <w:i w:val="false"/>
                  <w:caps w:val="false"/>
                  <w:smallCaps w:val="false"/>
                  <w:strike w:val="false"/>
                  <w:dstrike w:val="false"/>
                  <w:color w:val="000000"/>
                  <w:sz w:val="18"/>
                  <w:u w:val="none"/>
                  <w:effect w:val="none"/>
                </w:rPr>
                <w:t>Background</w:t>
              </w:r>
            </w:hyperlink>
          </w:p>
        </w:tc>
        <w:tc>
          <w:tcPr>
            <w:tcW w:w="245" w:type="dxa"/>
            <w:tcBorders/>
            <w:shd w:fill="auto" w:val="clear"/>
            <w:vAlign w:val="center"/>
          </w:tcPr>
          <w:p>
            <w:pPr>
              <w:pStyle w:val="TableContents"/>
              <w:spacing w:before="0" w:after="283"/>
              <w:jc w:val="right"/>
              <w:rPr/>
            </w:pPr>
            <w:hyperlink w:anchor="lrarea064">
              <w:r>
                <w:rPr>
                  <w:rStyle w:val="InternetLink"/>
                  <w:rFonts w:ascii="Arial;Helvetica;Sans-Serif" w:hAnsi="Arial;Helvetica;Sans-Serif"/>
                  <w:b w:val="false"/>
                  <w:i w:val="false"/>
                  <w:caps w:val="false"/>
                  <w:smallCaps w:val="false"/>
                  <w:strike w:val="false"/>
                  <w:dstrike w:val="false"/>
                  <w:color w:val="000000"/>
                  <w:sz w:val="18"/>
                  <w:u w:val="none"/>
                  <w:effect w:val="none"/>
                </w:rPr>
                <w:t>31</w:t>
              </w:r>
            </w:hyperlink>
          </w:p>
        </w:tc>
      </w:tr>
      <w:tr>
        <w:trPr/>
        <w:tc>
          <w:tcPr>
            <w:tcW w:w="9960" w:type="dxa"/>
            <w:tcBorders/>
            <w:shd w:fill="auto" w:val="clear"/>
            <w:vAlign w:val="center"/>
          </w:tcPr>
          <w:p>
            <w:pPr>
              <w:pStyle w:val="TableContents"/>
              <w:spacing w:before="0" w:after="283"/>
              <w:rPr/>
            </w:pPr>
            <w:hyperlink w:anchor="lrarea065">
              <w:r>
                <w:rPr>
                  <w:rStyle w:val="InternetLink"/>
                  <w:rFonts w:ascii="Arial;Helvetica;Sans-Serif" w:hAnsi="Arial;Helvetica;Sans-Serif"/>
                  <w:b w:val="false"/>
                  <w:i w:val="false"/>
                  <w:caps w:val="false"/>
                  <w:smallCaps w:val="false"/>
                  <w:strike w:val="false"/>
                  <w:dstrike w:val="false"/>
                  <w:color w:val="000000"/>
                  <w:sz w:val="18"/>
                  <w:u w:val="none"/>
                  <w:effect w:val="none"/>
                </w:rPr>
                <w:t>Vote Required</w:t>
              </w:r>
            </w:hyperlink>
          </w:p>
        </w:tc>
        <w:tc>
          <w:tcPr>
            <w:tcW w:w="245" w:type="dxa"/>
            <w:tcBorders/>
            <w:shd w:fill="auto" w:val="clear"/>
            <w:vAlign w:val="center"/>
          </w:tcPr>
          <w:p>
            <w:pPr>
              <w:pStyle w:val="TableContents"/>
              <w:spacing w:before="0" w:after="283"/>
              <w:jc w:val="right"/>
              <w:rPr/>
            </w:pPr>
            <w:hyperlink w:anchor="lrarea065">
              <w:r>
                <w:rPr>
                  <w:rStyle w:val="InternetLink"/>
                  <w:rFonts w:ascii="Arial;Helvetica;Sans-Serif" w:hAnsi="Arial;Helvetica;Sans-Serif"/>
                  <w:b w:val="false"/>
                  <w:i w:val="false"/>
                  <w:caps w:val="false"/>
                  <w:smallCaps w:val="false"/>
                  <w:strike w:val="false"/>
                  <w:dstrike w:val="false"/>
                  <w:color w:val="000000"/>
                  <w:sz w:val="18"/>
                  <w:u w:val="none"/>
                  <w:effect w:val="none"/>
                </w:rPr>
                <w:t>31</w:t>
              </w:r>
            </w:hyperlink>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lrarea066">
              <w:r>
                <w:rPr>
                  <w:rStyle w:val="InternetLink"/>
                  <w:rFonts w:ascii="Arial;Helvetica;Sans-Serif" w:hAnsi="Arial;Helvetica;Sans-Serif"/>
                  <w:b/>
                  <w:i w:val="false"/>
                  <w:caps w:val="false"/>
                  <w:smallCaps w:val="false"/>
                  <w:strike w:val="false"/>
                  <w:dstrike w:val="false"/>
                  <w:color w:val="7CBC3E"/>
                  <w:sz w:val="20"/>
                  <w:u w:val="none"/>
                  <w:effect w:val="none"/>
                </w:rPr>
                <w:t>Corporate Governance</w:t>
              </w:r>
            </w:hyperlink>
          </w:p>
        </w:tc>
        <w:tc>
          <w:tcPr>
            <w:tcW w:w="245" w:type="dxa"/>
            <w:tcBorders/>
            <w:shd w:fill="auto" w:val="clear"/>
            <w:vAlign w:val="center"/>
          </w:tcPr>
          <w:p>
            <w:pPr>
              <w:pStyle w:val="TableContents"/>
              <w:spacing w:before="0" w:after="283"/>
              <w:jc w:val="right"/>
              <w:rPr/>
            </w:pPr>
            <w:hyperlink w:anchor="lrarea066">
              <w:r>
                <w:rPr>
                  <w:rStyle w:val="InternetLink"/>
                  <w:rFonts w:ascii="Arial;Helvetica;Sans-Serif" w:hAnsi="Arial;Helvetica;Sans-Serif"/>
                  <w:b/>
                  <w:i w:val="false"/>
                  <w:caps w:val="false"/>
                  <w:smallCaps w:val="false"/>
                  <w:strike w:val="false"/>
                  <w:dstrike w:val="false"/>
                  <w:color w:val="7CBC3E"/>
                  <w:sz w:val="20"/>
                  <w:u w:val="none"/>
                  <w:effect w:val="none"/>
                </w:rPr>
                <w:t>32</w:t>
              </w:r>
            </w:hyperlink>
          </w:p>
        </w:tc>
      </w:tr>
      <w:tr>
        <w:trPr/>
        <w:tc>
          <w:tcPr>
            <w:tcW w:w="9960" w:type="dxa"/>
            <w:tcBorders/>
            <w:shd w:fill="auto" w:val="clear"/>
            <w:vAlign w:val="center"/>
          </w:tcPr>
          <w:p>
            <w:pPr>
              <w:pStyle w:val="TableContents"/>
              <w:spacing w:before="0" w:after="283"/>
              <w:rPr/>
            </w:pPr>
            <w:hyperlink w:anchor="lrarea067">
              <w:r>
                <w:rPr>
                  <w:rStyle w:val="InternetLink"/>
                  <w:rFonts w:ascii="Arial;Helvetica;Sans-Serif" w:hAnsi="Arial;Helvetica;Sans-Serif"/>
                  <w:b w:val="false"/>
                  <w:i w:val="false"/>
                  <w:caps w:val="false"/>
                  <w:smallCaps w:val="false"/>
                  <w:strike w:val="false"/>
                  <w:dstrike w:val="false"/>
                  <w:color w:val="000000"/>
                  <w:sz w:val="18"/>
                  <w:u w:val="none"/>
                  <w:effect w:val="none"/>
                </w:rPr>
                <w:t>Director Independence</w:t>
              </w:r>
            </w:hyperlink>
          </w:p>
        </w:tc>
        <w:tc>
          <w:tcPr>
            <w:tcW w:w="245" w:type="dxa"/>
            <w:tcBorders/>
            <w:shd w:fill="auto" w:val="clear"/>
            <w:vAlign w:val="center"/>
          </w:tcPr>
          <w:p>
            <w:pPr>
              <w:pStyle w:val="TableContents"/>
              <w:spacing w:before="0" w:after="283"/>
              <w:jc w:val="right"/>
              <w:rPr/>
            </w:pPr>
            <w:hyperlink w:anchor="lrarea067">
              <w:r>
                <w:rPr>
                  <w:rStyle w:val="InternetLink"/>
                  <w:rFonts w:ascii="Arial;Helvetica;Sans-Serif" w:hAnsi="Arial;Helvetica;Sans-Serif"/>
                  <w:b w:val="false"/>
                  <w:i w:val="false"/>
                  <w:caps w:val="false"/>
                  <w:smallCaps w:val="false"/>
                  <w:strike w:val="false"/>
                  <w:dstrike w:val="false"/>
                  <w:color w:val="000000"/>
                  <w:sz w:val="18"/>
                  <w:u w:val="none"/>
                  <w:effect w:val="none"/>
                </w:rPr>
                <w:t>32</w:t>
              </w:r>
            </w:hyperlink>
          </w:p>
        </w:tc>
      </w:tr>
      <w:tr>
        <w:trPr/>
        <w:tc>
          <w:tcPr>
            <w:tcW w:w="9960" w:type="dxa"/>
            <w:tcBorders/>
            <w:shd w:fill="auto" w:val="clear"/>
            <w:vAlign w:val="center"/>
          </w:tcPr>
          <w:p>
            <w:pPr>
              <w:pStyle w:val="TableContents"/>
              <w:spacing w:before="0" w:after="283"/>
              <w:rPr/>
            </w:pPr>
            <w:hyperlink w:anchor="lrarea068">
              <w:r>
                <w:rPr>
                  <w:rStyle w:val="InternetLink"/>
                  <w:rFonts w:ascii="Arial;Helvetica;Sans-Serif" w:hAnsi="Arial;Helvetica;Sans-Serif"/>
                  <w:b w:val="false"/>
                  <w:i w:val="false"/>
                  <w:caps w:val="false"/>
                  <w:smallCaps w:val="false"/>
                  <w:strike w:val="false"/>
                  <w:dstrike w:val="false"/>
                  <w:color w:val="000000"/>
                  <w:sz w:val="18"/>
                  <w:u w:val="none"/>
                  <w:effect w:val="none"/>
                </w:rPr>
                <w:t>Director Overboarding Policy</w:t>
              </w:r>
            </w:hyperlink>
          </w:p>
        </w:tc>
        <w:tc>
          <w:tcPr>
            <w:tcW w:w="245" w:type="dxa"/>
            <w:tcBorders/>
            <w:shd w:fill="auto" w:val="clear"/>
            <w:vAlign w:val="center"/>
          </w:tcPr>
          <w:p>
            <w:pPr>
              <w:pStyle w:val="TableContents"/>
              <w:spacing w:before="0" w:after="283"/>
              <w:jc w:val="right"/>
              <w:rPr/>
            </w:pPr>
            <w:hyperlink w:anchor="lrarea068">
              <w:r>
                <w:rPr>
                  <w:rStyle w:val="InternetLink"/>
                  <w:rFonts w:ascii="Arial;Helvetica;Sans-Serif" w:hAnsi="Arial;Helvetica;Sans-Serif"/>
                  <w:b w:val="false"/>
                  <w:i w:val="false"/>
                  <w:caps w:val="false"/>
                  <w:smallCaps w:val="false"/>
                  <w:strike w:val="false"/>
                  <w:dstrike w:val="false"/>
                  <w:color w:val="000000"/>
                  <w:sz w:val="18"/>
                  <w:u w:val="none"/>
                  <w:effect w:val="none"/>
                </w:rPr>
                <w:t>32</w:t>
              </w:r>
            </w:hyperlink>
          </w:p>
        </w:tc>
      </w:tr>
      <w:tr>
        <w:trPr/>
        <w:tc>
          <w:tcPr>
            <w:tcW w:w="9960" w:type="dxa"/>
            <w:tcBorders/>
            <w:shd w:fill="auto" w:val="clear"/>
            <w:vAlign w:val="center"/>
          </w:tcPr>
          <w:p>
            <w:pPr>
              <w:pStyle w:val="TableContents"/>
              <w:spacing w:before="0" w:after="283"/>
              <w:rPr/>
            </w:pPr>
            <w:hyperlink w:anchor="lrarea069">
              <w:r>
                <w:rPr>
                  <w:rStyle w:val="InternetLink"/>
                  <w:rFonts w:ascii="Arial;Helvetica;Sans-Serif" w:hAnsi="Arial;Helvetica;Sans-Serif"/>
                  <w:b w:val="false"/>
                  <w:i w:val="false"/>
                  <w:caps w:val="false"/>
                  <w:smallCaps w:val="false"/>
                  <w:strike w:val="false"/>
                  <w:dstrike w:val="false"/>
                  <w:color w:val="000000"/>
                  <w:sz w:val="18"/>
                  <w:u w:val="none"/>
                  <w:effect w:val="none"/>
                </w:rPr>
                <w:t>Global Code of Conduct</w:t>
              </w:r>
            </w:hyperlink>
          </w:p>
        </w:tc>
        <w:tc>
          <w:tcPr>
            <w:tcW w:w="245" w:type="dxa"/>
            <w:tcBorders/>
            <w:shd w:fill="auto" w:val="clear"/>
            <w:vAlign w:val="center"/>
          </w:tcPr>
          <w:p>
            <w:pPr>
              <w:pStyle w:val="TableContents"/>
              <w:spacing w:before="0" w:after="283"/>
              <w:jc w:val="right"/>
              <w:rPr/>
            </w:pPr>
            <w:hyperlink w:anchor="lrarea069">
              <w:r>
                <w:rPr>
                  <w:rStyle w:val="InternetLink"/>
                  <w:rFonts w:ascii="Arial;Helvetica;Sans-Serif" w:hAnsi="Arial;Helvetica;Sans-Serif"/>
                  <w:b w:val="false"/>
                  <w:i w:val="false"/>
                  <w:caps w:val="false"/>
                  <w:smallCaps w:val="false"/>
                  <w:strike w:val="false"/>
                  <w:dstrike w:val="false"/>
                  <w:color w:val="000000"/>
                  <w:sz w:val="18"/>
                  <w:u w:val="none"/>
                  <w:effect w:val="none"/>
                </w:rPr>
                <w:t>32</w:t>
              </w:r>
            </w:hyperlink>
          </w:p>
        </w:tc>
      </w:tr>
      <w:tr>
        <w:trPr/>
        <w:tc>
          <w:tcPr>
            <w:tcW w:w="9960" w:type="dxa"/>
            <w:tcBorders/>
            <w:shd w:fill="auto" w:val="clear"/>
            <w:vAlign w:val="center"/>
          </w:tcPr>
          <w:p>
            <w:pPr>
              <w:pStyle w:val="TableContents"/>
              <w:spacing w:before="0" w:after="283"/>
              <w:rPr/>
            </w:pPr>
            <w:hyperlink w:anchor="lrarea070">
              <w:r>
                <w:rPr>
                  <w:rStyle w:val="InternetLink"/>
                  <w:rFonts w:ascii="Arial;Helvetica;Sans-Serif" w:hAnsi="Arial;Helvetica;Sans-Serif"/>
                  <w:b w:val="false"/>
                  <w:i w:val="false"/>
                  <w:caps w:val="false"/>
                  <w:smallCaps w:val="false"/>
                  <w:strike w:val="false"/>
                  <w:dstrike w:val="false"/>
                  <w:color w:val="000000"/>
                  <w:sz w:val="18"/>
                  <w:u w:val="none"/>
                  <w:effect w:val="none"/>
                </w:rPr>
                <w:t>Anti-Hedging Policy</w:t>
              </w:r>
            </w:hyperlink>
          </w:p>
        </w:tc>
        <w:tc>
          <w:tcPr>
            <w:tcW w:w="245" w:type="dxa"/>
            <w:tcBorders/>
            <w:shd w:fill="auto" w:val="clear"/>
            <w:vAlign w:val="center"/>
          </w:tcPr>
          <w:p>
            <w:pPr>
              <w:pStyle w:val="TableContents"/>
              <w:spacing w:before="0" w:after="283"/>
              <w:jc w:val="right"/>
              <w:rPr/>
            </w:pPr>
            <w:hyperlink w:anchor="lrarea070">
              <w:r>
                <w:rPr>
                  <w:rStyle w:val="InternetLink"/>
                  <w:rFonts w:ascii="Arial;Helvetica;Sans-Serif" w:hAnsi="Arial;Helvetica;Sans-Serif"/>
                  <w:b w:val="false"/>
                  <w:i w:val="false"/>
                  <w:caps w:val="false"/>
                  <w:smallCaps w:val="false"/>
                  <w:strike w:val="false"/>
                  <w:dstrike w:val="false"/>
                  <w:color w:val="000000"/>
                  <w:sz w:val="18"/>
                  <w:u w:val="none"/>
                  <w:effect w:val="none"/>
                </w:rPr>
                <w:t>32</w:t>
              </w:r>
            </w:hyperlink>
          </w:p>
        </w:tc>
      </w:tr>
      <w:tr>
        <w:trPr/>
        <w:tc>
          <w:tcPr>
            <w:tcW w:w="9960" w:type="dxa"/>
            <w:tcBorders/>
            <w:shd w:fill="auto" w:val="clear"/>
            <w:vAlign w:val="center"/>
          </w:tcPr>
          <w:p>
            <w:pPr>
              <w:pStyle w:val="TableContents"/>
              <w:spacing w:before="0" w:after="283"/>
              <w:rPr/>
            </w:pPr>
            <w:hyperlink w:anchor="lrarea071">
              <w:r>
                <w:rPr>
                  <w:rStyle w:val="InternetLink"/>
                  <w:rFonts w:ascii="Arial;Helvetica;Sans-Serif" w:hAnsi="Arial;Helvetica;Sans-Serif"/>
                  <w:b w:val="false"/>
                  <w:i w:val="false"/>
                  <w:caps w:val="false"/>
                  <w:smallCaps w:val="false"/>
                  <w:strike w:val="false"/>
                  <w:dstrike w:val="false"/>
                  <w:color w:val="000000"/>
                  <w:sz w:val="18"/>
                  <w:u w:val="none"/>
                  <w:effect w:val="none"/>
                </w:rPr>
                <w:t>Stockholder Communications</w:t>
              </w:r>
            </w:hyperlink>
          </w:p>
        </w:tc>
        <w:tc>
          <w:tcPr>
            <w:tcW w:w="245" w:type="dxa"/>
            <w:tcBorders/>
            <w:shd w:fill="auto" w:val="clear"/>
            <w:vAlign w:val="center"/>
          </w:tcPr>
          <w:p>
            <w:pPr>
              <w:pStyle w:val="TableContents"/>
              <w:spacing w:before="0" w:after="283"/>
              <w:jc w:val="right"/>
              <w:rPr/>
            </w:pPr>
            <w:hyperlink w:anchor="lrarea071">
              <w:r>
                <w:rPr>
                  <w:rStyle w:val="InternetLink"/>
                  <w:rFonts w:ascii="Arial;Helvetica;Sans-Serif" w:hAnsi="Arial;Helvetica;Sans-Serif"/>
                  <w:b w:val="false"/>
                  <w:i w:val="false"/>
                  <w:caps w:val="false"/>
                  <w:smallCaps w:val="false"/>
                  <w:strike w:val="false"/>
                  <w:dstrike w:val="false"/>
                  <w:color w:val="000000"/>
                  <w:sz w:val="18"/>
                  <w:u w:val="none"/>
                  <w:effect w:val="none"/>
                </w:rPr>
                <w:t>32</w:t>
              </w:r>
            </w:hyperlink>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lrarea072">
              <w:r>
                <w:rPr>
                  <w:rStyle w:val="InternetLink"/>
                  <w:rFonts w:ascii="Arial;Helvetica;Sans-Serif" w:hAnsi="Arial;Helvetica;Sans-Serif"/>
                  <w:b/>
                  <w:i w:val="false"/>
                  <w:caps w:val="false"/>
                  <w:smallCaps w:val="false"/>
                  <w:strike w:val="false"/>
                  <w:dstrike w:val="false"/>
                  <w:color w:val="7CBC3E"/>
                  <w:sz w:val="20"/>
                  <w:u w:val="none"/>
                  <w:effect w:val="none"/>
                </w:rPr>
                <w:t>Board of Directors and Committees</w:t>
              </w:r>
            </w:hyperlink>
          </w:p>
        </w:tc>
        <w:tc>
          <w:tcPr>
            <w:tcW w:w="245" w:type="dxa"/>
            <w:tcBorders/>
            <w:shd w:fill="auto" w:val="clear"/>
            <w:vAlign w:val="center"/>
          </w:tcPr>
          <w:p>
            <w:pPr>
              <w:pStyle w:val="TableContents"/>
              <w:spacing w:before="0" w:after="283"/>
              <w:jc w:val="right"/>
              <w:rPr/>
            </w:pPr>
            <w:hyperlink w:anchor="lrarea072">
              <w:r>
                <w:rPr>
                  <w:rStyle w:val="InternetLink"/>
                  <w:rFonts w:ascii="Arial;Helvetica;Sans-Serif" w:hAnsi="Arial;Helvetica;Sans-Serif"/>
                  <w:b/>
                  <w:i w:val="false"/>
                  <w:caps w:val="false"/>
                  <w:smallCaps w:val="false"/>
                  <w:strike w:val="false"/>
                  <w:dstrike w:val="false"/>
                  <w:color w:val="7CBC3E"/>
                  <w:sz w:val="20"/>
                  <w:u w:val="none"/>
                  <w:effect w:val="none"/>
                </w:rPr>
                <w:t>33</w:t>
              </w:r>
            </w:hyperlink>
          </w:p>
        </w:tc>
      </w:tr>
      <w:tr>
        <w:trPr/>
        <w:tc>
          <w:tcPr>
            <w:tcW w:w="9960" w:type="dxa"/>
            <w:tcBorders/>
            <w:shd w:fill="auto" w:val="clear"/>
            <w:vAlign w:val="center"/>
          </w:tcPr>
          <w:p>
            <w:pPr>
              <w:pStyle w:val="TableContents"/>
              <w:spacing w:before="0" w:after="283"/>
              <w:rPr/>
            </w:pPr>
            <w:hyperlink w:anchor="lrarea073">
              <w:r>
                <w:rPr>
                  <w:rStyle w:val="InternetLink"/>
                  <w:rFonts w:ascii="Arial;Helvetica;Sans-Serif" w:hAnsi="Arial;Helvetica;Sans-Serif"/>
                  <w:b w:val="false"/>
                  <w:i w:val="false"/>
                  <w:caps w:val="false"/>
                  <w:smallCaps w:val="false"/>
                  <w:strike w:val="false"/>
                  <w:dstrike w:val="false"/>
                  <w:color w:val="000000"/>
                  <w:sz w:val="18"/>
                  <w:u w:val="none"/>
                  <w:effect w:val="none"/>
                </w:rPr>
                <w:t>Board Leadership Structure</w:t>
              </w:r>
            </w:hyperlink>
          </w:p>
        </w:tc>
        <w:tc>
          <w:tcPr>
            <w:tcW w:w="245" w:type="dxa"/>
            <w:tcBorders/>
            <w:shd w:fill="auto" w:val="clear"/>
            <w:vAlign w:val="center"/>
          </w:tcPr>
          <w:p>
            <w:pPr>
              <w:pStyle w:val="TableContents"/>
              <w:spacing w:before="0" w:after="283"/>
              <w:jc w:val="right"/>
              <w:rPr/>
            </w:pPr>
            <w:hyperlink w:anchor="lrarea073">
              <w:r>
                <w:rPr>
                  <w:rStyle w:val="InternetLink"/>
                  <w:rFonts w:ascii="Arial;Helvetica;Sans-Serif" w:hAnsi="Arial;Helvetica;Sans-Serif"/>
                  <w:b w:val="false"/>
                  <w:i w:val="false"/>
                  <w:caps w:val="false"/>
                  <w:smallCaps w:val="false"/>
                  <w:strike w:val="false"/>
                  <w:dstrike w:val="false"/>
                  <w:color w:val="000000"/>
                  <w:sz w:val="18"/>
                  <w:u w:val="none"/>
                  <w:effect w:val="none"/>
                </w:rPr>
                <w:t>33</w:t>
              </w:r>
            </w:hyperlink>
          </w:p>
        </w:tc>
      </w:tr>
      <w:tr>
        <w:trPr/>
        <w:tc>
          <w:tcPr>
            <w:tcW w:w="9960" w:type="dxa"/>
            <w:tcBorders/>
            <w:shd w:fill="auto" w:val="clear"/>
            <w:vAlign w:val="center"/>
          </w:tcPr>
          <w:p>
            <w:pPr>
              <w:pStyle w:val="TableContents"/>
              <w:spacing w:before="0" w:after="283"/>
              <w:rPr/>
            </w:pPr>
            <w:hyperlink w:anchor="lrarea074">
              <w:r>
                <w:rPr>
                  <w:rStyle w:val="InternetLink"/>
                  <w:rFonts w:ascii="Arial;Helvetica;Sans-Serif" w:hAnsi="Arial;Helvetica;Sans-Serif"/>
                  <w:b w:val="false"/>
                  <w:i w:val="false"/>
                  <w:caps w:val="false"/>
                  <w:smallCaps w:val="false"/>
                  <w:strike w:val="false"/>
                  <w:dstrike w:val="false"/>
                  <w:color w:val="000000"/>
                  <w:sz w:val="18"/>
                  <w:u w:val="none"/>
                  <w:effect w:val="none"/>
                </w:rPr>
                <w:t>Role of the Board in Risk Oversight</w:t>
              </w:r>
            </w:hyperlink>
          </w:p>
        </w:tc>
        <w:tc>
          <w:tcPr>
            <w:tcW w:w="245" w:type="dxa"/>
            <w:tcBorders/>
            <w:shd w:fill="auto" w:val="clear"/>
            <w:vAlign w:val="center"/>
          </w:tcPr>
          <w:p>
            <w:pPr>
              <w:pStyle w:val="TableContents"/>
              <w:spacing w:before="0" w:after="283"/>
              <w:jc w:val="right"/>
              <w:rPr/>
            </w:pPr>
            <w:hyperlink w:anchor="lrarea074">
              <w:r>
                <w:rPr>
                  <w:rStyle w:val="InternetLink"/>
                  <w:rFonts w:ascii="Arial;Helvetica;Sans-Serif" w:hAnsi="Arial;Helvetica;Sans-Serif"/>
                  <w:b w:val="false"/>
                  <w:i w:val="false"/>
                  <w:caps w:val="false"/>
                  <w:smallCaps w:val="false"/>
                  <w:strike w:val="false"/>
                  <w:dstrike w:val="false"/>
                  <w:color w:val="000000"/>
                  <w:sz w:val="18"/>
                  <w:u w:val="none"/>
                  <w:effect w:val="none"/>
                </w:rPr>
                <w:t>33</w:t>
              </w:r>
            </w:hyperlink>
          </w:p>
        </w:tc>
      </w:tr>
      <w:tr>
        <w:trPr/>
        <w:tc>
          <w:tcPr>
            <w:tcW w:w="9960" w:type="dxa"/>
            <w:tcBorders/>
            <w:shd w:fill="auto" w:val="clear"/>
            <w:vAlign w:val="center"/>
          </w:tcPr>
          <w:p>
            <w:pPr>
              <w:pStyle w:val="TableContents"/>
              <w:spacing w:before="0" w:after="283"/>
              <w:rPr/>
            </w:pPr>
            <w:hyperlink w:anchor="lrarea075">
              <w:r>
                <w:rPr>
                  <w:rStyle w:val="InternetLink"/>
                  <w:rFonts w:ascii="Arial;Helvetica;Sans-Serif" w:hAnsi="Arial;Helvetica;Sans-Serif"/>
                  <w:b w:val="false"/>
                  <w:i w:val="false"/>
                  <w:caps w:val="false"/>
                  <w:smallCaps w:val="false"/>
                  <w:strike w:val="false"/>
                  <w:dstrike w:val="false"/>
                  <w:color w:val="000000"/>
                  <w:sz w:val="18"/>
                  <w:u w:val="none"/>
                  <w:effect w:val="none"/>
                </w:rPr>
                <w:t>Board Committees</w:t>
              </w:r>
            </w:hyperlink>
          </w:p>
        </w:tc>
        <w:tc>
          <w:tcPr>
            <w:tcW w:w="245" w:type="dxa"/>
            <w:tcBorders/>
            <w:shd w:fill="auto" w:val="clear"/>
            <w:vAlign w:val="center"/>
          </w:tcPr>
          <w:p>
            <w:pPr>
              <w:pStyle w:val="TableContents"/>
              <w:spacing w:before="0" w:after="283"/>
              <w:jc w:val="right"/>
              <w:rPr/>
            </w:pPr>
            <w:hyperlink w:anchor="lrarea075">
              <w:r>
                <w:rPr>
                  <w:rStyle w:val="InternetLink"/>
                  <w:rFonts w:ascii="Arial;Helvetica;Sans-Serif" w:hAnsi="Arial;Helvetica;Sans-Serif"/>
                  <w:b w:val="false"/>
                  <w:i w:val="false"/>
                  <w:caps w:val="false"/>
                  <w:smallCaps w:val="false"/>
                  <w:strike w:val="false"/>
                  <w:dstrike w:val="false"/>
                  <w:color w:val="000000"/>
                  <w:sz w:val="18"/>
                  <w:u w:val="none"/>
                  <w:effect w:val="none"/>
                </w:rPr>
                <w:t>33</w:t>
              </w:r>
            </w:hyperlink>
          </w:p>
        </w:tc>
      </w:tr>
      <w:tr>
        <w:trPr/>
        <w:tc>
          <w:tcPr>
            <w:tcW w:w="9960" w:type="dxa"/>
            <w:tcBorders/>
            <w:shd w:fill="auto" w:val="clear"/>
            <w:vAlign w:val="center"/>
          </w:tcPr>
          <w:p>
            <w:pPr>
              <w:pStyle w:val="TableContents"/>
              <w:spacing w:before="0" w:after="283"/>
              <w:rPr/>
            </w:pPr>
            <w:hyperlink w:anchor="lrarea076">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Committee Interlocks and Insider Participation</w:t>
              </w:r>
            </w:hyperlink>
          </w:p>
        </w:tc>
        <w:tc>
          <w:tcPr>
            <w:tcW w:w="245" w:type="dxa"/>
            <w:tcBorders/>
            <w:shd w:fill="auto" w:val="clear"/>
            <w:vAlign w:val="center"/>
          </w:tcPr>
          <w:p>
            <w:pPr>
              <w:pStyle w:val="TableContents"/>
              <w:spacing w:before="0" w:after="283"/>
              <w:jc w:val="right"/>
              <w:rPr/>
            </w:pPr>
            <w:hyperlink w:anchor="lrarea076">
              <w:r>
                <w:rPr>
                  <w:rStyle w:val="InternetLink"/>
                  <w:rFonts w:ascii="Arial;Helvetica;Sans-Serif" w:hAnsi="Arial;Helvetica;Sans-Serif"/>
                  <w:b w:val="false"/>
                  <w:i w:val="false"/>
                  <w:caps w:val="false"/>
                  <w:smallCaps w:val="false"/>
                  <w:strike w:val="false"/>
                  <w:dstrike w:val="false"/>
                  <w:color w:val="000000"/>
                  <w:sz w:val="18"/>
                  <w:u w:val="none"/>
                  <w:effect w:val="none"/>
                </w:rPr>
                <w:t>36</w:t>
              </w:r>
            </w:hyperlink>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lrarea077">
              <w:r>
                <w:rPr>
                  <w:rStyle w:val="InternetLink"/>
                  <w:rFonts w:ascii="Arial;Helvetica;Sans-Serif" w:hAnsi="Arial;Helvetica;Sans-Serif"/>
                  <w:b/>
                  <w:i w:val="false"/>
                  <w:caps w:val="false"/>
                  <w:smallCaps w:val="false"/>
                  <w:strike w:val="false"/>
                  <w:dstrike w:val="false"/>
                  <w:color w:val="7CBC3E"/>
                  <w:sz w:val="20"/>
                  <w:u w:val="none"/>
                  <w:effect w:val="none"/>
                </w:rPr>
                <w:t>Environmental, Social and Governance (ESG)</w:t>
              </w:r>
            </w:hyperlink>
            <w:hyperlink w:anchor="lrarea077">
              <w:r>
                <w:rPr>
                  <w:rStyle w:val="InternetLink"/>
                  <w:rFonts w:ascii="Arial;Helvetica;Sans-Serif" w:hAnsi="Arial;Helvetica;Sans-Serif"/>
                  <w:b w:val="false"/>
                  <w:i w:val="false"/>
                  <w:caps w:val="false"/>
                  <w:smallCaps w:val="false"/>
                  <w:strike w:val="false"/>
                  <w:dstrike w:val="false"/>
                  <w:color w:val="7CBC3E"/>
                  <w:sz w:val="20"/>
                  <w:u w:val="none"/>
                  <w:effect w:val="none"/>
                </w:rPr>
                <w:t xml:space="preserve"> </w:t>
              </w:r>
            </w:hyperlink>
            <w:hyperlink w:anchor="lrarea077">
              <w:r>
                <w:rPr>
                  <w:rStyle w:val="InternetLink"/>
                  <w:rFonts w:ascii="Arial;Helvetica;Sans-Serif" w:hAnsi="Arial;Helvetica;Sans-Serif"/>
                  <w:b/>
                  <w:i w:val="false"/>
                  <w:caps w:val="false"/>
                  <w:smallCaps w:val="false"/>
                  <w:strike w:val="false"/>
                  <w:dstrike w:val="false"/>
                  <w:color w:val="7CBC3E"/>
                  <w:sz w:val="20"/>
                  <w:u w:val="none"/>
                  <w:effect w:val="none"/>
                </w:rPr>
                <w:t>Matters*</w:t>
              </w:r>
            </w:hyperlink>
          </w:p>
        </w:tc>
        <w:tc>
          <w:tcPr>
            <w:tcW w:w="245" w:type="dxa"/>
            <w:tcBorders/>
            <w:shd w:fill="auto" w:val="clear"/>
            <w:vAlign w:val="center"/>
          </w:tcPr>
          <w:p>
            <w:pPr>
              <w:pStyle w:val="TableContents"/>
              <w:spacing w:before="0" w:after="283"/>
              <w:jc w:val="right"/>
              <w:rPr/>
            </w:pPr>
            <w:hyperlink w:anchor="lrarea077">
              <w:r>
                <w:rPr>
                  <w:rStyle w:val="InternetLink"/>
                  <w:rFonts w:ascii="Arial;Helvetica;Sans-Serif" w:hAnsi="Arial;Helvetica;Sans-Serif"/>
                  <w:b/>
                  <w:i w:val="false"/>
                  <w:caps w:val="false"/>
                  <w:smallCaps w:val="false"/>
                  <w:strike w:val="false"/>
                  <w:dstrike w:val="false"/>
                  <w:color w:val="7CBC3E"/>
                  <w:sz w:val="20"/>
                  <w:u w:val="none"/>
                  <w:effect w:val="none"/>
                </w:rPr>
                <w:t>37</w:t>
              </w:r>
            </w:hyperlink>
          </w:p>
        </w:tc>
      </w:tr>
      <w:tr>
        <w:trPr/>
        <w:tc>
          <w:tcPr>
            <w:tcW w:w="9960" w:type="dxa"/>
            <w:tcBorders/>
            <w:shd w:fill="auto" w:val="clear"/>
            <w:vAlign w:val="center"/>
          </w:tcPr>
          <w:p>
            <w:pPr>
              <w:pStyle w:val="TableContents"/>
              <w:spacing w:before="0" w:after="283"/>
              <w:rPr/>
            </w:pPr>
            <w:hyperlink w:anchor="lrarea078">
              <w:r>
                <w:rPr>
                  <w:rStyle w:val="InternetLink"/>
                  <w:rFonts w:ascii="Arial;Helvetica;Sans-Serif" w:hAnsi="Arial;Helvetica;Sans-Serif"/>
                  <w:b w:val="false"/>
                  <w:i w:val="false"/>
                  <w:caps w:val="false"/>
                  <w:smallCaps w:val="false"/>
                  <w:strike w:val="false"/>
                  <w:dstrike w:val="false"/>
                  <w:color w:val="000000"/>
                  <w:sz w:val="18"/>
                  <w:u w:val="none"/>
                  <w:effect w:val="none"/>
                </w:rPr>
                <w:t>Innovation</w:t>
              </w:r>
            </w:hyperlink>
          </w:p>
        </w:tc>
        <w:tc>
          <w:tcPr>
            <w:tcW w:w="245" w:type="dxa"/>
            <w:tcBorders/>
            <w:shd w:fill="auto" w:val="clear"/>
            <w:vAlign w:val="center"/>
          </w:tcPr>
          <w:p>
            <w:pPr>
              <w:pStyle w:val="TableContents"/>
              <w:spacing w:before="0" w:after="283"/>
              <w:jc w:val="right"/>
              <w:rPr/>
            </w:pPr>
            <w:hyperlink w:anchor="lrarea078">
              <w:r>
                <w:rPr>
                  <w:rStyle w:val="InternetLink"/>
                  <w:rFonts w:ascii="Arial;Helvetica;Sans-Serif" w:hAnsi="Arial;Helvetica;Sans-Serif"/>
                  <w:b w:val="false"/>
                  <w:i w:val="false"/>
                  <w:caps w:val="false"/>
                  <w:smallCaps w:val="false"/>
                  <w:strike w:val="false"/>
                  <w:dstrike w:val="false"/>
                  <w:color w:val="000000"/>
                  <w:sz w:val="18"/>
                  <w:u w:val="none"/>
                  <w:effect w:val="none"/>
                </w:rPr>
                <w:t>37</w:t>
              </w:r>
            </w:hyperlink>
          </w:p>
        </w:tc>
      </w:tr>
      <w:tr>
        <w:trPr/>
        <w:tc>
          <w:tcPr>
            <w:tcW w:w="9960" w:type="dxa"/>
            <w:tcBorders/>
            <w:shd w:fill="auto" w:val="clear"/>
            <w:vAlign w:val="center"/>
          </w:tcPr>
          <w:p>
            <w:pPr>
              <w:pStyle w:val="TableContents"/>
              <w:spacing w:before="0" w:after="283"/>
              <w:rPr/>
            </w:pPr>
            <w:hyperlink w:anchor="lrarea079">
              <w:r>
                <w:rPr>
                  <w:rStyle w:val="InternetLink"/>
                  <w:rFonts w:ascii="Arial;Helvetica;Sans-Serif" w:hAnsi="Arial;Helvetica;Sans-Serif"/>
                  <w:b w:val="false"/>
                  <w:i w:val="false"/>
                  <w:caps w:val="false"/>
                  <w:smallCaps w:val="false"/>
                  <w:strike w:val="false"/>
                  <w:dstrike w:val="false"/>
                  <w:color w:val="000000"/>
                  <w:sz w:val="18"/>
                  <w:u w:val="none"/>
                  <w:effect w:val="none"/>
                </w:rPr>
                <w:t>Patients</w:t>
              </w:r>
            </w:hyperlink>
          </w:p>
        </w:tc>
        <w:tc>
          <w:tcPr>
            <w:tcW w:w="245" w:type="dxa"/>
            <w:tcBorders/>
            <w:shd w:fill="auto" w:val="clear"/>
            <w:vAlign w:val="center"/>
          </w:tcPr>
          <w:p>
            <w:pPr>
              <w:pStyle w:val="TableContents"/>
              <w:spacing w:before="0" w:after="283"/>
              <w:jc w:val="right"/>
              <w:rPr/>
            </w:pPr>
            <w:hyperlink w:anchor="lrarea079">
              <w:r>
                <w:rPr>
                  <w:rStyle w:val="InternetLink"/>
                  <w:rFonts w:ascii="Arial;Helvetica;Sans-Serif" w:hAnsi="Arial;Helvetica;Sans-Serif"/>
                  <w:b w:val="false"/>
                  <w:i w:val="false"/>
                  <w:caps w:val="false"/>
                  <w:smallCaps w:val="false"/>
                  <w:strike w:val="false"/>
                  <w:dstrike w:val="false"/>
                  <w:color w:val="000000"/>
                  <w:sz w:val="18"/>
                  <w:u w:val="none"/>
                  <w:effect w:val="none"/>
                </w:rPr>
                <w:t>38</w:t>
              </w:r>
            </w:hyperlink>
          </w:p>
        </w:tc>
      </w:tr>
      <w:tr>
        <w:trPr/>
        <w:tc>
          <w:tcPr>
            <w:tcW w:w="9960" w:type="dxa"/>
            <w:tcBorders/>
            <w:shd w:fill="auto" w:val="clear"/>
            <w:vAlign w:val="center"/>
          </w:tcPr>
          <w:p>
            <w:pPr>
              <w:pStyle w:val="TableContents"/>
              <w:spacing w:before="0" w:after="283"/>
              <w:rPr/>
            </w:pPr>
            <w:hyperlink w:anchor="lrarea080">
              <w:r>
                <w:rPr>
                  <w:rStyle w:val="InternetLink"/>
                  <w:rFonts w:ascii="Arial;Helvetica;Sans-Serif" w:hAnsi="Arial;Helvetica;Sans-Serif"/>
                  <w:b w:val="false"/>
                  <w:i w:val="false"/>
                  <w:caps w:val="false"/>
                  <w:smallCaps w:val="false"/>
                  <w:strike w:val="false"/>
                  <w:dstrike w:val="false"/>
                  <w:color w:val="000000"/>
                  <w:sz w:val="18"/>
                  <w:u w:val="none"/>
                  <w:effect w:val="none"/>
                </w:rPr>
                <w:t>People</w:t>
              </w:r>
            </w:hyperlink>
          </w:p>
        </w:tc>
        <w:tc>
          <w:tcPr>
            <w:tcW w:w="245" w:type="dxa"/>
            <w:tcBorders/>
            <w:shd w:fill="auto" w:val="clear"/>
            <w:vAlign w:val="center"/>
          </w:tcPr>
          <w:p>
            <w:pPr>
              <w:pStyle w:val="TableContents"/>
              <w:spacing w:before="0" w:after="283"/>
              <w:jc w:val="right"/>
              <w:rPr/>
            </w:pPr>
            <w:hyperlink w:anchor="lrarea080">
              <w:r>
                <w:rPr>
                  <w:rStyle w:val="InternetLink"/>
                  <w:rFonts w:ascii="Arial;Helvetica;Sans-Serif" w:hAnsi="Arial;Helvetica;Sans-Serif"/>
                  <w:b w:val="false"/>
                  <w:i w:val="false"/>
                  <w:caps w:val="false"/>
                  <w:smallCaps w:val="false"/>
                  <w:strike w:val="false"/>
                  <w:dstrike w:val="false"/>
                  <w:color w:val="000000"/>
                  <w:sz w:val="18"/>
                  <w:u w:val="none"/>
                  <w:effect w:val="none"/>
                </w:rPr>
                <w:t>38</w:t>
              </w:r>
            </w:hyperlink>
          </w:p>
        </w:tc>
      </w:tr>
      <w:tr>
        <w:trPr/>
        <w:tc>
          <w:tcPr>
            <w:tcW w:w="9960" w:type="dxa"/>
            <w:tcBorders/>
            <w:shd w:fill="auto" w:val="clear"/>
            <w:vAlign w:val="center"/>
          </w:tcPr>
          <w:p>
            <w:pPr>
              <w:pStyle w:val="TableContents"/>
              <w:spacing w:before="0" w:after="283"/>
              <w:rPr/>
            </w:pPr>
            <w:hyperlink w:anchor="lrarea081">
              <w:r>
                <w:rPr>
                  <w:rStyle w:val="InternetLink"/>
                  <w:rFonts w:ascii="Arial;Helvetica;Sans-Serif" w:hAnsi="Arial;Helvetica;Sans-Serif"/>
                  <w:b w:val="false"/>
                  <w:i w:val="false"/>
                  <w:caps w:val="false"/>
                  <w:smallCaps w:val="false"/>
                  <w:strike w:val="false"/>
                  <w:dstrike w:val="false"/>
                  <w:color w:val="000000"/>
                  <w:sz w:val="18"/>
                  <w:u w:val="none"/>
                  <w:effect w:val="none"/>
                </w:rPr>
                <w:t>Communities</w:t>
              </w:r>
            </w:hyperlink>
          </w:p>
        </w:tc>
        <w:tc>
          <w:tcPr>
            <w:tcW w:w="245" w:type="dxa"/>
            <w:tcBorders/>
            <w:shd w:fill="auto" w:val="clear"/>
            <w:vAlign w:val="center"/>
          </w:tcPr>
          <w:p>
            <w:pPr>
              <w:pStyle w:val="TableContents"/>
              <w:spacing w:before="0" w:after="283"/>
              <w:jc w:val="right"/>
              <w:rPr/>
            </w:pPr>
            <w:hyperlink w:anchor="lrarea081">
              <w:r>
                <w:rPr>
                  <w:rStyle w:val="InternetLink"/>
                  <w:rFonts w:ascii="Arial;Helvetica;Sans-Serif" w:hAnsi="Arial;Helvetica;Sans-Serif"/>
                  <w:b w:val="false"/>
                  <w:i w:val="false"/>
                  <w:caps w:val="false"/>
                  <w:smallCaps w:val="false"/>
                  <w:strike w:val="false"/>
                  <w:dstrike w:val="false"/>
                  <w:color w:val="000000"/>
                  <w:sz w:val="18"/>
                  <w:u w:val="none"/>
                  <w:effect w:val="none"/>
                </w:rPr>
                <w:t>39</w:t>
              </w:r>
            </w:hyperlink>
          </w:p>
        </w:tc>
      </w:tr>
      <w:tr>
        <w:trPr/>
        <w:tc>
          <w:tcPr>
            <w:tcW w:w="9960" w:type="dxa"/>
            <w:tcBorders/>
            <w:shd w:fill="auto" w:val="clear"/>
            <w:vAlign w:val="center"/>
          </w:tcPr>
          <w:p>
            <w:pPr>
              <w:pStyle w:val="TableContents"/>
              <w:spacing w:before="0" w:after="283"/>
              <w:rPr/>
            </w:pPr>
            <w:hyperlink w:anchor="lrarea082">
              <w:r>
                <w:rPr>
                  <w:rStyle w:val="InternetLink"/>
                  <w:rFonts w:ascii="Arial;Helvetica;Sans-Serif" w:hAnsi="Arial;Helvetica;Sans-Serif"/>
                  <w:b w:val="false"/>
                  <w:i w:val="false"/>
                  <w:caps w:val="false"/>
                  <w:smallCaps w:val="false"/>
                  <w:strike w:val="false"/>
                  <w:dstrike w:val="false"/>
                  <w:color w:val="000000"/>
                  <w:sz w:val="18"/>
                  <w:u w:val="none"/>
                  <w:effect w:val="none"/>
                </w:rPr>
                <w:t>Planet</w:t>
              </w:r>
            </w:hyperlink>
          </w:p>
        </w:tc>
        <w:tc>
          <w:tcPr>
            <w:tcW w:w="245" w:type="dxa"/>
            <w:tcBorders/>
            <w:shd w:fill="auto" w:val="clear"/>
            <w:vAlign w:val="center"/>
          </w:tcPr>
          <w:p>
            <w:pPr>
              <w:pStyle w:val="TableContents"/>
              <w:spacing w:before="0" w:after="283"/>
              <w:jc w:val="right"/>
              <w:rPr/>
            </w:pPr>
            <w:hyperlink w:anchor="lrarea082">
              <w:r>
                <w:rPr>
                  <w:rStyle w:val="InternetLink"/>
                  <w:rFonts w:ascii="Arial;Helvetica;Sans-Serif" w:hAnsi="Arial;Helvetica;Sans-Serif"/>
                  <w:b w:val="false"/>
                  <w:i w:val="false"/>
                  <w:caps w:val="false"/>
                  <w:smallCaps w:val="false"/>
                  <w:strike w:val="false"/>
                  <w:dstrike w:val="false"/>
                  <w:color w:val="000000"/>
                  <w:sz w:val="18"/>
                  <w:u w:val="none"/>
                  <w:effect w:val="none"/>
                </w:rPr>
                <w:t>40</w:t>
              </w:r>
            </w:hyperlink>
          </w:p>
        </w:tc>
      </w:tr>
      <w:tr>
        <w:trPr/>
        <w:tc>
          <w:tcPr>
            <w:tcW w:w="9960" w:type="dxa"/>
            <w:tcBorders/>
            <w:shd w:fill="auto" w:val="clear"/>
            <w:vAlign w:val="center"/>
          </w:tcPr>
          <w:p>
            <w:pPr>
              <w:pStyle w:val="TableContents"/>
              <w:spacing w:before="0" w:after="283"/>
              <w:rPr/>
            </w:pPr>
            <w:hyperlink w:anchor="lrarea083">
              <w:r>
                <w:rPr>
                  <w:rStyle w:val="InternetLink"/>
                  <w:rFonts w:ascii="Arial;Helvetica;Sans-Serif" w:hAnsi="Arial;Helvetica;Sans-Serif"/>
                  <w:b w:val="false"/>
                  <w:i w:val="false"/>
                  <w:caps w:val="false"/>
                  <w:smallCaps w:val="false"/>
                  <w:strike w:val="false"/>
                  <w:dstrike w:val="false"/>
                  <w:color w:val="000000"/>
                  <w:sz w:val="18"/>
                  <w:u w:val="none"/>
                  <w:effect w:val="none"/>
                </w:rPr>
                <w:t>Governance</w:t>
              </w:r>
            </w:hyperlink>
          </w:p>
        </w:tc>
        <w:tc>
          <w:tcPr>
            <w:tcW w:w="245" w:type="dxa"/>
            <w:tcBorders/>
            <w:shd w:fill="auto" w:val="clear"/>
            <w:vAlign w:val="center"/>
          </w:tcPr>
          <w:p>
            <w:pPr>
              <w:pStyle w:val="TableContents"/>
              <w:spacing w:before="0" w:after="283"/>
              <w:jc w:val="right"/>
              <w:rPr/>
            </w:pPr>
            <w:hyperlink w:anchor="lrarea083">
              <w:r>
                <w:rPr>
                  <w:rStyle w:val="InternetLink"/>
                  <w:rFonts w:ascii="Arial;Helvetica;Sans-Serif" w:hAnsi="Arial;Helvetica;Sans-Serif"/>
                  <w:b w:val="false"/>
                  <w:i w:val="false"/>
                  <w:caps w:val="false"/>
                  <w:smallCaps w:val="false"/>
                  <w:strike w:val="false"/>
                  <w:dstrike w:val="false"/>
                  <w:color w:val="000000"/>
                  <w:sz w:val="18"/>
                  <w:u w:val="none"/>
                  <w:effect w:val="none"/>
                </w:rPr>
                <w:t>40</w:t>
              </w:r>
            </w:hyperlink>
          </w:p>
        </w:tc>
      </w:tr>
    </w:tbl>
    <w:p>
      <w:pPr>
        <w:pStyle w:val="TextBody"/>
        <w:rPr>
          <w:caps w:val="false"/>
          <w:smallCaps w:val="false"/>
          <w:highlight w:val="green"/>
        </w:rPr>
      </w:pPr>
      <w:r>
        <w:rPr>
          <w:caps w:val="false"/>
          <w:smallCaps w:val="false"/>
          <w:highlight w:val="green"/>
        </w:rPr>
        <w:t> </w:t>
      </w:r>
    </w:p>
    <w:p>
      <w:pPr>
        <w:pStyle w:val="TextBody"/>
        <w:jc w:val="right"/>
        <w:rPr>
          <w:rFonts w:ascii="Arial;Helvetica;Sans-Serif" w:hAnsi="Arial;Helvetica;Sans-Serif"/>
          <w:b w:val="false"/>
          <w:i w:val="false"/>
          <w:caps w:val="false"/>
          <w:smallCaps w:val="false"/>
          <w:sz w:val="18"/>
          <w:highlight w:val="green"/>
        </w:rPr>
      </w:pPr>
      <w:r>
        <w:rPr>
          <w:rFonts w:ascii="Arial;Helvetica;Sans-Serif" w:hAnsi="Arial;Helvetica;Sans-Serif"/>
          <w:b/>
          <w:i w:val="false"/>
          <w:caps w:val="false"/>
          <w:smallCaps w:val="false"/>
          <w:sz w:val="18"/>
          <w:highlight w:val="green"/>
        </w:rPr>
        <w:t>ULTRAGENYX PHARMACEUTICAL INC.</w:t>
      </w:r>
      <w:r>
        <w:rPr>
          <w:rFonts w:ascii="Arial;Helvetica;Sans-Serif" w:hAnsi="Arial;Helvetica;Sans-Serif"/>
          <w:b w:val="false"/>
          <w:i w:val="false"/>
          <w:caps w:val="false"/>
          <w:smallCaps w:val="false"/>
          <w:sz w:val="18"/>
          <w:highlight w:val="green"/>
        </w:rPr>
        <w:t xml:space="preserve"> </w:t>
      </w:r>
      <w:r>
        <w:rPr>
          <w:rFonts w:ascii="Arial;Helvetica;Sans-Serif" w:hAnsi="Arial;Helvetica;Sans-Serif"/>
          <w:b w:val="false"/>
          <w:i w:val="false"/>
          <w:caps w:val="false"/>
          <w:smallCaps w:val="false"/>
          <w:color w:val="7CBC3E"/>
          <w:sz w:val="18"/>
          <w:highlight w:val="green"/>
        </w:rPr>
        <w:t>•</w:t>
      </w:r>
      <w:r>
        <w:rPr>
          <w:rFonts w:ascii="Arial;Helvetica;Sans-Serif" w:hAnsi="Arial;Helvetica;Sans-Serif"/>
          <w:b w:val="false"/>
          <w:i w:val="false"/>
          <w:caps w:val="false"/>
          <w:smallCaps w:val="false"/>
          <w:sz w:val="18"/>
          <w:highlight w:val="green"/>
        </w:rPr>
        <w:t xml:space="preserve"> 2023 Proxy Statement        </w:t>
      </w:r>
      <w:r>
        <w:rPr>
          <w:rFonts w:ascii="Arial;Helvetica;Sans-Serif" w:hAnsi="Arial;Helvetica;Sans-Serif"/>
          <w:b/>
          <w:i w:val="false"/>
          <w:caps w:val="false"/>
          <w:smallCaps w:val="false"/>
          <w:sz w:val="18"/>
          <w:highlight w:val="green"/>
        </w:rPr>
        <w:t>3</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tbl>
      <w:tblPr>
        <w:tblW w:w="7945" w:type="dxa"/>
        <w:jc w:val="left"/>
        <w:tblInd w:w="0" w:type="dxa"/>
        <w:tblCellMar>
          <w:top w:w="0" w:type="dxa"/>
          <w:left w:w="0" w:type="dxa"/>
          <w:bottom w:w="0" w:type="dxa"/>
          <w:right w:w="0" w:type="dxa"/>
        </w:tblCellMar>
      </w:tblPr>
      <w:tblGrid>
        <w:gridCol w:w="7700"/>
        <w:gridCol w:w="245"/>
      </w:tblGrid>
      <w:tr>
        <w:trPr/>
        <w:tc>
          <w:tcPr>
            <w:tcW w:w="7700" w:type="dxa"/>
            <w:tcBorders/>
            <w:shd w:fill="auto" w:val="clear"/>
            <w:vAlign w:val="center"/>
          </w:tcPr>
          <w:p>
            <w:pPr>
              <w:pStyle w:val="TableContents"/>
              <w:spacing w:before="0" w:after="283"/>
              <w:rPr/>
            </w:pPr>
            <w:hyperlink w:anchor="lrarea084">
              <w:r>
                <w:rPr>
                  <w:rStyle w:val="InternetLink"/>
                  <w:rFonts w:ascii="Arial;Helvetica;Sans-Serif" w:hAnsi="Arial;Helvetica;Sans-Serif"/>
                  <w:b/>
                  <w:i w:val="false"/>
                  <w:caps w:val="false"/>
                  <w:smallCaps w:val="false"/>
                  <w:strike w:val="false"/>
                  <w:dstrike w:val="false"/>
                  <w:color w:val="7CBC3E"/>
                  <w:sz w:val="20"/>
                  <w:u w:val="none"/>
                  <w:effect w:val="none"/>
                </w:rPr>
                <w:t>Executive Officers</w:t>
              </w:r>
            </w:hyperlink>
          </w:p>
        </w:tc>
        <w:tc>
          <w:tcPr>
            <w:tcW w:w="245" w:type="dxa"/>
            <w:tcBorders/>
            <w:shd w:fill="auto" w:val="clear"/>
            <w:vAlign w:val="center"/>
          </w:tcPr>
          <w:p>
            <w:pPr>
              <w:pStyle w:val="TableContents"/>
              <w:spacing w:before="0" w:after="283"/>
              <w:jc w:val="right"/>
              <w:rPr/>
            </w:pPr>
            <w:hyperlink w:anchor="lrarea084">
              <w:r>
                <w:rPr>
                  <w:rStyle w:val="InternetLink"/>
                  <w:rFonts w:ascii="Arial;Helvetica;Sans-Serif" w:hAnsi="Arial;Helvetica;Sans-Serif"/>
                  <w:b/>
                  <w:i w:val="false"/>
                  <w:caps w:val="false"/>
                  <w:smallCaps w:val="false"/>
                  <w:strike w:val="false"/>
                  <w:dstrike w:val="false"/>
                  <w:color w:val="7CBC3E"/>
                  <w:sz w:val="20"/>
                  <w:u w:val="none"/>
                  <w:effect w:val="none"/>
                </w:rPr>
                <w:t>41</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085">
              <w:r>
                <w:rPr>
                  <w:rStyle w:val="InternetLink"/>
                  <w:rFonts w:ascii="Arial;Helvetica;Sans-Serif" w:hAnsi="Arial;Helvetica;Sans-Serif"/>
                  <w:b/>
                  <w:i w:val="false"/>
                  <w:caps w:val="false"/>
                  <w:smallCaps w:val="false"/>
                  <w:strike w:val="false"/>
                  <w:dstrike w:val="false"/>
                  <w:color w:val="7CBC3E"/>
                  <w:sz w:val="20"/>
                  <w:u w:val="none"/>
                  <w:effect w:val="none"/>
                </w:rPr>
                <w:t>Certain Relationships and Related-Person</w:t>
              </w:r>
            </w:hyperlink>
            <w:hyperlink w:anchor="lrarea085">
              <w:r>
                <w:rPr>
                  <w:rStyle w:val="InternetLink"/>
                  <w:rFonts w:ascii="Arial;Helvetica;Sans-Serif" w:hAnsi="Arial;Helvetica;Sans-Serif"/>
                  <w:b w:val="false"/>
                  <w:i w:val="false"/>
                  <w:caps w:val="false"/>
                  <w:smallCaps w:val="false"/>
                  <w:strike w:val="false"/>
                  <w:dstrike w:val="false"/>
                  <w:color w:val="7CBC3E"/>
                  <w:sz w:val="20"/>
                  <w:u w:val="none"/>
                  <w:effect w:val="none"/>
                </w:rPr>
                <w:t xml:space="preserve"> </w:t>
              </w:r>
            </w:hyperlink>
            <w:hyperlink w:anchor="lrarea085">
              <w:r>
                <w:rPr>
                  <w:rStyle w:val="InternetLink"/>
                  <w:rFonts w:ascii="Arial;Helvetica;Sans-Serif" w:hAnsi="Arial;Helvetica;Sans-Serif"/>
                  <w:b/>
                  <w:i w:val="false"/>
                  <w:caps w:val="false"/>
                  <w:smallCaps w:val="false"/>
                  <w:strike w:val="false"/>
                  <w:dstrike w:val="false"/>
                  <w:color w:val="7CBC3E"/>
                  <w:sz w:val="20"/>
                  <w:u w:val="none"/>
                  <w:effect w:val="none"/>
                </w:rPr>
                <w:t>Transactions</w:t>
              </w:r>
            </w:hyperlink>
          </w:p>
        </w:tc>
        <w:tc>
          <w:tcPr>
            <w:tcW w:w="245" w:type="dxa"/>
            <w:tcBorders/>
            <w:shd w:fill="auto" w:val="clear"/>
            <w:vAlign w:val="center"/>
          </w:tcPr>
          <w:p>
            <w:pPr>
              <w:pStyle w:val="TableContents"/>
              <w:spacing w:before="0" w:after="283"/>
              <w:jc w:val="right"/>
              <w:rPr/>
            </w:pPr>
            <w:hyperlink w:anchor="lrarea085">
              <w:r>
                <w:rPr>
                  <w:rStyle w:val="InternetLink"/>
                  <w:rFonts w:ascii="Arial;Helvetica;Sans-Serif" w:hAnsi="Arial;Helvetica;Sans-Serif"/>
                  <w:b/>
                  <w:i w:val="false"/>
                  <w:caps w:val="false"/>
                  <w:smallCaps w:val="false"/>
                  <w:strike w:val="false"/>
                  <w:dstrike w:val="false"/>
                  <w:color w:val="7CBC3E"/>
                  <w:sz w:val="20"/>
                  <w:u w:val="none"/>
                  <w:effect w:val="none"/>
                </w:rPr>
                <w:t>43</w:t>
              </w:r>
            </w:hyperlink>
          </w:p>
        </w:tc>
      </w:tr>
      <w:tr>
        <w:trPr/>
        <w:tc>
          <w:tcPr>
            <w:tcW w:w="7700" w:type="dxa"/>
            <w:tcBorders/>
            <w:shd w:fill="auto" w:val="clear"/>
            <w:vAlign w:val="center"/>
          </w:tcPr>
          <w:p>
            <w:pPr>
              <w:pStyle w:val="TableContents"/>
              <w:spacing w:before="0" w:after="283"/>
              <w:rPr/>
            </w:pPr>
            <w:hyperlink w:anchor="lrarea086">
              <w:r>
                <w:rPr>
                  <w:rStyle w:val="InternetLink"/>
                  <w:rFonts w:ascii="Arial;Helvetica;Sans-Serif" w:hAnsi="Arial;Helvetica;Sans-Serif"/>
                  <w:b w:val="false"/>
                  <w:i w:val="false"/>
                  <w:caps w:val="false"/>
                  <w:smallCaps w:val="false"/>
                  <w:strike w:val="false"/>
                  <w:dstrike w:val="false"/>
                  <w:color w:val="000000"/>
                  <w:sz w:val="18"/>
                  <w:u w:val="none"/>
                  <w:effect w:val="none"/>
                </w:rPr>
                <w:t>Related-Person Transactions</w:t>
              </w:r>
            </w:hyperlink>
          </w:p>
        </w:tc>
        <w:tc>
          <w:tcPr>
            <w:tcW w:w="245" w:type="dxa"/>
            <w:tcBorders/>
            <w:shd w:fill="auto" w:val="clear"/>
            <w:vAlign w:val="center"/>
          </w:tcPr>
          <w:p>
            <w:pPr>
              <w:pStyle w:val="TableContents"/>
              <w:spacing w:before="0" w:after="283"/>
              <w:jc w:val="right"/>
              <w:rPr/>
            </w:pPr>
            <w:hyperlink w:anchor="lrarea086">
              <w:r>
                <w:rPr>
                  <w:rStyle w:val="InternetLink"/>
                  <w:rFonts w:ascii="Arial;Helvetica;Sans-Serif" w:hAnsi="Arial;Helvetica;Sans-Serif"/>
                  <w:b w:val="false"/>
                  <w:i w:val="false"/>
                  <w:caps w:val="false"/>
                  <w:smallCaps w:val="false"/>
                  <w:strike w:val="false"/>
                  <w:dstrike w:val="false"/>
                  <w:color w:val="000000"/>
                  <w:sz w:val="18"/>
                  <w:u w:val="none"/>
                  <w:effect w:val="none"/>
                </w:rPr>
                <w:t>43</w:t>
              </w:r>
            </w:hyperlink>
          </w:p>
        </w:tc>
      </w:tr>
      <w:tr>
        <w:trPr/>
        <w:tc>
          <w:tcPr>
            <w:tcW w:w="7700" w:type="dxa"/>
            <w:tcBorders/>
            <w:shd w:fill="auto" w:val="clear"/>
            <w:vAlign w:val="center"/>
          </w:tcPr>
          <w:p>
            <w:pPr>
              <w:pStyle w:val="TableContents"/>
              <w:spacing w:before="0" w:after="283"/>
              <w:rPr/>
            </w:pPr>
            <w:hyperlink w:anchor="lrarea087">
              <w:r>
                <w:rPr>
                  <w:rStyle w:val="InternetLink"/>
                  <w:rFonts w:ascii="Arial;Helvetica;Sans-Serif" w:hAnsi="Arial;Helvetica;Sans-Serif"/>
                  <w:b w:val="false"/>
                  <w:i w:val="false"/>
                  <w:caps w:val="false"/>
                  <w:smallCaps w:val="false"/>
                  <w:strike w:val="false"/>
                  <w:dstrike w:val="false"/>
                  <w:color w:val="000000"/>
                  <w:sz w:val="18"/>
                  <w:u w:val="none"/>
                  <w:effect w:val="none"/>
                </w:rPr>
                <w:t>Procedures for Related-Person Transactions</w:t>
              </w:r>
            </w:hyperlink>
          </w:p>
        </w:tc>
        <w:tc>
          <w:tcPr>
            <w:tcW w:w="245" w:type="dxa"/>
            <w:tcBorders/>
            <w:shd w:fill="auto" w:val="clear"/>
            <w:vAlign w:val="center"/>
          </w:tcPr>
          <w:p>
            <w:pPr>
              <w:pStyle w:val="TableContents"/>
              <w:spacing w:before="0" w:after="283"/>
              <w:jc w:val="right"/>
              <w:rPr/>
            </w:pPr>
            <w:hyperlink w:anchor="lrarea087">
              <w:r>
                <w:rPr>
                  <w:rStyle w:val="InternetLink"/>
                  <w:rFonts w:ascii="Arial;Helvetica;Sans-Serif" w:hAnsi="Arial;Helvetica;Sans-Serif"/>
                  <w:b w:val="false"/>
                  <w:i w:val="false"/>
                  <w:caps w:val="false"/>
                  <w:smallCaps w:val="false"/>
                  <w:strike w:val="false"/>
                  <w:dstrike w:val="false"/>
                  <w:color w:val="000000"/>
                  <w:sz w:val="18"/>
                  <w:u w:val="none"/>
                  <w:effect w:val="none"/>
                </w:rPr>
                <w:t>43</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088">
              <w:r>
                <w:rPr>
                  <w:rStyle w:val="InternetLink"/>
                  <w:rFonts w:ascii="Arial;Helvetica;Sans-Serif" w:hAnsi="Arial;Helvetica;Sans-Serif"/>
                  <w:b/>
                  <w:i w:val="false"/>
                  <w:caps w:val="false"/>
                  <w:smallCaps w:val="false"/>
                  <w:strike w:val="false"/>
                  <w:dstrike w:val="false"/>
                  <w:color w:val="7CBC3E"/>
                  <w:sz w:val="20"/>
                  <w:u w:val="none"/>
                  <w:effect w:val="none"/>
                </w:rPr>
                <w:t>Delinquent Section 16(a) Reports</w:t>
              </w:r>
            </w:hyperlink>
          </w:p>
        </w:tc>
        <w:tc>
          <w:tcPr>
            <w:tcW w:w="245" w:type="dxa"/>
            <w:tcBorders/>
            <w:shd w:fill="auto" w:val="clear"/>
            <w:vAlign w:val="center"/>
          </w:tcPr>
          <w:p>
            <w:pPr>
              <w:pStyle w:val="TableContents"/>
              <w:spacing w:before="0" w:after="283"/>
              <w:jc w:val="right"/>
              <w:rPr/>
            </w:pPr>
            <w:hyperlink w:anchor="lrarea088">
              <w:r>
                <w:rPr>
                  <w:rStyle w:val="InternetLink"/>
                  <w:rFonts w:ascii="Arial;Helvetica;Sans-Serif" w:hAnsi="Arial;Helvetica;Sans-Serif"/>
                  <w:b/>
                  <w:i w:val="false"/>
                  <w:caps w:val="false"/>
                  <w:smallCaps w:val="false"/>
                  <w:strike w:val="false"/>
                  <w:dstrike w:val="false"/>
                  <w:color w:val="7CBC3E"/>
                  <w:sz w:val="20"/>
                  <w:u w:val="none"/>
                  <w:effect w:val="none"/>
                </w:rPr>
                <w:t>43</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089">
              <w:r>
                <w:rPr>
                  <w:rStyle w:val="InternetLink"/>
                  <w:rFonts w:ascii="Arial;Helvetica;Sans-Serif" w:hAnsi="Arial;Helvetica;Sans-Serif"/>
                  <w:b/>
                  <w:i w:val="false"/>
                  <w:caps w:val="false"/>
                  <w:smallCaps w:val="false"/>
                  <w:strike w:val="false"/>
                  <w:dstrike w:val="false"/>
                  <w:color w:val="7CBC3E"/>
                  <w:sz w:val="20"/>
                  <w:u w:val="none"/>
                  <w:effect w:val="none"/>
                </w:rPr>
                <w:t>Security Ownership of Certain Beneficial</w:t>
              </w:r>
            </w:hyperlink>
            <w:hyperlink w:anchor="lrarea089">
              <w:r>
                <w:rPr>
                  <w:rStyle w:val="InternetLink"/>
                  <w:rFonts w:ascii="Arial;Helvetica;Sans-Serif" w:hAnsi="Arial;Helvetica;Sans-Serif"/>
                  <w:b w:val="false"/>
                  <w:i w:val="false"/>
                  <w:caps w:val="false"/>
                  <w:smallCaps w:val="false"/>
                  <w:strike w:val="false"/>
                  <w:dstrike w:val="false"/>
                  <w:color w:val="7CBC3E"/>
                  <w:sz w:val="20"/>
                  <w:u w:val="none"/>
                  <w:effect w:val="none"/>
                </w:rPr>
                <w:t xml:space="preserve"> </w:t>
              </w:r>
            </w:hyperlink>
            <w:hyperlink w:anchor="lrarea089">
              <w:r>
                <w:rPr>
                  <w:rStyle w:val="InternetLink"/>
                  <w:rFonts w:ascii="Arial;Helvetica;Sans-Serif" w:hAnsi="Arial;Helvetica;Sans-Serif"/>
                  <w:b/>
                  <w:i w:val="false"/>
                  <w:caps w:val="false"/>
                  <w:smallCaps w:val="false"/>
                  <w:strike w:val="false"/>
                  <w:dstrike w:val="false"/>
                  <w:color w:val="7CBC3E"/>
                  <w:sz w:val="20"/>
                  <w:u w:val="none"/>
                  <w:effect w:val="none"/>
                </w:rPr>
                <w:t>Owners and Management</w:t>
              </w:r>
            </w:hyperlink>
          </w:p>
        </w:tc>
        <w:tc>
          <w:tcPr>
            <w:tcW w:w="245" w:type="dxa"/>
            <w:tcBorders/>
            <w:shd w:fill="auto" w:val="clear"/>
            <w:vAlign w:val="center"/>
          </w:tcPr>
          <w:p>
            <w:pPr>
              <w:pStyle w:val="TableContents"/>
              <w:spacing w:before="0" w:after="283"/>
              <w:jc w:val="right"/>
              <w:rPr/>
            </w:pPr>
            <w:hyperlink w:anchor="lrarea089">
              <w:r>
                <w:rPr>
                  <w:rStyle w:val="InternetLink"/>
                  <w:rFonts w:ascii="Arial;Helvetica;Sans-Serif" w:hAnsi="Arial;Helvetica;Sans-Serif"/>
                  <w:b/>
                  <w:i w:val="false"/>
                  <w:caps w:val="false"/>
                  <w:smallCaps w:val="false"/>
                  <w:strike w:val="false"/>
                  <w:dstrike w:val="false"/>
                  <w:color w:val="7CBC3E"/>
                  <w:sz w:val="20"/>
                  <w:u w:val="none"/>
                  <w:effect w:val="none"/>
                </w:rPr>
                <w:t>44</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090">
              <w:r>
                <w:rPr>
                  <w:rStyle w:val="InternetLink"/>
                  <w:rFonts w:ascii="Arial;Helvetica;Sans-Serif" w:hAnsi="Arial;Helvetica;Sans-Serif"/>
                  <w:b/>
                  <w:i w:val="false"/>
                  <w:caps w:val="false"/>
                  <w:smallCaps w:val="false"/>
                  <w:strike w:val="false"/>
                  <w:dstrike w:val="false"/>
                  <w:color w:val="7CBC3E"/>
                  <w:sz w:val="20"/>
                  <w:u w:val="none"/>
                  <w:effect w:val="none"/>
                </w:rPr>
                <w:t>Executive Compensation</w:t>
              </w:r>
            </w:hyperlink>
          </w:p>
        </w:tc>
        <w:tc>
          <w:tcPr>
            <w:tcW w:w="245" w:type="dxa"/>
            <w:tcBorders/>
            <w:shd w:fill="auto" w:val="clear"/>
            <w:vAlign w:val="center"/>
          </w:tcPr>
          <w:p>
            <w:pPr>
              <w:pStyle w:val="TableContents"/>
              <w:spacing w:before="0" w:after="283"/>
              <w:jc w:val="right"/>
              <w:rPr/>
            </w:pPr>
            <w:hyperlink w:anchor="lrarea090">
              <w:r>
                <w:rPr>
                  <w:rStyle w:val="InternetLink"/>
                  <w:rFonts w:ascii="Arial;Helvetica;Sans-Serif" w:hAnsi="Arial;Helvetica;Sans-Serif"/>
                  <w:b/>
                  <w:i w:val="false"/>
                  <w:caps w:val="false"/>
                  <w:smallCaps w:val="false"/>
                  <w:strike w:val="false"/>
                  <w:dstrike w:val="false"/>
                  <w:color w:val="7CBC3E"/>
                  <w:sz w:val="20"/>
                  <w:u w:val="none"/>
                  <w:effect w:val="none"/>
                </w:rPr>
                <w:t>46</w:t>
              </w:r>
            </w:hyperlink>
          </w:p>
        </w:tc>
      </w:tr>
      <w:tr>
        <w:trPr/>
        <w:tc>
          <w:tcPr>
            <w:tcW w:w="7700" w:type="dxa"/>
            <w:tcBorders/>
            <w:shd w:fill="auto" w:val="clear"/>
            <w:vAlign w:val="center"/>
          </w:tcPr>
          <w:p>
            <w:pPr>
              <w:pStyle w:val="TableContents"/>
              <w:spacing w:before="0" w:after="283"/>
              <w:rPr/>
            </w:pPr>
            <w:hyperlink w:anchor="lrarea091">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Discussion and Analysis</w:t>
              </w:r>
            </w:hyperlink>
          </w:p>
        </w:tc>
        <w:tc>
          <w:tcPr>
            <w:tcW w:w="245" w:type="dxa"/>
            <w:tcBorders/>
            <w:shd w:fill="auto" w:val="clear"/>
            <w:vAlign w:val="center"/>
          </w:tcPr>
          <w:p>
            <w:pPr>
              <w:pStyle w:val="TableContents"/>
              <w:spacing w:before="0" w:after="283"/>
              <w:jc w:val="right"/>
              <w:rPr/>
            </w:pPr>
            <w:hyperlink w:anchor="lrarea091">
              <w:r>
                <w:rPr>
                  <w:rStyle w:val="InternetLink"/>
                  <w:rFonts w:ascii="Arial;Helvetica;Sans-Serif" w:hAnsi="Arial;Helvetica;Sans-Serif"/>
                  <w:b w:val="false"/>
                  <w:i w:val="false"/>
                  <w:caps w:val="false"/>
                  <w:smallCaps w:val="false"/>
                  <w:strike w:val="false"/>
                  <w:dstrike w:val="false"/>
                  <w:color w:val="000000"/>
                  <w:sz w:val="18"/>
                  <w:u w:val="none"/>
                  <w:effect w:val="none"/>
                </w:rPr>
                <w:t>46</w:t>
              </w:r>
            </w:hyperlink>
          </w:p>
        </w:tc>
      </w:tr>
      <w:tr>
        <w:trPr/>
        <w:tc>
          <w:tcPr>
            <w:tcW w:w="7700" w:type="dxa"/>
            <w:tcBorders/>
            <w:shd w:fill="auto" w:val="clear"/>
            <w:vAlign w:val="center"/>
          </w:tcPr>
          <w:p>
            <w:pPr>
              <w:pStyle w:val="TableContents"/>
              <w:spacing w:before="0" w:after="283"/>
              <w:rPr/>
            </w:pPr>
            <w:hyperlink w:anchor="lrarea092">
              <w:r>
                <w:rPr>
                  <w:rStyle w:val="InternetLink"/>
                  <w:rFonts w:ascii="Arial;Helvetica;Sans-Serif" w:hAnsi="Arial;Helvetica;Sans-Serif"/>
                  <w:b w:val="false"/>
                  <w:i w:val="false"/>
                  <w:caps w:val="false"/>
                  <w:smallCaps w:val="false"/>
                  <w:strike w:val="false"/>
                  <w:dstrike w:val="false"/>
                  <w:color w:val="000000"/>
                  <w:sz w:val="18"/>
                  <w:u w:val="none"/>
                  <w:effect w:val="none"/>
                </w:rPr>
                <w:t>Fiscal 2023 Compensation</w:t>
              </w:r>
            </w:hyperlink>
          </w:p>
        </w:tc>
        <w:tc>
          <w:tcPr>
            <w:tcW w:w="245" w:type="dxa"/>
            <w:tcBorders/>
            <w:shd w:fill="auto" w:val="clear"/>
            <w:vAlign w:val="center"/>
          </w:tcPr>
          <w:p>
            <w:pPr>
              <w:pStyle w:val="TableContents"/>
              <w:spacing w:before="0" w:after="283"/>
              <w:jc w:val="right"/>
              <w:rPr/>
            </w:pPr>
            <w:hyperlink w:anchor="lrarea092">
              <w:r>
                <w:rPr>
                  <w:rStyle w:val="InternetLink"/>
                  <w:rFonts w:ascii="Arial;Helvetica;Sans-Serif" w:hAnsi="Arial;Helvetica;Sans-Serif"/>
                  <w:b w:val="false"/>
                  <w:i w:val="false"/>
                  <w:caps w:val="false"/>
                  <w:smallCaps w:val="false"/>
                  <w:strike w:val="false"/>
                  <w:dstrike w:val="false"/>
                  <w:color w:val="000000"/>
                  <w:sz w:val="18"/>
                  <w:u w:val="none"/>
                  <w:effect w:val="none"/>
                </w:rPr>
                <w:t>55</w:t>
              </w:r>
            </w:hyperlink>
          </w:p>
        </w:tc>
      </w:tr>
      <w:tr>
        <w:trPr/>
        <w:tc>
          <w:tcPr>
            <w:tcW w:w="7700" w:type="dxa"/>
            <w:tcBorders/>
            <w:shd w:fill="auto" w:val="clear"/>
            <w:vAlign w:val="center"/>
          </w:tcPr>
          <w:p>
            <w:pPr>
              <w:pStyle w:val="TableContents"/>
              <w:spacing w:before="0" w:after="283"/>
              <w:rPr/>
            </w:pPr>
            <w:hyperlink w:anchor="lrarea093">
              <w:r>
                <w:rPr>
                  <w:rStyle w:val="InternetLink"/>
                  <w:rFonts w:ascii="Arial;Helvetica;Sans-Serif" w:hAnsi="Arial;Helvetica;Sans-Serif"/>
                  <w:b w:val="false"/>
                  <w:i w:val="false"/>
                  <w:caps w:val="false"/>
                  <w:smallCaps w:val="false"/>
                  <w:strike w:val="false"/>
                  <w:dstrike w:val="false"/>
                  <w:color w:val="000000"/>
                  <w:sz w:val="18"/>
                  <w:u w:val="none"/>
                  <w:effect w:val="none"/>
                </w:rPr>
                <w:t>Risk Management and Mitigation</w:t>
              </w:r>
            </w:hyperlink>
          </w:p>
        </w:tc>
        <w:tc>
          <w:tcPr>
            <w:tcW w:w="245" w:type="dxa"/>
            <w:tcBorders/>
            <w:shd w:fill="auto" w:val="clear"/>
            <w:vAlign w:val="center"/>
          </w:tcPr>
          <w:p>
            <w:pPr>
              <w:pStyle w:val="TableContents"/>
              <w:spacing w:before="0" w:after="283"/>
              <w:jc w:val="right"/>
              <w:rPr/>
            </w:pPr>
            <w:hyperlink w:anchor="lrarea093">
              <w:r>
                <w:rPr>
                  <w:rStyle w:val="InternetLink"/>
                  <w:rFonts w:ascii="Arial;Helvetica;Sans-Serif" w:hAnsi="Arial;Helvetica;Sans-Serif"/>
                  <w:b w:val="false"/>
                  <w:i w:val="false"/>
                  <w:caps w:val="false"/>
                  <w:smallCaps w:val="false"/>
                  <w:strike w:val="false"/>
                  <w:dstrike w:val="false"/>
                  <w:color w:val="000000"/>
                  <w:sz w:val="18"/>
                  <w:u w:val="none"/>
                  <w:effect w:val="none"/>
                </w:rPr>
                <w:t>57</w:t>
              </w:r>
            </w:hyperlink>
          </w:p>
        </w:tc>
      </w:tr>
      <w:tr>
        <w:trPr/>
        <w:tc>
          <w:tcPr>
            <w:tcW w:w="7700" w:type="dxa"/>
            <w:tcBorders/>
            <w:shd w:fill="auto" w:val="clear"/>
            <w:vAlign w:val="center"/>
          </w:tcPr>
          <w:p>
            <w:pPr>
              <w:pStyle w:val="TableContents"/>
              <w:spacing w:before="0" w:after="283"/>
              <w:rPr/>
            </w:pPr>
            <w:hyperlink w:anchor="lrarea094">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Committee Report</w:t>
              </w:r>
            </w:hyperlink>
          </w:p>
        </w:tc>
        <w:tc>
          <w:tcPr>
            <w:tcW w:w="245" w:type="dxa"/>
            <w:tcBorders/>
            <w:shd w:fill="auto" w:val="clear"/>
            <w:vAlign w:val="center"/>
          </w:tcPr>
          <w:p>
            <w:pPr>
              <w:pStyle w:val="TableContents"/>
              <w:spacing w:before="0" w:after="283"/>
              <w:jc w:val="right"/>
              <w:rPr/>
            </w:pPr>
            <w:hyperlink w:anchor="lrarea094">
              <w:r>
                <w:rPr>
                  <w:rStyle w:val="InternetLink"/>
                  <w:rFonts w:ascii="Arial;Helvetica;Sans-Serif" w:hAnsi="Arial;Helvetica;Sans-Serif"/>
                  <w:b w:val="false"/>
                  <w:i w:val="false"/>
                  <w:caps w:val="false"/>
                  <w:smallCaps w:val="false"/>
                  <w:strike w:val="false"/>
                  <w:dstrike w:val="false"/>
                  <w:color w:val="000000"/>
                  <w:sz w:val="18"/>
                  <w:u w:val="none"/>
                  <w:effect w:val="none"/>
                </w:rPr>
                <w:t>57</w:t>
              </w:r>
            </w:hyperlink>
          </w:p>
        </w:tc>
      </w:tr>
      <w:tr>
        <w:trPr/>
        <w:tc>
          <w:tcPr>
            <w:tcW w:w="7700" w:type="dxa"/>
            <w:tcBorders/>
            <w:shd w:fill="auto" w:val="clear"/>
            <w:vAlign w:val="center"/>
          </w:tcPr>
          <w:p>
            <w:pPr>
              <w:pStyle w:val="TableContents"/>
              <w:spacing w:before="0" w:after="283"/>
              <w:rPr/>
            </w:pPr>
            <w:hyperlink w:anchor="lrarea095">
              <w:r>
                <w:rPr>
                  <w:rStyle w:val="InternetLink"/>
                  <w:rFonts w:ascii="Arial;Helvetica;Sans-Serif" w:hAnsi="Arial;Helvetica;Sans-Serif"/>
                  <w:b w:val="false"/>
                  <w:i w:val="false"/>
                  <w:caps w:val="false"/>
                  <w:smallCaps w:val="false"/>
                  <w:strike w:val="false"/>
                  <w:dstrike w:val="false"/>
                  <w:color w:val="000000"/>
                  <w:sz w:val="18"/>
                  <w:u w:val="none"/>
                  <w:effect w:val="none"/>
                </w:rPr>
                <w:t>Summary Compensation Table</w:t>
              </w:r>
            </w:hyperlink>
          </w:p>
        </w:tc>
        <w:tc>
          <w:tcPr>
            <w:tcW w:w="245" w:type="dxa"/>
            <w:tcBorders/>
            <w:shd w:fill="auto" w:val="clear"/>
            <w:vAlign w:val="center"/>
          </w:tcPr>
          <w:p>
            <w:pPr>
              <w:pStyle w:val="TableContents"/>
              <w:spacing w:before="0" w:after="283"/>
              <w:jc w:val="right"/>
              <w:rPr/>
            </w:pPr>
            <w:hyperlink w:anchor="lrarea095">
              <w:r>
                <w:rPr>
                  <w:rStyle w:val="InternetLink"/>
                  <w:rFonts w:ascii="Arial;Helvetica;Sans-Serif" w:hAnsi="Arial;Helvetica;Sans-Serif"/>
                  <w:b w:val="false"/>
                  <w:i w:val="false"/>
                  <w:caps w:val="false"/>
                  <w:smallCaps w:val="false"/>
                  <w:strike w:val="false"/>
                  <w:dstrike w:val="false"/>
                  <w:color w:val="000000"/>
                  <w:sz w:val="18"/>
                  <w:u w:val="none"/>
                  <w:effect w:val="none"/>
                </w:rPr>
                <w:t>58</w:t>
              </w:r>
            </w:hyperlink>
          </w:p>
        </w:tc>
      </w:tr>
      <w:tr>
        <w:trPr/>
        <w:tc>
          <w:tcPr>
            <w:tcW w:w="7700" w:type="dxa"/>
            <w:tcBorders/>
            <w:shd w:fill="auto" w:val="clear"/>
            <w:vAlign w:val="center"/>
          </w:tcPr>
          <w:p>
            <w:pPr>
              <w:pStyle w:val="TableContents"/>
              <w:spacing w:before="0" w:after="283"/>
              <w:rPr/>
            </w:pPr>
            <w:hyperlink w:anchor="lrarea096">
              <w:r>
                <w:rPr>
                  <w:rStyle w:val="InternetLink"/>
                  <w:rFonts w:ascii="Arial;Helvetica;Sans-Serif" w:hAnsi="Arial;Helvetica;Sans-Serif"/>
                  <w:b w:val="false"/>
                  <w:i w:val="false"/>
                  <w:caps w:val="false"/>
                  <w:smallCaps w:val="false"/>
                  <w:strike w:val="false"/>
                  <w:dstrike w:val="false"/>
                  <w:color w:val="000000"/>
                  <w:sz w:val="18"/>
                  <w:u w:val="none"/>
                  <w:effect w:val="none"/>
                </w:rPr>
                <w:t>Grants of Plan-Based Awards</w:t>
              </w:r>
            </w:hyperlink>
          </w:p>
        </w:tc>
        <w:tc>
          <w:tcPr>
            <w:tcW w:w="245" w:type="dxa"/>
            <w:tcBorders/>
            <w:shd w:fill="auto" w:val="clear"/>
            <w:vAlign w:val="center"/>
          </w:tcPr>
          <w:p>
            <w:pPr>
              <w:pStyle w:val="TableContents"/>
              <w:spacing w:before="0" w:after="283"/>
              <w:jc w:val="right"/>
              <w:rPr/>
            </w:pPr>
            <w:hyperlink w:anchor="lrarea096">
              <w:r>
                <w:rPr>
                  <w:rStyle w:val="InternetLink"/>
                  <w:rFonts w:ascii="Arial;Helvetica;Sans-Serif" w:hAnsi="Arial;Helvetica;Sans-Serif"/>
                  <w:b w:val="false"/>
                  <w:i w:val="false"/>
                  <w:caps w:val="false"/>
                  <w:smallCaps w:val="false"/>
                  <w:strike w:val="false"/>
                  <w:dstrike w:val="false"/>
                  <w:color w:val="000000"/>
                  <w:sz w:val="18"/>
                  <w:u w:val="none"/>
                  <w:effect w:val="none"/>
                </w:rPr>
                <w:t>61</w:t>
              </w:r>
            </w:hyperlink>
          </w:p>
        </w:tc>
      </w:tr>
      <w:tr>
        <w:trPr/>
        <w:tc>
          <w:tcPr>
            <w:tcW w:w="7700" w:type="dxa"/>
            <w:tcBorders/>
            <w:shd w:fill="auto" w:val="clear"/>
            <w:vAlign w:val="center"/>
          </w:tcPr>
          <w:p>
            <w:pPr>
              <w:pStyle w:val="TableContents"/>
              <w:spacing w:before="0" w:after="283"/>
              <w:rPr/>
            </w:pPr>
            <w:hyperlink w:anchor="lrarea097">
              <w:r>
                <w:rPr>
                  <w:rStyle w:val="InternetLink"/>
                  <w:rFonts w:ascii="Arial;Helvetica;Sans-Serif" w:hAnsi="Arial;Helvetica;Sans-Serif"/>
                  <w:b w:val="false"/>
                  <w:i w:val="false"/>
                  <w:caps w:val="false"/>
                  <w:smallCaps w:val="false"/>
                  <w:strike w:val="false"/>
                  <w:dstrike w:val="false"/>
                  <w:color w:val="000000"/>
                  <w:sz w:val="18"/>
                  <w:u w:val="none"/>
                  <w:effect w:val="none"/>
                </w:rPr>
                <w:t>Outstanding Equity Awards at December 31, 2022</w:t>
              </w:r>
            </w:hyperlink>
          </w:p>
        </w:tc>
        <w:tc>
          <w:tcPr>
            <w:tcW w:w="245" w:type="dxa"/>
            <w:tcBorders/>
            <w:shd w:fill="auto" w:val="clear"/>
            <w:vAlign w:val="center"/>
          </w:tcPr>
          <w:p>
            <w:pPr>
              <w:pStyle w:val="TableContents"/>
              <w:spacing w:before="0" w:after="283"/>
              <w:jc w:val="right"/>
              <w:rPr/>
            </w:pPr>
            <w:hyperlink w:anchor="lrarea097">
              <w:r>
                <w:rPr>
                  <w:rStyle w:val="InternetLink"/>
                  <w:rFonts w:ascii="Arial;Helvetica;Sans-Serif" w:hAnsi="Arial;Helvetica;Sans-Serif"/>
                  <w:b w:val="false"/>
                  <w:i w:val="false"/>
                  <w:caps w:val="false"/>
                  <w:smallCaps w:val="false"/>
                  <w:strike w:val="false"/>
                  <w:dstrike w:val="false"/>
                  <w:color w:val="000000"/>
                  <w:sz w:val="18"/>
                  <w:u w:val="none"/>
                  <w:effect w:val="none"/>
                </w:rPr>
                <w:t>62</w:t>
              </w:r>
            </w:hyperlink>
          </w:p>
        </w:tc>
      </w:tr>
      <w:tr>
        <w:trPr/>
        <w:tc>
          <w:tcPr>
            <w:tcW w:w="7700" w:type="dxa"/>
            <w:tcBorders/>
            <w:shd w:fill="auto" w:val="clear"/>
            <w:vAlign w:val="center"/>
          </w:tcPr>
          <w:p>
            <w:pPr>
              <w:pStyle w:val="TableContents"/>
              <w:spacing w:before="0" w:after="283"/>
              <w:rPr/>
            </w:pPr>
            <w:hyperlink w:anchor="lrarea098">
              <w:r>
                <w:rPr>
                  <w:rStyle w:val="InternetLink"/>
                  <w:rFonts w:ascii="Arial;Helvetica;Sans-Serif" w:hAnsi="Arial;Helvetica;Sans-Serif"/>
                  <w:b w:val="false"/>
                  <w:i w:val="false"/>
                  <w:caps w:val="false"/>
                  <w:smallCaps w:val="false"/>
                  <w:strike w:val="false"/>
                  <w:dstrike w:val="false"/>
                  <w:color w:val="000000"/>
                  <w:sz w:val="18"/>
                  <w:u w:val="none"/>
                  <w:effect w:val="none"/>
                </w:rPr>
                <w:t>Option Exercises and Stock Vested</w:t>
              </w:r>
            </w:hyperlink>
          </w:p>
        </w:tc>
        <w:tc>
          <w:tcPr>
            <w:tcW w:w="245" w:type="dxa"/>
            <w:tcBorders/>
            <w:shd w:fill="auto" w:val="clear"/>
            <w:vAlign w:val="center"/>
          </w:tcPr>
          <w:p>
            <w:pPr>
              <w:pStyle w:val="TableContents"/>
              <w:spacing w:before="0" w:after="283"/>
              <w:jc w:val="right"/>
              <w:rPr/>
            </w:pPr>
            <w:hyperlink w:anchor="lrarea098">
              <w:r>
                <w:rPr>
                  <w:rStyle w:val="InternetLink"/>
                  <w:rFonts w:ascii="Arial;Helvetica;Sans-Serif" w:hAnsi="Arial;Helvetica;Sans-Serif"/>
                  <w:b w:val="false"/>
                  <w:i w:val="false"/>
                  <w:caps w:val="false"/>
                  <w:smallCaps w:val="false"/>
                  <w:strike w:val="false"/>
                  <w:dstrike w:val="false"/>
                  <w:color w:val="000000"/>
                  <w:sz w:val="18"/>
                  <w:u w:val="none"/>
                  <w:effect w:val="none"/>
                </w:rPr>
                <w:t>63</w:t>
              </w:r>
            </w:hyperlink>
          </w:p>
        </w:tc>
      </w:tr>
      <w:tr>
        <w:trPr/>
        <w:tc>
          <w:tcPr>
            <w:tcW w:w="7700" w:type="dxa"/>
            <w:tcBorders/>
            <w:shd w:fill="auto" w:val="clear"/>
            <w:vAlign w:val="center"/>
          </w:tcPr>
          <w:p>
            <w:pPr>
              <w:pStyle w:val="TableContents"/>
              <w:spacing w:before="0" w:after="283"/>
              <w:rPr/>
            </w:pPr>
            <w:hyperlink w:anchor="lrarea099">
              <w:r>
                <w:rPr>
                  <w:rStyle w:val="InternetLink"/>
                  <w:rFonts w:ascii="Arial;Helvetica;Sans-Serif" w:hAnsi="Arial;Helvetica;Sans-Serif"/>
                  <w:b w:val="false"/>
                  <w:i w:val="false"/>
                  <w:caps w:val="false"/>
                  <w:smallCaps w:val="false"/>
                  <w:strike w:val="false"/>
                  <w:dstrike w:val="false"/>
                  <w:color w:val="000000"/>
                  <w:sz w:val="18"/>
                  <w:u w:val="none"/>
                  <w:effect w:val="none"/>
                </w:rPr>
                <w:t>Pension Benefits</w:t>
              </w:r>
            </w:hyperlink>
          </w:p>
        </w:tc>
        <w:tc>
          <w:tcPr>
            <w:tcW w:w="245" w:type="dxa"/>
            <w:tcBorders/>
            <w:shd w:fill="auto" w:val="clear"/>
            <w:vAlign w:val="center"/>
          </w:tcPr>
          <w:p>
            <w:pPr>
              <w:pStyle w:val="TableContents"/>
              <w:spacing w:before="0" w:after="283"/>
              <w:jc w:val="right"/>
              <w:rPr/>
            </w:pPr>
            <w:hyperlink w:anchor="lrarea099">
              <w:r>
                <w:rPr>
                  <w:rStyle w:val="InternetLink"/>
                  <w:rFonts w:ascii="Arial;Helvetica;Sans-Serif" w:hAnsi="Arial;Helvetica;Sans-Serif"/>
                  <w:b w:val="false"/>
                  <w:i w:val="false"/>
                  <w:caps w:val="false"/>
                  <w:smallCaps w:val="false"/>
                  <w:strike w:val="false"/>
                  <w:dstrike w:val="false"/>
                  <w:color w:val="000000"/>
                  <w:sz w:val="18"/>
                  <w:u w:val="none"/>
                  <w:effect w:val="none"/>
                </w:rPr>
                <w:t>63</w:t>
              </w:r>
            </w:hyperlink>
          </w:p>
        </w:tc>
      </w:tr>
      <w:tr>
        <w:trPr/>
        <w:tc>
          <w:tcPr>
            <w:tcW w:w="7700" w:type="dxa"/>
            <w:tcBorders/>
            <w:shd w:fill="auto" w:val="clear"/>
            <w:vAlign w:val="center"/>
          </w:tcPr>
          <w:p>
            <w:pPr>
              <w:pStyle w:val="TableContents"/>
              <w:spacing w:before="0" w:after="283"/>
              <w:rPr/>
            </w:pPr>
            <w:hyperlink w:anchor="lrarea100">
              <w:r>
                <w:rPr>
                  <w:rStyle w:val="InternetLink"/>
                  <w:rFonts w:ascii="Arial;Helvetica;Sans-Serif" w:hAnsi="Arial;Helvetica;Sans-Serif"/>
                  <w:b w:val="false"/>
                  <w:i w:val="false"/>
                  <w:caps w:val="false"/>
                  <w:smallCaps w:val="false"/>
                  <w:strike w:val="false"/>
                  <w:dstrike w:val="false"/>
                  <w:color w:val="000000"/>
                  <w:sz w:val="18"/>
                  <w:u w:val="none"/>
                  <w:effect w:val="none"/>
                </w:rPr>
                <w:t>Nonqualified Deferred Compensation</w:t>
              </w:r>
            </w:hyperlink>
          </w:p>
        </w:tc>
        <w:tc>
          <w:tcPr>
            <w:tcW w:w="245" w:type="dxa"/>
            <w:tcBorders/>
            <w:shd w:fill="auto" w:val="clear"/>
            <w:vAlign w:val="center"/>
          </w:tcPr>
          <w:p>
            <w:pPr>
              <w:pStyle w:val="TableContents"/>
              <w:spacing w:before="0" w:after="283"/>
              <w:jc w:val="right"/>
              <w:rPr/>
            </w:pPr>
            <w:hyperlink w:anchor="lrarea100">
              <w:r>
                <w:rPr>
                  <w:rStyle w:val="InternetLink"/>
                  <w:rFonts w:ascii="Arial;Helvetica;Sans-Serif" w:hAnsi="Arial;Helvetica;Sans-Serif"/>
                  <w:b w:val="false"/>
                  <w:i w:val="false"/>
                  <w:caps w:val="false"/>
                  <w:smallCaps w:val="false"/>
                  <w:strike w:val="false"/>
                  <w:dstrike w:val="false"/>
                  <w:color w:val="000000"/>
                  <w:sz w:val="18"/>
                  <w:u w:val="none"/>
                  <w:effect w:val="none"/>
                </w:rPr>
                <w:t>63</w:t>
              </w:r>
            </w:hyperlink>
          </w:p>
        </w:tc>
      </w:tr>
      <w:tr>
        <w:trPr/>
        <w:tc>
          <w:tcPr>
            <w:tcW w:w="7700" w:type="dxa"/>
            <w:tcBorders/>
            <w:shd w:fill="auto" w:val="clear"/>
            <w:vAlign w:val="center"/>
          </w:tcPr>
          <w:p>
            <w:pPr>
              <w:pStyle w:val="TableContents"/>
              <w:spacing w:before="0" w:after="283"/>
              <w:rPr/>
            </w:pPr>
            <w:hyperlink w:anchor="lrarea101">
              <w:r>
                <w:rPr>
                  <w:rStyle w:val="InternetLink"/>
                  <w:rFonts w:ascii="Arial;Helvetica;Sans-Serif" w:hAnsi="Arial;Helvetica;Sans-Serif"/>
                  <w:b w:val="false"/>
                  <w:i w:val="false"/>
                  <w:caps w:val="false"/>
                  <w:smallCaps w:val="false"/>
                  <w:strike w:val="false"/>
                  <w:dstrike w:val="false"/>
                  <w:color w:val="000000"/>
                  <w:sz w:val="18"/>
                  <w:u w:val="none"/>
                  <w:effect w:val="none"/>
                </w:rPr>
                <w:t>Potential Payments Upon Termination or Change of Control</w:t>
              </w:r>
            </w:hyperlink>
          </w:p>
        </w:tc>
        <w:tc>
          <w:tcPr>
            <w:tcW w:w="245" w:type="dxa"/>
            <w:tcBorders/>
            <w:shd w:fill="auto" w:val="clear"/>
            <w:vAlign w:val="center"/>
          </w:tcPr>
          <w:p>
            <w:pPr>
              <w:pStyle w:val="TableContents"/>
              <w:spacing w:before="0" w:after="283"/>
              <w:jc w:val="right"/>
              <w:rPr/>
            </w:pPr>
            <w:hyperlink w:anchor="lrarea101">
              <w:r>
                <w:rPr>
                  <w:rStyle w:val="InternetLink"/>
                  <w:rFonts w:ascii="Arial;Helvetica;Sans-Serif" w:hAnsi="Arial;Helvetica;Sans-Serif"/>
                  <w:b w:val="false"/>
                  <w:i w:val="false"/>
                  <w:caps w:val="false"/>
                  <w:smallCaps w:val="false"/>
                  <w:strike w:val="false"/>
                  <w:dstrike w:val="false"/>
                  <w:color w:val="000000"/>
                  <w:sz w:val="18"/>
                  <w:u w:val="none"/>
                  <w:effect w:val="none"/>
                </w:rPr>
                <w:t>65</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102">
              <w:r>
                <w:rPr>
                  <w:rStyle w:val="InternetLink"/>
                  <w:rFonts w:ascii="Arial;Helvetica;Sans-Serif" w:hAnsi="Arial;Helvetica;Sans-Serif"/>
                  <w:b/>
                  <w:i w:val="false"/>
                  <w:caps w:val="false"/>
                  <w:smallCaps w:val="false"/>
                  <w:strike w:val="false"/>
                  <w:dstrike w:val="false"/>
                  <w:color w:val="7CBC3E"/>
                  <w:sz w:val="20"/>
                  <w:u w:val="none"/>
                  <w:effect w:val="none"/>
                </w:rPr>
                <w:t>Equity Compensation Plan Information</w:t>
              </w:r>
            </w:hyperlink>
          </w:p>
        </w:tc>
        <w:tc>
          <w:tcPr>
            <w:tcW w:w="245" w:type="dxa"/>
            <w:tcBorders/>
            <w:shd w:fill="auto" w:val="clear"/>
            <w:vAlign w:val="center"/>
          </w:tcPr>
          <w:p>
            <w:pPr>
              <w:pStyle w:val="TableContents"/>
              <w:spacing w:before="0" w:after="283"/>
              <w:jc w:val="right"/>
              <w:rPr/>
            </w:pPr>
            <w:hyperlink w:anchor="lrarea102">
              <w:r>
                <w:rPr>
                  <w:rStyle w:val="InternetLink"/>
                  <w:rFonts w:ascii="Arial;Helvetica;Sans-Serif" w:hAnsi="Arial;Helvetica;Sans-Serif"/>
                  <w:b/>
                  <w:i w:val="false"/>
                  <w:caps w:val="false"/>
                  <w:smallCaps w:val="false"/>
                  <w:strike w:val="false"/>
                  <w:dstrike w:val="false"/>
                  <w:color w:val="7CBC3E"/>
                  <w:sz w:val="20"/>
                  <w:u w:val="none"/>
                  <w:effect w:val="none"/>
                </w:rPr>
                <w:t>67</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103">
              <w:r>
                <w:rPr>
                  <w:rStyle w:val="InternetLink"/>
                  <w:rFonts w:ascii="Arial;Helvetica;Sans-Serif" w:hAnsi="Arial;Helvetica;Sans-Serif"/>
                  <w:b/>
                  <w:i w:val="false"/>
                  <w:caps w:val="false"/>
                  <w:smallCaps w:val="false"/>
                  <w:strike w:val="false"/>
                  <w:dstrike w:val="false"/>
                  <w:color w:val="7CBC3E"/>
                  <w:sz w:val="20"/>
                  <w:u w:val="none"/>
                  <w:effect w:val="none"/>
                </w:rPr>
                <w:t>Director Compensation</w:t>
              </w:r>
            </w:hyperlink>
          </w:p>
        </w:tc>
        <w:tc>
          <w:tcPr>
            <w:tcW w:w="245" w:type="dxa"/>
            <w:tcBorders/>
            <w:shd w:fill="auto" w:val="clear"/>
            <w:vAlign w:val="center"/>
          </w:tcPr>
          <w:p>
            <w:pPr>
              <w:pStyle w:val="TableContents"/>
              <w:spacing w:before="0" w:after="283"/>
              <w:jc w:val="right"/>
              <w:rPr/>
            </w:pPr>
            <w:hyperlink w:anchor="lrarea103">
              <w:r>
                <w:rPr>
                  <w:rStyle w:val="InternetLink"/>
                  <w:rFonts w:ascii="Arial;Helvetica;Sans-Serif" w:hAnsi="Arial;Helvetica;Sans-Serif"/>
                  <w:b/>
                  <w:i w:val="false"/>
                  <w:caps w:val="false"/>
                  <w:smallCaps w:val="false"/>
                  <w:strike w:val="false"/>
                  <w:dstrike w:val="false"/>
                  <w:color w:val="7CBC3E"/>
                  <w:sz w:val="20"/>
                  <w:u w:val="none"/>
                  <w:effect w:val="none"/>
                </w:rPr>
                <w:t>68</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104">
              <w:r>
                <w:rPr>
                  <w:rStyle w:val="InternetLink"/>
                  <w:rFonts w:ascii="Arial;Helvetica;Sans-Serif" w:hAnsi="Arial;Helvetica;Sans-Serif"/>
                  <w:b/>
                  <w:i w:val="false"/>
                  <w:caps w:val="false"/>
                  <w:smallCaps w:val="false"/>
                  <w:strike w:val="false"/>
                  <w:dstrike w:val="false"/>
                  <w:color w:val="7CBC3E"/>
                  <w:sz w:val="20"/>
                  <w:u w:val="none"/>
                  <w:effect w:val="none"/>
                </w:rPr>
                <w:t>CEO Pay Ratio</w:t>
              </w:r>
            </w:hyperlink>
          </w:p>
        </w:tc>
        <w:tc>
          <w:tcPr>
            <w:tcW w:w="245" w:type="dxa"/>
            <w:tcBorders/>
            <w:shd w:fill="auto" w:val="clear"/>
            <w:vAlign w:val="center"/>
          </w:tcPr>
          <w:p>
            <w:pPr>
              <w:pStyle w:val="TableContents"/>
              <w:spacing w:before="0" w:after="283"/>
              <w:jc w:val="right"/>
              <w:rPr/>
            </w:pPr>
            <w:hyperlink w:anchor="lrarea104">
              <w:r>
                <w:rPr>
                  <w:rStyle w:val="InternetLink"/>
                  <w:rFonts w:ascii="Arial;Helvetica;Sans-Serif" w:hAnsi="Arial;Helvetica;Sans-Serif"/>
                  <w:b/>
                  <w:i w:val="false"/>
                  <w:caps w:val="false"/>
                  <w:smallCaps w:val="false"/>
                  <w:strike w:val="false"/>
                  <w:dstrike w:val="false"/>
                  <w:color w:val="7CBC3E"/>
                  <w:sz w:val="20"/>
                  <w:u w:val="none"/>
                  <w:effect w:val="none"/>
                </w:rPr>
                <w:t>69</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105">
              <w:r>
                <w:rPr>
                  <w:rStyle w:val="InternetLink"/>
                  <w:rFonts w:ascii="Arial;Helvetica;Sans-Serif" w:hAnsi="Arial;Helvetica;Sans-Serif"/>
                  <w:b/>
                  <w:i w:val="false"/>
                  <w:caps w:val="false"/>
                  <w:smallCaps w:val="false"/>
                  <w:strike w:val="false"/>
                  <w:dstrike w:val="false"/>
                  <w:color w:val="7CBC3E"/>
                  <w:sz w:val="20"/>
                  <w:u w:val="none"/>
                  <w:effect w:val="none"/>
                </w:rPr>
                <w:t>Pay versus Performance</w:t>
              </w:r>
            </w:hyperlink>
          </w:p>
        </w:tc>
        <w:tc>
          <w:tcPr>
            <w:tcW w:w="245" w:type="dxa"/>
            <w:tcBorders/>
            <w:shd w:fill="auto" w:val="clear"/>
            <w:vAlign w:val="center"/>
          </w:tcPr>
          <w:p>
            <w:pPr>
              <w:pStyle w:val="TableContents"/>
              <w:spacing w:before="0" w:after="283"/>
              <w:jc w:val="right"/>
              <w:rPr/>
            </w:pPr>
            <w:hyperlink w:anchor="lrarea105">
              <w:r>
                <w:rPr>
                  <w:rStyle w:val="InternetLink"/>
                  <w:rFonts w:ascii="Arial;Helvetica;Sans-Serif" w:hAnsi="Arial;Helvetica;Sans-Serif"/>
                  <w:b/>
                  <w:i w:val="false"/>
                  <w:caps w:val="false"/>
                  <w:smallCaps w:val="false"/>
                  <w:strike w:val="false"/>
                  <w:dstrike w:val="false"/>
                  <w:color w:val="7CBC3E"/>
                  <w:sz w:val="20"/>
                  <w:u w:val="none"/>
                  <w:effect w:val="none"/>
                </w:rPr>
                <w:t>70</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106">
              <w:r>
                <w:rPr>
                  <w:rStyle w:val="InternetLink"/>
                  <w:rFonts w:ascii="Arial;Helvetica;Sans-Serif" w:hAnsi="Arial;Helvetica;Sans-Serif"/>
                  <w:b/>
                  <w:i w:val="false"/>
                  <w:caps w:val="false"/>
                  <w:smallCaps w:val="false"/>
                  <w:strike w:val="false"/>
                  <w:dstrike w:val="false"/>
                  <w:color w:val="7CBC3E"/>
                  <w:sz w:val="20"/>
                  <w:u w:val="none"/>
                  <w:effect w:val="none"/>
                </w:rPr>
                <w:t>Additional Information</w:t>
              </w:r>
            </w:hyperlink>
          </w:p>
        </w:tc>
        <w:tc>
          <w:tcPr>
            <w:tcW w:w="245" w:type="dxa"/>
            <w:tcBorders/>
            <w:shd w:fill="auto" w:val="clear"/>
            <w:vAlign w:val="center"/>
          </w:tcPr>
          <w:p>
            <w:pPr>
              <w:pStyle w:val="TableContents"/>
              <w:spacing w:before="0" w:after="283"/>
              <w:jc w:val="right"/>
              <w:rPr/>
            </w:pPr>
            <w:hyperlink w:anchor="lrarea106">
              <w:r>
                <w:rPr>
                  <w:rStyle w:val="InternetLink"/>
                  <w:rFonts w:ascii="Arial;Helvetica;Sans-Serif" w:hAnsi="Arial;Helvetica;Sans-Serif"/>
                  <w:b/>
                  <w:i w:val="false"/>
                  <w:caps w:val="false"/>
                  <w:smallCaps w:val="false"/>
                  <w:strike w:val="false"/>
                  <w:dstrike w:val="false"/>
                  <w:color w:val="7CBC3E"/>
                  <w:sz w:val="20"/>
                  <w:u w:val="none"/>
                  <w:effect w:val="none"/>
                </w:rPr>
                <w:t>73</w:t>
              </w:r>
            </w:hyperlink>
          </w:p>
        </w:tc>
      </w:tr>
      <w:tr>
        <w:trPr/>
        <w:tc>
          <w:tcPr>
            <w:tcW w:w="7700" w:type="dxa"/>
            <w:tcBorders/>
            <w:shd w:fill="auto" w:val="clear"/>
            <w:vAlign w:val="center"/>
          </w:tcPr>
          <w:p>
            <w:pPr>
              <w:pStyle w:val="TableContents"/>
              <w:spacing w:before="0" w:after="283"/>
              <w:rPr/>
            </w:pPr>
            <w:hyperlink w:anchor="lrarea107">
              <w:r>
                <w:rPr>
                  <w:rStyle w:val="InternetLink"/>
                  <w:rFonts w:ascii="Arial;Helvetica;Sans-Serif" w:hAnsi="Arial;Helvetica;Sans-Serif"/>
                  <w:b w:val="false"/>
                  <w:i w:val="false"/>
                  <w:caps w:val="false"/>
                  <w:smallCaps w:val="false"/>
                  <w:strike w:val="false"/>
                  <w:dstrike w:val="false"/>
                  <w:color w:val="000000"/>
                  <w:sz w:val="18"/>
                  <w:u w:val="none"/>
                  <w:effect w:val="none"/>
                </w:rPr>
                <w:t>Questions and Answers About these Proxy Materials and Voting</w:t>
              </w:r>
            </w:hyperlink>
          </w:p>
        </w:tc>
        <w:tc>
          <w:tcPr>
            <w:tcW w:w="245" w:type="dxa"/>
            <w:tcBorders/>
            <w:shd w:fill="auto" w:val="clear"/>
            <w:vAlign w:val="center"/>
          </w:tcPr>
          <w:p>
            <w:pPr>
              <w:pStyle w:val="TableContents"/>
              <w:spacing w:before="0" w:after="283"/>
              <w:jc w:val="right"/>
              <w:rPr/>
            </w:pPr>
            <w:hyperlink w:anchor="lrarea107">
              <w:r>
                <w:rPr>
                  <w:rStyle w:val="InternetLink"/>
                  <w:rFonts w:ascii="Arial;Helvetica;Sans-Serif" w:hAnsi="Arial;Helvetica;Sans-Serif"/>
                  <w:b w:val="false"/>
                  <w:i w:val="false"/>
                  <w:caps w:val="false"/>
                  <w:smallCaps w:val="false"/>
                  <w:strike w:val="false"/>
                  <w:dstrike w:val="false"/>
                  <w:color w:val="000000"/>
                  <w:sz w:val="18"/>
                  <w:u w:val="none"/>
                  <w:effect w:val="none"/>
                </w:rPr>
                <w:t>73</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108">
              <w:r>
                <w:rPr>
                  <w:rStyle w:val="InternetLink"/>
                  <w:rFonts w:ascii="Arial;Helvetica;Sans-Serif" w:hAnsi="Arial;Helvetica;Sans-Serif"/>
                  <w:b/>
                  <w:i w:val="false"/>
                  <w:caps w:val="false"/>
                  <w:smallCaps w:val="false"/>
                  <w:strike w:val="false"/>
                  <w:dstrike w:val="false"/>
                  <w:color w:val="7CBC3E"/>
                  <w:sz w:val="20"/>
                  <w:u w:val="none"/>
                  <w:effect w:val="none"/>
                </w:rPr>
                <w:t>Other Business</w:t>
              </w:r>
            </w:hyperlink>
          </w:p>
        </w:tc>
        <w:tc>
          <w:tcPr>
            <w:tcW w:w="245" w:type="dxa"/>
            <w:tcBorders/>
            <w:shd w:fill="auto" w:val="clear"/>
            <w:vAlign w:val="center"/>
          </w:tcPr>
          <w:p>
            <w:pPr>
              <w:pStyle w:val="TableContents"/>
              <w:spacing w:before="0" w:after="283"/>
              <w:jc w:val="right"/>
              <w:rPr/>
            </w:pPr>
            <w:hyperlink w:anchor="lrarea108">
              <w:r>
                <w:rPr>
                  <w:rStyle w:val="InternetLink"/>
                  <w:rFonts w:ascii="Arial;Helvetica;Sans-Serif" w:hAnsi="Arial;Helvetica;Sans-Serif"/>
                  <w:b/>
                  <w:i w:val="false"/>
                  <w:caps w:val="false"/>
                  <w:smallCaps w:val="false"/>
                  <w:strike w:val="false"/>
                  <w:dstrike w:val="false"/>
                  <w:color w:val="7CBC3E"/>
                  <w:sz w:val="20"/>
                  <w:u w:val="none"/>
                  <w:effect w:val="none"/>
                </w:rPr>
                <w:t>77</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109">
              <w:r>
                <w:rPr>
                  <w:rStyle w:val="InternetLink"/>
                  <w:rFonts w:ascii="Arial;Helvetica;Sans-Serif" w:hAnsi="Arial;Helvetica;Sans-Serif"/>
                  <w:b/>
                  <w:i w:val="false"/>
                  <w:caps w:val="false"/>
                  <w:smallCaps w:val="false"/>
                  <w:strike w:val="false"/>
                  <w:dstrike w:val="false"/>
                  <w:color w:val="7CBC3E"/>
                  <w:sz w:val="20"/>
                  <w:u w:val="none"/>
                  <w:effect w:val="none"/>
                </w:rPr>
                <w:t>Forward-Looking Statements</w:t>
              </w:r>
            </w:hyperlink>
          </w:p>
        </w:tc>
        <w:tc>
          <w:tcPr>
            <w:tcW w:w="245" w:type="dxa"/>
            <w:tcBorders/>
            <w:shd w:fill="auto" w:val="clear"/>
            <w:vAlign w:val="center"/>
          </w:tcPr>
          <w:p>
            <w:pPr>
              <w:pStyle w:val="TableContents"/>
              <w:spacing w:before="0" w:after="283"/>
              <w:jc w:val="right"/>
              <w:rPr/>
            </w:pPr>
            <w:hyperlink w:anchor="lrarea109">
              <w:r>
                <w:rPr>
                  <w:rStyle w:val="InternetLink"/>
                  <w:rFonts w:ascii="Arial;Helvetica;Sans-Serif" w:hAnsi="Arial;Helvetica;Sans-Serif"/>
                  <w:b/>
                  <w:i w:val="false"/>
                  <w:caps w:val="false"/>
                  <w:smallCaps w:val="false"/>
                  <w:strike w:val="false"/>
                  <w:dstrike w:val="false"/>
                  <w:color w:val="7CBC3E"/>
                  <w:sz w:val="20"/>
                  <w:u w:val="none"/>
                  <w:effect w:val="none"/>
                </w:rPr>
                <w:t>77</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110">
              <w:r>
                <w:rPr>
                  <w:rStyle w:val="InternetLink"/>
                  <w:rFonts w:ascii="Arial;Helvetica;Sans-Serif" w:hAnsi="Arial;Helvetica;Sans-Serif"/>
                  <w:b/>
                  <w:i w:val="false"/>
                  <w:caps w:val="false"/>
                  <w:smallCaps w:val="false"/>
                  <w:strike w:val="false"/>
                  <w:dstrike w:val="false"/>
                  <w:color w:val="7CBC3E"/>
                  <w:sz w:val="20"/>
                  <w:u w:val="none"/>
                  <w:effect w:val="none"/>
                </w:rPr>
                <w:t>Delivery Of Proxy Materials</w:t>
              </w:r>
            </w:hyperlink>
          </w:p>
        </w:tc>
        <w:tc>
          <w:tcPr>
            <w:tcW w:w="245" w:type="dxa"/>
            <w:tcBorders/>
            <w:shd w:fill="auto" w:val="clear"/>
            <w:vAlign w:val="center"/>
          </w:tcPr>
          <w:p>
            <w:pPr>
              <w:pStyle w:val="TableContents"/>
              <w:spacing w:before="0" w:after="283"/>
              <w:jc w:val="right"/>
              <w:rPr/>
            </w:pPr>
            <w:hyperlink w:anchor="lrarea110">
              <w:r>
                <w:rPr>
                  <w:rStyle w:val="InternetLink"/>
                  <w:rFonts w:ascii="Arial;Helvetica;Sans-Serif" w:hAnsi="Arial;Helvetica;Sans-Serif"/>
                  <w:b/>
                  <w:i w:val="false"/>
                  <w:caps w:val="false"/>
                  <w:smallCaps w:val="false"/>
                  <w:strike w:val="false"/>
                  <w:dstrike w:val="false"/>
                  <w:color w:val="7CBC3E"/>
                  <w:sz w:val="20"/>
                  <w:u w:val="none"/>
                  <w:effect w:val="none"/>
                </w:rPr>
                <w:t>77</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111">
              <w:r>
                <w:rPr>
                  <w:rStyle w:val="InternetLink"/>
                  <w:rFonts w:ascii="Arial;Helvetica;Sans-Serif" w:hAnsi="Arial;Helvetica;Sans-Serif"/>
                  <w:b/>
                  <w:i w:val="false"/>
                  <w:caps w:val="false"/>
                  <w:smallCaps w:val="false"/>
                  <w:strike w:val="false"/>
                  <w:dstrike w:val="false"/>
                  <w:color w:val="7CBC3E"/>
                  <w:sz w:val="20"/>
                  <w:u w:val="none"/>
                  <w:effect w:val="none"/>
                </w:rPr>
                <w:t>Appendix A – Ultragenyx Pharmaceutical Inc.</w:t>
              </w:r>
            </w:hyperlink>
            <w:hyperlink w:anchor="lrarea111">
              <w:r>
                <w:rPr>
                  <w:rStyle w:val="InternetLink"/>
                  <w:rFonts w:ascii="Arial;Helvetica;Sans-Serif" w:hAnsi="Arial;Helvetica;Sans-Serif"/>
                  <w:b w:val="false"/>
                  <w:i w:val="false"/>
                  <w:caps w:val="false"/>
                  <w:smallCaps w:val="false"/>
                  <w:strike w:val="false"/>
                  <w:dstrike w:val="false"/>
                  <w:color w:val="7CBC3E"/>
                  <w:sz w:val="20"/>
                  <w:u w:val="none"/>
                  <w:effect w:val="none"/>
                </w:rPr>
                <w:t xml:space="preserve"> </w:t>
              </w:r>
            </w:hyperlink>
            <w:hyperlink w:anchor="lrarea111">
              <w:r>
                <w:rPr>
                  <w:rStyle w:val="InternetLink"/>
                  <w:rFonts w:ascii="Arial;Helvetica;Sans-Serif" w:hAnsi="Arial;Helvetica;Sans-Serif"/>
                  <w:b/>
                  <w:i w:val="false"/>
                  <w:caps w:val="false"/>
                  <w:smallCaps w:val="false"/>
                  <w:strike w:val="false"/>
                  <w:dstrike w:val="false"/>
                  <w:color w:val="7CBC3E"/>
                  <w:sz w:val="20"/>
                  <w:u w:val="none"/>
                  <w:effect w:val="none"/>
                </w:rPr>
                <w:t>2023 Incentive Plan</w:t>
              </w:r>
            </w:hyperlink>
          </w:p>
        </w:tc>
        <w:tc>
          <w:tcPr>
            <w:tcW w:w="245" w:type="dxa"/>
            <w:tcBorders/>
            <w:shd w:fill="auto" w:val="clear"/>
            <w:vAlign w:val="center"/>
          </w:tcPr>
          <w:p>
            <w:pPr>
              <w:pStyle w:val="TableContents"/>
              <w:spacing w:before="0" w:after="283"/>
              <w:jc w:val="right"/>
              <w:rPr/>
            </w:pPr>
            <w:hyperlink w:anchor="lrarea111">
              <w:r>
                <w:rPr>
                  <w:rStyle w:val="InternetLink"/>
                  <w:rFonts w:ascii="Arial;Helvetica;Sans-Serif" w:hAnsi="Arial;Helvetica;Sans-Serif"/>
                  <w:b/>
                  <w:i w:val="false"/>
                  <w:caps w:val="false"/>
                  <w:smallCaps w:val="false"/>
                  <w:strike w:val="false"/>
                  <w:dstrike w:val="false"/>
                  <w:color w:val="7CBC3E"/>
                  <w:sz w:val="20"/>
                  <w:u w:val="none"/>
                  <w:effect w:val="none"/>
                </w:rPr>
                <w:t>78</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112">
              <w:r>
                <w:rPr>
                  <w:rStyle w:val="InternetLink"/>
                  <w:rFonts w:ascii="Arial;Helvetica;Sans-Serif" w:hAnsi="Arial;Helvetica;Sans-Serif"/>
                  <w:b/>
                  <w:i w:val="false"/>
                  <w:caps w:val="false"/>
                  <w:smallCaps w:val="false"/>
                  <w:strike w:val="false"/>
                  <w:dstrike w:val="false"/>
                  <w:color w:val="7CBC3E"/>
                  <w:sz w:val="20"/>
                  <w:u w:val="none"/>
                  <w:effect w:val="none"/>
                </w:rPr>
                <w:t>EXHIBIT A – Definition of Terms</w:t>
              </w:r>
            </w:hyperlink>
          </w:p>
        </w:tc>
        <w:tc>
          <w:tcPr>
            <w:tcW w:w="245" w:type="dxa"/>
            <w:tcBorders/>
            <w:shd w:fill="auto" w:val="clear"/>
            <w:vAlign w:val="center"/>
          </w:tcPr>
          <w:p>
            <w:pPr>
              <w:pStyle w:val="TableContents"/>
              <w:spacing w:before="0" w:after="283"/>
              <w:jc w:val="right"/>
              <w:rPr/>
            </w:pPr>
            <w:hyperlink w:anchor="lrarea112">
              <w:r>
                <w:rPr>
                  <w:rStyle w:val="InternetLink"/>
                  <w:rFonts w:ascii="Arial;Helvetica;Sans-Serif" w:hAnsi="Arial;Helvetica;Sans-Serif"/>
                  <w:b/>
                  <w:i w:val="false"/>
                  <w:caps w:val="false"/>
                  <w:smallCaps w:val="false"/>
                  <w:strike w:val="false"/>
                  <w:dstrike w:val="false"/>
                  <w:color w:val="7CBC3E"/>
                  <w:sz w:val="20"/>
                  <w:u w:val="none"/>
                  <w:effect w:val="none"/>
                </w:rPr>
                <w:t>84</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113">
              <w:r>
                <w:rPr>
                  <w:rStyle w:val="InternetLink"/>
                  <w:rFonts w:ascii="Arial;Helvetica;Sans-Serif" w:hAnsi="Arial;Helvetica;Sans-Serif"/>
                  <w:b/>
                  <w:i w:val="false"/>
                  <w:caps w:val="false"/>
                  <w:smallCaps w:val="false"/>
                  <w:strike w:val="false"/>
                  <w:dstrike w:val="false"/>
                  <w:color w:val="7CBC3E"/>
                  <w:sz w:val="20"/>
                  <w:u w:val="none"/>
                  <w:effect w:val="none"/>
                </w:rPr>
                <w:t>Appendix B – Ultragenyx Pharmaceutical Inc. 2014</w:t>
              </w:r>
            </w:hyperlink>
            <w:hyperlink w:anchor="lrarea113">
              <w:r>
                <w:rPr>
                  <w:rStyle w:val="InternetLink"/>
                  <w:rFonts w:ascii="Arial;Helvetica;Sans-Serif" w:hAnsi="Arial;Helvetica;Sans-Serif"/>
                  <w:b w:val="false"/>
                  <w:i w:val="false"/>
                  <w:caps w:val="false"/>
                  <w:smallCaps w:val="false"/>
                  <w:strike w:val="false"/>
                  <w:dstrike w:val="false"/>
                  <w:color w:val="7CBC3E"/>
                  <w:sz w:val="20"/>
                  <w:u w:val="none"/>
                  <w:effect w:val="none"/>
                </w:rPr>
                <w:t xml:space="preserve"> </w:t>
              </w:r>
            </w:hyperlink>
            <w:hyperlink w:anchor="lrarea113">
              <w:r>
                <w:rPr>
                  <w:rStyle w:val="InternetLink"/>
                  <w:rFonts w:ascii="Arial;Helvetica;Sans-Serif" w:hAnsi="Arial;Helvetica;Sans-Serif"/>
                  <w:b/>
                  <w:i w:val="false"/>
                  <w:caps w:val="false"/>
                  <w:smallCaps w:val="false"/>
                  <w:strike w:val="false"/>
                  <w:dstrike w:val="false"/>
                  <w:color w:val="7CBC3E"/>
                  <w:sz w:val="20"/>
                  <w:u w:val="none"/>
                  <w:effect w:val="none"/>
                </w:rPr>
                <w:t>Employee Stock Purchase Plan</w:t>
              </w:r>
            </w:hyperlink>
          </w:p>
        </w:tc>
        <w:tc>
          <w:tcPr>
            <w:tcW w:w="245" w:type="dxa"/>
            <w:tcBorders/>
            <w:shd w:fill="auto" w:val="clear"/>
            <w:vAlign w:val="center"/>
          </w:tcPr>
          <w:p>
            <w:pPr>
              <w:pStyle w:val="TableContents"/>
              <w:spacing w:before="0" w:after="283"/>
              <w:jc w:val="right"/>
              <w:rPr/>
            </w:pPr>
            <w:hyperlink w:anchor="lrarea113">
              <w:r>
                <w:rPr>
                  <w:rStyle w:val="InternetLink"/>
                  <w:rFonts w:ascii="Arial;Helvetica;Sans-Serif" w:hAnsi="Arial;Helvetica;Sans-Serif"/>
                  <w:b/>
                  <w:i w:val="false"/>
                  <w:caps w:val="false"/>
                  <w:smallCaps w:val="false"/>
                  <w:strike w:val="false"/>
                  <w:dstrike w:val="false"/>
                  <w:color w:val="7CBC3E"/>
                  <w:sz w:val="20"/>
                  <w:u w:val="none"/>
                  <w:effect w:val="none"/>
                </w:rPr>
                <w:t>86</w:t>
              </w:r>
            </w:hyperlink>
          </w:p>
        </w:tc>
      </w:tr>
      <w:tr>
        <w:trPr/>
        <w:tc>
          <w:tcPr>
            <w:tcW w:w="770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7700" w:type="dxa"/>
            <w:tcBorders/>
            <w:shd w:fill="auto" w:val="clear"/>
            <w:vAlign w:val="center"/>
          </w:tcPr>
          <w:p>
            <w:pPr>
              <w:pStyle w:val="TableContents"/>
              <w:spacing w:before="0" w:after="283"/>
              <w:rPr/>
            </w:pPr>
            <w:hyperlink w:anchor="lrarea114">
              <w:r>
                <w:rPr>
                  <w:rStyle w:val="InternetLink"/>
                  <w:rFonts w:ascii="Arial;Helvetica;Sans-Serif" w:hAnsi="Arial;Helvetica;Sans-Serif"/>
                  <w:b/>
                  <w:i w:val="false"/>
                  <w:caps w:val="false"/>
                  <w:smallCaps w:val="false"/>
                  <w:strike w:val="false"/>
                  <w:dstrike w:val="false"/>
                  <w:color w:val="7CBC3E"/>
                  <w:sz w:val="20"/>
                  <w:u w:val="none"/>
                  <w:effect w:val="none"/>
                </w:rPr>
                <w:t>EXHIBIT A – Definition of Terms</w:t>
              </w:r>
            </w:hyperlink>
          </w:p>
        </w:tc>
        <w:tc>
          <w:tcPr>
            <w:tcW w:w="245" w:type="dxa"/>
            <w:tcBorders/>
            <w:shd w:fill="auto" w:val="clear"/>
            <w:vAlign w:val="center"/>
          </w:tcPr>
          <w:p>
            <w:pPr>
              <w:pStyle w:val="TableContents"/>
              <w:spacing w:before="0" w:after="283"/>
              <w:jc w:val="right"/>
              <w:rPr/>
            </w:pPr>
            <w:hyperlink w:anchor="lrarea114">
              <w:r>
                <w:rPr>
                  <w:rStyle w:val="InternetLink"/>
                  <w:rFonts w:ascii="Arial;Helvetica;Sans-Serif" w:hAnsi="Arial;Helvetica;Sans-Serif"/>
                  <w:b/>
                  <w:i w:val="false"/>
                  <w:caps w:val="false"/>
                  <w:smallCaps w:val="false"/>
                  <w:strike w:val="false"/>
                  <w:dstrike w:val="false"/>
                  <w:color w:val="7CBC3E"/>
                  <w:sz w:val="20"/>
                  <w:u w:val="none"/>
                  <w:effect w:val="none"/>
                </w:rPr>
                <w:t>91</w:t>
              </w:r>
            </w:hyperlink>
          </w:p>
        </w:tc>
      </w:tr>
    </w:tbl>
    <w:p>
      <w:pPr>
        <w:pStyle w:val="TextBody"/>
        <w:rPr>
          <w:caps w:val="false"/>
          <w:smallCaps w:val="false"/>
          <w:highlight w:val="green"/>
        </w:rPr>
      </w:pPr>
      <w:r>
        <w:rPr>
          <w:caps w:val="false"/>
          <w:smallCaps w:val="false"/>
          <w:highlight w:val="green"/>
        </w:rPr>
        <w:t> </w:t>
      </w:r>
    </w:p>
    <w:p>
      <w:pPr>
        <w:pStyle w:val="TextBody"/>
        <w:jc w:val="right"/>
        <w:rPr>
          <w:rFonts w:ascii="Arial;Helvetica;Sans-Serif" w:hAnsi="Arial;Helvetica;Sans-Serif"/>
          <w:b w:val="false"/>
          <w:i w:val="false"/>
          <w:caps w:val="false"/>
          <w:smallCaps w:val="false"/>
          <w:sz w:val="18"/>
          <w:highlight w:val="green"/>
        </w:rPr>
      </w:pPr>
      <w:r>
        <w:rPr>
          <w:rFonts w:ascii="Arial;Helvetica;Sans-Serif" w:hAnsi="Arial;Helvetica;Sans-Serif"/>
          <w:b/>
          <w:i w:val="false"/>
          <w:caps w:val="false"/>
          <w:smallCaps w:val="false"/>
          <w:sz w:val="18"/>
          <w:highlight w:val="green"/>
        </w:rPr>
        <w:t>ULTRAGENYX PHARMACEUTICAL INC.</w:t>
      </w:r>
      <w:r>
        <w:rPr>
          <w:rFonts w:ascii="Arial;Helvetica;Sans-Serif" w:hAnsi="Arial;Helvetica;Sans-Serif"/>
          <w:b w:val="false"/>
          <w:i w:val="false"/>
          <w:caps w:val="false"/>
          <w:smallCaps w:val="false"/>
          <w:sz w:val="18"/>
          <w:highlight w:val="green"/>
        </w:rPr>
        <w:t xml:space="preserve"> </w:t>
      </w:r>
      <w:r>
        <w:rPr>
          <w:rFonts w:ascii="Arial;Helvetica;Sans-Serif" w:hAnsi="Arial;Helvetica;Sans-Serif"/>
          <w:b w:val="false"/>
          <w:i w:val="false"/>
          <w:caps w:val="false"/>
          <w:smallCaps w:val="false"/>
          <w:color w:val="7CBC3E"/>
          <w:sz w:val="18"/>
          <w:highlight w:val="green"/>
        </w:rPr>
        <w:t>•</w:t>
      </w:r>
      <w:r>
        <w:rPr>
          <w:rFonts w:ascii="Arial;Helvetica;Sans-Serif" w:hAnsi="Arial;Helvetica;Sans-Serif"/>
          <w:b w:val="false"/>
          <w:i w:val="false"/>
          <w:caps w:val="false"/>
          <w:smallCaps w:val="false"/>
          <w:sz w:val="18"/>
          <w:highlight w:val="green"/>
        </w:rPr>
        <w:t xml:space="preserve"> 2023 Proxy Statement        </w:t>
      </w:r>
      <w:r>
        <w:rPr>
          <w:rFonts w:ascii="Arial;Helvetica;Sans-Serif" w:hAnsi="Arial;Helvetica;Sans-Serif"/>
          <w:b/>
          <w:i w:val="false"/>
          <w:caps w:val="false"/>
          <w:smallCaps w:val="false"/>
          <w:sz w:val="18"/>
          <w:highlight w:val="green"/>
        </w:rPr>
        <w:t>4</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2"/>
        <w:rPr>
          <w:rFonts w:ascii="Arial;Helvetica;Sans-Serif" w:hAnsi="Arial;Helvetica;Sans-Serif"/>
          <w:b/>
          <w:i w:val="false"/>
          <w:caps w:val="false"/>
          <w:smallCaps w:val="false"/>
          <w:color w:val="7CBC3E"/>
          <w:sz w:val="40"/>
        </w:rPr>
      </w:pPr>
      <w:bookmarkStart w:id="3" w:name="lrarea001"/>
      <w:bookmarkEnd w:id="3"/>
      <w:r>
        <w:rPr>
          <w:rFonts w:ascii="Arial;Helvetica;Sans-Serif" w:hAnsi="Arial;Helvetica;Sans-Serif"/>
          <w:b/>
          <w:i w:val="false"/>
          <w:caps w:val="false"/>
          <w:smallCaps w:val="false"/>
          <w:color w:val="7CBC3E"/>
          <w:sz w:val="40"/>
        </w:rPr>
        <w:t>Proxy Statement Overview</w:t>
      </w:r>
    </w:p>
    <w:p>
      <w:pPr>
        <w:pStyle w:val="TextBody"/>
        <w:jc w:val="both"/>
        <w:rPr>
          <w:caps w:val="false"/>
          <w:smallCaps w:val="false"/>
          <w:color w:val="333333"/>
        </w:rPr>
      </w:pPr>
      <w:r>
        <w:rPr>
          <w:caps w:val="false"/>
          <w:smallCaps w:val="false"/>
          <w:color w:val="333333"/>
        </w:rPr>
        <w:t> </w:t>
      </w:r>
    </w:p>
    <w:p>
      <w:pPr>
        <w:pStyle w:val="TextBody"/>
        <w:jc w:val="both"/>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This overview highlights certain information contained elsewhere in this Proxy Statement and does not contain all of the information that you should consider. You should read the entire Proxy Statement carefully before voting. For more complete information regarding our business and 2022 performance, please review our 2022 Annual Report on Form 10-K as filed with the U.S. Securities and Exchange Commission (SEC) in February 2023.</w:t>
      </w:r>
    </w:p>
    <w:p>
      <w:pPr>
        <w:pStyle w:val="TextBody"/>
        <w:rPr>
          <w:caps w:val="false"/>
          <w:smallCaps w:val="false"/>
        </w:rPr>
      </w:pPr>
      <w:r>
        <w:rPr>
          <w:caps w:val="false"/>
          <w:smallCaps w:val="false"/>
        </w:rPr>
        <w:t> </w:t>
      </w:r>
    </w:p>
    <w:p>
      <w:pPr>
        <w:pStyle w:val="Heading3"/>
        <w:rPr>
          <w:rFonts w:ascii="Arial;Helvetica;Sans-Serif" w:hAnsi="Arial;Helvetica;Sans-Serif"/>
          <w:b/>
          <w:i w:val="false"/>
          <w:caps w:val="false"/>
          <w:smallCaps w:val="false"/>
          <w:sz w:val="28"/>
        </w:rPr>
      </w:pPr>
      <w:bookmarkStart w:id="4" w:name="lrarea002"/>
      <w:bookmarkEnd w:id="4"/>
      <w:r>
        <w:rPr>
          <w:rFonts w:ascii="Arial;Helvetica;Sans-Serif" w:hAnsi="Arial;Helvetica;Sans-Serif"/>
          <w:b/>
          <w:i w:val="false"/>
          <w:caps w:val="false"/>
          <w:smallCaps w:val="false"/>
          <w:sz w:val="28"/>
        </w:rPr>
        <w:t>Meeting and Voting Information</w:t>
      </w:r>
    </w:p>
    <w:p>
      <w:pPr>
        <w:pStyle w:val="TextBody"/>
        <w:rPr>
          <w:caps w:val="false"/>
          <w:smallCaps w:val="false"/>
        </w:rPr>
      </w:pPr>
      <w:r>
        <w:rPr>
          <w:caps w:val="false"/>
          <w:smallCaps w:val="false"/>
        </w:rPr>
        <w:t> </w:t>
      </w:r>
    </w:p>
    <w:tbl>
      <w:tblPr>
        <w:tblW w:w="7860" w:type="dxa"/>
        <w:jc w:val="left"/>
        <w:tblInd w:w="0" w:type="dxa"/>
        <w:tblCellMar>
          <w:top w:w="0" w:type="dxa"/>
          <w:left w:w="0" w:type="dxa"/>
          <w:bottom w:w="0" w:type="dxa"/>
          <w:right w:w="0" w:type="dxa"/>
        </w:tblCellMar>
      </w:tblPr>
      <w:tblGrid>
        <w:gridCol w:w="2525"/>
        <w:gridCol w:w="60"/>
        <w:gridCol w:w="1220"/>
        <w:gridCol w:w="60"/>
        <w:gridCol w:w="3995"/>
      </w:tblGrid>
      <w:tr>
        <w:trPr/>
        <w:tc>
          <w:tcPr>
            <w:tcW w:w="2525" w:type="dxa"/>
            <w:tcBorders/>
            <w:shd w:fill="ECF5E3" w:val="clear"/>
            <w:vAlign w:val="center"/>
          </w:tcPr>
          <w:p>
            <w:pPr>
              <w:pStyle w:val="TableContents"/>
              <w:spacing w:before="0" w:after="283"/>
              <w:jc w:val="center"/>
              <w:rPr/>
            </w:pPr>
            <w:r>
              <w:rPr/>
              <w:t> </w:t>
            </w:r>
          </w:p>
        </w:tc>
        <w:tc>
          <w:tcPr>
            <w:tcW w:w="60" w:type="dxa"/>
            <w:tcBorders/>
            <w:shd w:fill="ECF5E3" w:val="clear"/>
            <w:vAlign w:val="center"/>
          </w:tcPr>
          <w:p>
            <w:pPr>
              <w:pStyle w:val="TableContents"/>
              <w:spacing w:before="0" w:after="283"/>
              <w:rPr/>
            </w:pPr>
            <w:r>
              <w:rPr/>
              <w:t> </w:t>
            </w:r>
          </w:p>
        </w:tc>
        <w:tc>
          <w:tcPr>
            <w:tcW w:w="1220" w:type="dxa"/>
            <w:tcBorders/>
            <w:shd w:fill="ECF5E3" w:val="clear"/>
            <w:vAlign w:val="center"/>
          </w:tcPr>
          <w:p>
            <w:pPr>
              <w:pStyle w:val="TableContents"/>
              <w:spacing w:before="0" w:after="283"/>
              <w:jc w:val="center"/>
              <w:rPr/>
            </w:pPr>
            <w:r>
              <w:rPr/>
              <w:t> </w:t>
            </w:r>
          </w:p>
        </w:tc>
        <w:tc>
          <w:tcPr>
            <w:tcW w:w="60" w:type="dxa"/>
            <w:tcBorders/>
            <w:shd w:fill="ECF5E3" w:val="clear"/>
            <w:vAlign w:val="center"/>
          </w:tcPr>
          <w:p>
            <w:pPr>
              <w:pStyle w:val="TableContents"/>
              <w:spacing w:before="0" w:after="283"/>
              <w:rPr/>
            </w:pPr>
            <w:r>
              <w:rPr/>
              <w:t> </w:t>
            </w:r>
          </w:p>
        </w:tc>
        <w:tc>
          <w:tcPr>
            <w:tcW w:w="3995" w:type="dxa"/>
            <w:tcBorders/>
            <w:shd w:fill="ECF5E3" w:val="clear"/>
            <w:vAlign w:val="center"/>
          </w:tcPr>
          <w:p>
            <w:pPr>
              <w:pStyle w:val="TableContents"/>
              <w:spacing w:before="0" w:after="283"/>
              <w:jc w:val="center"/>
              <w:rPr/>
            </w:pPr>
            <w:r>
              <w:rPr/>
              <w:t> </w:t>
            </w:r>
          </w:p>
        </w:tc>
      </w:tr>
      <w:tr>
        <w:trPr/>
        <w:tc>
          <w:tcPr>
            <w:tcW w:w="2525" w:type="dxa"/>
            <w:tcBorders/>
            <w:shd w:fill="ECF5E3" w:val="clear"/>
            <w:vAlign w:val="center"/>
          </w:tcPr>
          <w:p>
            <w:pPr>
              <w:pStyle w:val="TableContents"/>
              <w:spacing w:before="0" w:after="283"/>
              <w:jc w:val="center"/>
              <w:rPr/>
            </w:pPr>
            <w:r>
              <w:rPr/>
              <w:drawing>
                <wp:inline distT="0" distB="0" distL="0" distR="0">
                  <wp:extent cx="238125" cy="23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38125" cy="238125"/>
                          </a:xfrm>
                          <a:prstGeom prst="rect">
                            <a:avLst/>
                          </a:prstGeom>
                        </pic:spPr>
                      </pic:pic>
                    </a:graphicData>
                  </a:graphic>
                </wp:inline>
              </w:drawing>
            </w:r>
          </w:p>
        </w:tc>
        <w:tc>
          <w:tcPr>
            <w:tcW w:w="60" w:type="dxa"/>
            <w:tcBorders/>
            <w:shd w:fill="ECF5E3" w:val="clear"/>
            <w:vAlign w:val="center"/>
          </w:tcPr>
          <w:p>
            <w:pPr>
              <w:pStyle w:val="TableContents"/>
              <w:spacing w:before="0" w:after="283"/>
              <w:rPr/>
            </w:pPr>
            <w:r>
              <w:rPr/>
              <w:t> </w:t>
            </w:r>
          </w:p>
        </w:tc>
        <w:tc>
          <w:tcPr>
            <w:tcW w:w="1220" w:type="dxa"/>
            <w:tcBorders/>
            <w:shd w:fill="ECF5E3" w:val="clear"/>
            <w:vAlign w:val="center"/>
          </w:tcPr>
          <w:p>
            <w:pPr>
              <w:pStyle w:val="TableContents"/>
              <w:spacing w:before="0" w:after="283"/>
              <w:jc w:val="center"/>
              <w:rPr/>
            </w:pPr>
            <w:r>
              <w:rPr/>
              <w:drawing>
                <wp:inline distT="0" distB="0" distL="0" distR="0">
                  <wp:extent cx="295275" cy="276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5275" cy="276225"/>
                          </a:xfrm>
                          <a:prstGeom prst="rect">
                            <a:avLst/>
                          </a:prstGeom>
                        </pic:spPr>
                      </pic:pic>
                    </a:graphicData>
                  </a:graphic>
                </wp:inline>
              </w:drawing>
            </w:r>
          </w:p>
        </w:tc>
        <w:tc>
          <w:tcPr>
            <w:tcW w:w="60" w:type="dxa"/>
            <w:tcBorders/>
            <w:shd w:fill="ECF5E3" w:val="clear"/>
            <w:vAlign w:val="center"/>
          </w:tcPr>
          <w:p>
            <w:pPr>
              <w:pStyle w:val="TableContents"/>
              <w:spacing w:before="0" w:after="283"/>
              <w:rPr/>
            </w:pPr>
            <w:r>
              <w:rPr/>
              <w:t> </w:t>
            </w:r>
          </w:p>
        </w:tc>
        <w:tc>
          <w:tcPr>
            <w:tcW w:w="3995" w:type="dxa"/>
            <w:tcBorders/>
            <w:shd w:fill="ECF5E3" w:val="clear"/>
            <w:vAlign w:val="center"/>
          </w:tcPr>
          <w:p>
            <w:pPr>
              <w:pStyle w:val="TableContents"/>
              <w:spacing w:before="0" w:after="283"/>
              <w:jc w:val="center"/>
              <w:rPr/>
            </w:pPr>
            <w:r>
              <w:rPr/>
              <w:drawing>
                <wp:inline distT="0" distB="0" distL="0" distR="0">
                  <wp:extent cx="238125" cy="276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38125" cy="276225"/>
                          </a:xfrm>
                          <a:prstGeom prst="rect">
                            <a:avLst/>
                          </a:prstGeom>
                        </pic:spPr>
                      </pic:pic>
                    </a:graphicData>
                  </a:graphic>
                </wp:inline>
              </w:drawing>
            </w:r>
          </w:p>
        </w:tc>
      </w:tr>
      <w:tr>
        <w:trPr/>
        <w:tc>
          <w:tcPr>
            <w:tcW w:w="2525" w:type="dxa"/>
            <w:tcBorders/>
            <w:shd w:fill="ECF5E3" w:val="clear"/>
            <w:vAlign w:val="center"/>
          </w:tcPr>
          <w:p>
            <w:pPr>
              <w:pStyle w:val="TableContents"/>
              <w:spacing w:before="0" w:after="283"/>
              <w:jc w:val="center"/>
              <w:rPr>
                <w:rFonts w:ascii="Arial;Helvetica;Sans-Serif" w:hAnsi="Arial;Helvetica;Sans-Serif"/>
                <w:b/>
                <w:i w:val="false"/>
                <w:caps w:val="false"/>
                <w:smallCaps w:val="false"/>
                <w:color w:val="7CBC3E"/>
                <w:sz w:val="16"/>
              </w:rPr>
            </w:pPr>
            <w:r>
              <w:rPr>
                <w:rFonts w:ascii="Arial;Helvetica;Sans-Serif" w:hAnsi="Arial;Helvetica;Sans-Serif"/>
                <w:b/>
                <w:i w:val="false"/>
                <w:caps w:val="false"/>
                <w:smallCaps w:val="false"/>
                <w:color w:val="7CBC3E"/>
                <w:sz w:val="16"/>
              </w:rPr>
              <w:t>Meeting Date and Meeting Time</w:t>
            </w:r>
          </w:p>
        </w:tc>
        <w:tc>
          <w:tcPr>
            <w:tcW w:w="60" w:type="dxa"/>
            <w:tcBorders/>
            <w:shd w:fill="ECF5E3" w:val="clear"/>
            <w:vAlign w:val="center"/>
          </w:tcPr>
          <w:p>
            <w:pPr>
              <w:pStyle w:val="TableContents"/>
              <w:spacing w:before="0" w:after="283"/>
              <w:rPr/>
            </w:pPr>
            <w:r>
              <w:rPr/>
              <w:t> </w:t>
            </w:r>
          </w:p>
        </w:tc>
        <w:tc>
          <w:tcPr>
            <w:tcW w:w="1220" w:type="dxa"/>
            <w:tcBorders/>
            <w:shd w:fill="ECF5E3" w:val="clear"/>
            <w:vAlign w:val="center"/>
          </w:tcPr>
          <w:p>
            <w:pPr>
              <w:pStyle w:val="TableContents"/>
              <w:spacing w:before="0" w:after="283"/>
              <w:jc w:val="center"/>
              <w:rPr>
                <w:rFonts w:ascii="Arial;Helvetica;Sans-Serif" w:hAnsi="Arial;Helvetica;Sans-Serif"/>
                <w:b/>
                <w:i w:val="false"/>
                <w:caps w:val="false"/>
                <w:smallCaps w:val="false"/>
                <w:color w:val="7CBC3E"/>
                <w:sz w:val="16"/>
              </w:rPr>
            </w:pPr>
            <w:r>
              <w:rPr>
                <w:rFonts w:ascii="Arial;Helvetica;Sans-Serif" w:hAnsi="Arial;Helvetica;Sans-Serif"/>
                <w:b/>
                <w:i w:val="false"/>
                <w:caps w:val="false"/>
                <w:smallCaps w:val="false"/>
                <w:color w:val="7CBC3E"/>
                <w:sz w:val="16"/>
              </w:rPr>
              <w:t>Record Date</w:t>
            </w:r>
          </w:p>
        </w:tc>
        <w:tc>
          <w:tcPr>
            <w:tcW w:w="60" w:type="dxa"/>
            <w:tcBorders/>
            <w:shd w:fill="ECF5E3" w:val="clear"/>
            <w:vAlign w:val="center"/>
          </w:tcPr>
          <w:p>
            <w:pPr>
              <w:pStyle w:val="TableContents"/>
              <w:spacing w:before="0" w:after="283"/>
              <w:rPr/>
            </w:pPr>
            <w:r>
              <w:rPr/>
              <w:t> </w:t>
            </w:r>
          </w:p>
        </w:tc>
        <w:tc>
          <w:tcPr>
            <w:tcW w:w="3995" w:type="dxa"/>
            <w:tcBorders/>
            <w:shd w:fill="ECF5E3" w:val="clear"/>
            <w:vAlign w:val="center"/>
          </w:tcPr>
          <w:p>
            <w:pPr>
              <w:pStyle w:val="TableContents"/>
              <w:spacing w:before="0" w:after="283"/>
              <w:jc w:val="center"/>
              <w:rPr>
                <w:rFonts w:ascii="Arial;Helvetica;Sans-Serif" w:hAnsi="Arial;Helvetica;Sans-Serif"/>
                <w:b/>
                <w:i w:val="false"/>
                <w:caps w:val="false"/>
                <w:smallCaps w:val="false"/>
                <w:color w:val="7CBC3E"/>
                <w:sz w:val="16"/>
              </w:rPr>
            </w:pPr>
            <w:r>
              <w:rPr>
                <w:rFonts w:ascii="Arial;Helvetica;Sans-Serif" w:hAnsi="Arial;Helvetica;Sans-Serif"/>
                <w:b/>
                <w:i w:val="false"/>
                <w:caps w:val="false"/>
                <w:smallCaps w:val="false"/>
                <w:color w:val="7CBC3E"/>
                <w:sz w:val="16"/>
              </w:rPr>
              <w:t>Location</w:t>
            </w:r>
          </w:p>
        </w:tc>
      </w:tr>
      <w:tr>
        <w:trPr/>
        <w:tc>
          <w:tcPr>
            <w:tcW w:w="2525" w:type="dxa"/>
            <w:tcBorders/>
            <w:shd w:fill="ECF5E3" w:val="cle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June 7, 2023</w:t>
              <w:br/>
              <w:t>8:00 a.m. Pacific Time</w:t>
            </w:r>
          </w:p>
        </w:tc>
        <w:tc>
          <w:tcPr>
            <w:tcW w:w="60" w:type="dxa"/>
            <w:tcBorders/>
            <w:shd w:fill="ECF5E3" w:val="clear"/>
            <w:vAlign w:val="center"/>
          </w:tcPr>
          <w:p>
            <w:pPr>
              <w:pStyle w:val="TableContents"/>
              <w:spacing w:before="0" w:after="283"/>
              <w:rPr/>
            </w:pPr>
            <w:r>
              <w:rPr/>
              <w:t> </w:t>
            </w:r>
          </w:p>
        </w:tc>
        <w:tc>
          <w:tcPr>
            <w:tcW w:w="1220" w:type="dxa"/>
            <w:tcBorders/>
            <w:shd w:fill="ECF5E3" w:val="clear"/>
            <w:vAlign w:val="center"/>
          </w:tcPr>
          <w:p>
            <w:pPr>
              <w:pStyle w:val="TableContents"/>
              <w:spacing w:before="0" w:after="283"/>
              <w:jc w:val="center"/>
              <w:rPr/>
            </w:pPr>
            <w:r>
              <w:rPr>
                <w:rFonts w:ascii="Arial;Helvetica;Sans-Serif" w:hAnsi="Arial;Helvetica;Sans-Serif"/>
                <w:b w:val="false"/>
                <w:i w:val="false"/>
                <w:caps w:val="false"/>
                <w:smallCaps w:val="false"/>
                <w:sz w:val="18"/>
              </w:rPr>
              <w:t>April 17, 2023</w:t>
            </w:r>
            <w:r>
              <w:rPr/>
              <w:t> </w:t>
            </w:r>
          </w:p>
        </w:tc>
        <w:tc>
          <w:tcPr>
            <w:tcW w:w="60" w:type="dxa"/>
            <w:tcBorders/>
            <w:shd w:fill="ECF5E3" w:val="clear"/>
            <w:vAlign w:val="center"/>
          </w:tcPr>
          <w:p>
            <w:pPr>
              <w:pStyle w:val="TableContents"/>
              <w:spacing w:before="0" w:after="283"/>
              <w:rPr/>
            </w:pPr>
            <w:r>
              <w:rPr/>
              <w:t> </w:t>
            </w:r>
          </w:p>
        </w:tc>
        <w:tc>
          <w:tcPr>
            <w:tcW w:w="3995" w:type="dxa"/>
            <w:tcBorders/>
            <w:shd w:fill="ECF5E3" w:val="cle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Live via audio webcast at</w:t>
              <w:br/>
            </w:r>
            <w:r>
              <w:rPr>
                <w:rFonts w:ascii="Arial;Helvetica;Sans-Serif" w:hAnsi="Arial;Helvetica;Sans-Serif"/>
                <w:b w:val="false"/>
                <w:i/>
                <w:caps w:val="false"/>
                <w:smallCaps w:val="false"/>
                <w:sz w:val="18"/>
              </w:rPr>
              <w:t>www.virtualshareholdermeeting.com/RARE2023</w:t>
            </w:r>
          </w:p>
        </w:tc>
      </w:tr>
      <w:tr>
        <w:trPr/>
        <w:tc>
          <w:tcPr>
            <w:tcW w:w="2525" w:type="dxa"/>
            <w:tcBorders/>
            <w:shd w:fill="ECF5E3" w:val="clear"/>
            <w:vAlign w:val="center"/>
          </w:tcPr>
          <w:p>
            <w:pPr>
              <w:pStyle w:val="TableContents"/>
              <w:spacing w:before="0" w:after="283"/>
              <w:jc w:val="center"/>
              <w:rPr/>
            </w:pPr>
            <w:r>
              <w:rPr/>
              <w:t> </w:t>
            </w:r>
          </w:p>
        </w:tc>
        <w:tc>
          <w:tcPr>
            <w:tcW w:w="60" w:type="dxa"/>
            <w:tcBorders/>
            <w:shd w:fill="ECF5E3" w:val="clear"/>
            <w:vAlign w:val="center"/>
          </w:tcPr>
          <w:p>
            <w:pPr>
              <w:pStyle w:val="TableContents"/>
              <w:spacing w:before="0" w:after="283"/>
              <w:rPr/>
            </w:pPr>
            <w:r>
              <w:rPr/>
              <w:t> </w:t>
            </w:r>
          </w:p>
        </w:tc>
        <w:tc>
          <w:tcPr>
            <w:tcW w:w="1220" w:type="dxa"/>
            <w:tcBorders/>
            <w:shd w:fill="ECF5E3" w:val="clear"/>
            <w:vAlign w:val="center"/>
          </w:tcPr>
          <w:p>
            <w:pPr>
              <w:pStyle w:val="TableContents"/>
              <w:spacing w:before="0" w:after="283"/>
              <w:jc w:val="center"/>
              <w:rPr/>
            </w:pPr>
            <w:r>
              <w:rPr/>
              <w:t> </w:t>
            </w:r>
          </w:p>
        </w:tc>
        <w:tc>
          <w:tcPr>
            <w:tcW w:w="60" w:type="dxa"/>
            <w:tcBorders/>
            <w:shd w:fill="ECF5E3" w:val="clear"/>
            <w:vAlign w:val="center"/>
          </w:tcPr>
          <w:p>
            <w:pPr>
              <w:pStyle w:val="TableContents"/>
              <w:spacing w:before="0" w:after="283"/>
              <w:rPr/>
            </w:pPr>
            <w:r>
              <w:rPr/>
              <w:t> </w:t>
            </w:r>
          </w:p>
        </w:tc>
        <w:tc>
          <w:tcPr>
            <w:tcW w:w="3995" w:type="dxa"/>
            <w:tcBorders/>
            <w:shd w:fill="ECF5E3"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intend to mail the Notice Regarding the Availability of Proxy Materials containing instructions on how to access this Proxy Statement and our 2022 Annual Report on Form 10-K beginning on or about April 24, 2023 to all stockholders entitled to vote at the Annual Meeting.</w:t>
      </w:r>
    </w:p>
    <w:p>
      <w:pPr>
        <w:pStyle w:val="TextBody"/>
        <w:jc w:val="both"/>
        <w:rPr>
          <w:caps w:val="false"/>
          <w:smallCaps w:val="false"/>
        </w:rPr>
      </w:pPr>
      <w:r>
        <w:rPr>
          <w:caps w:val="false"/>
          <w:smallCaps w:val="false"/>
        </w:rPr>
        <w:t> </w:t>
      </w:r>
    </w:p>
    <w:tbl>
      <w:tblPr>
        <w:tblW w:w="9860" w:type="dxa"/>
        <w:jc w:val="left"/>
        <w:tblInd w:w="0" w:type="dxa"/>
        <w:tblCellMar>
          <w:top w:w="0" w:type="dxa"/>
          <w:left w:w="0" w:type="dxa"/>
          <w:bottom w:w="28" w:type="dxa"/>
          <w:right w:w="0" w:type="dxa"/>
        </w:tblCellMar>
      </w:tblPr>
      <w:tblGrid>
        <w:gridCol w:w="950"/>
        <w:gridCol w:w="6245"/>
        <w:gridCol w:w="1610"/>
        <w:gridCol w:w="1055"/>
      </w:tblGrid>
      <w:tr>
        <w:trPr/>
        <w:tc>
          <w:tcPr>
            <w:tcW w:w="950" w:type="dxa"/>
            <w:tcBorders>
              <w:bottom w:val="single" w:sz="12" w:space="0" w:color="7CBC3E"/>
            </w:tcBorders>
            <w:shd w:fill="auto" w:val="cle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Proposals</w:t>
            </w:r>
          </w:p>
        </w:tc>
        <w:tc>
          <w:tcPr>
            <w:tcW w:w="6245" w:type="dxa"/>
            <w:tcBorders>
              <w:bottom w:val="single" w:sz="12" w:space="0" w:color="7CBC3E"/>
            </w:tcBorders>
            <w:shd w:fill="auto" w:val="clear"/>
            <w:vAlign w:val="center"/>
          </w:tcPr>
          <w:p>
            <w:pPr>
              <w:pStyle w:val="TableContents"/>
              <w:spacing w:before="0" w:after="283"/>
              <w:rPr/>
            </w:pPr>
            <w:r>
              <w:rPr/>
              <w:t> </w:t>
            </w:r>
          </w:p>
        </w:tc>
        <w:tc>
          <w:tcPr>
            <w:tcW w:w="1610" w:type="dxa"/>
            <w:tcBorders>
              <w:bottom w:val="single" w:sz="12" w:space="0" w:color="7CBC3E"/>
            </w:tcBorders>
            <w:shd w:fill="auto" w:val="cle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Board Vote </w:t>
              <w:br/>
              <w:t>Recommendation</w:t>
            </w:r>
          </w:p>
        </w:tc>
        <w:tc>
          <w:tcPr>
            <w:tcW w:w="1055"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For More </w:t>
              <w:br/>
              <w:t xml:space="preserve">Information </w:t>
              <w:br/>
              <w:t>See Page</w:t>
            </w:r>
          </w:p>
        </w:tc>
      </w:tr>
      <w:tr>
        <w:trPr/>
        <w:tc>
          <w:tcPr>
            <w:tcW w:w="950" w:type="dxa"/>
            <w:tcBorders/>
            <w:shd w:fill="auto" w:val="clear"/>
            <w:tcMar>
              <w:bottom w:w="0" w:type="dxa"/>
            </w:tcMar>
            <w:vAlign w:val="center"/>
          </w:tcPr>
          <w:p>
            <w:pPr>
              <w:pStyle w:val="TableContents"/>
              <w:spacing w:before="0" w:after="283"/>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Proposal 1</w:t>
            </w:r>
          </w:p>
        </w:tc>
        <w:tc>
          <w:tcPr>
            <w:tcW w:w="6245"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Election of Class I Directors</w:t>
            </w:r>
          </w:p>
        </w:tc>
        <w:tc>
          <w:tcPr>
            <w:tcW w:w="1610" w:type="dxa"/>
            <w:tcBorders/>
            <w:shd w:fill="auto" w:val="clear"/>
            <w:tcMar>
              <w:bottom w:w="0" w:type="dxa"/>
            </w:tcMar>
            <w:vAlign w:val="center"/>
          </w:tcPr>
          <w:p>
            <w:pPr>
              <w:pStyle w:val="TableContents"/>
              <w:spacing w:before="0" w:after="283"/>
              <w:rPr/>
            </w:pPr>
            <w:r>
              <w:rPr>
                <w:rFonts w:ascii="Arial;Helvetica;Sans-Serif" w:hAnsi="Arial;Helvetica;Sans-Serif"/>
                <w:b/>
                <w:i w:val="false"/>
                <w:caps w:val="false"/>
                <w:smallCaps w:val="false"/>
                <w:color w:val="7CBC3E"/>
                <w:sz w:val="18"/>
              </w:rPr>
              <w:t xml:space="preserve">FOR </w:t>
            </w:r>
            <w:r>
              <w:rPr>
                <w:rFonts w:ascii="Arial;Helvetica;Sans-Serif" w:hAnsi="Arial;Helvetica;Sans-Serif"/>
                <w:b w:val="false"/>
                <w:i w:val="false"/>
                <w:caps w:val="false"/>
                <w:smallCaps w:val="false"/>
                <w:sz w:val="18"/>
              </w:rPr>
              <w:t>each nominee</w:t>
            </w:r>
          </w:p>
        </w:tc>
        <w:tc>
          <w:tcPr>
            <w:tcW w:w="1055" w:type="dxa"/>
            <w:tcBorders/>
            <w:shd w:fill="auto" w:val="clear"/>
            <w:tcMar>
              <w:bottom w:w="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w:t>
            </w:r>
          </w:p>
        </w:tc>
      </w:tr>
      <w:tr>
        <w:trPr/>
        <w:tc>
          <w:tcPr>
            <w:tcW w:w="950" w:type="dxa"/>
            <w:tcBorders/>
            <w:shd w:fill="F3FEEA" w:val="clear"/>
            <w:tcMar>
              <w:bottom w:w="0" w:type="dxa"/>
            </w:tcMar>
            <w:vAlign w:val="center"/>
          </w:tcPr>
          <w:p>
            <w:pPr>
              <w:pStyle w:val="TableContents"/>
              <w:spacing w:before="0" w:after="283"/>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Proposal 2</w:t>
            </w:r>
          </w:p>
        </w:tc>
        <w:tc>
          <w:tcPr>
            <w:tcW w:w="6245" w:type="dxa"/>
            <w:tcBorders/>
            <w:shd w:fill="F3FEEA"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Approval of the 2023 Plan</w:t>
            </w:r>
          </w:p>
        </w:tc>
        <w:tc>
          <w:tcPr>
            <w:tcW w:w="1610" w:type="dxa"/>
            <w:tcBorders/>
            <w:shd w:fill="F3FEEA" w:val="clear"/>
            <w:tcMar>
              <w:bottom w:w="0" w:type="dxa"/>
            </w:tcMar>
            <w:vAlign w:val="center"/>
          </w:tcPr>
          <w:p>
            <w:pPr>
              <w:pStyle w:val="TableContents"/>
              <w:spacing w:before="0" w:after="283"/>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FOR</w:t>
            </w:r>
          </w:p>
        </w:tc>
        <w:tc>
          <w:tcPr>
            <w:tcW w:w="1055" w:type="dxa"/>
            <w:tcBorders/>
            <w:shd w:fill="F3FEEA" w:val="clear"/>
            <w:tcMar>
              <w:bottom w:w="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16</w:t>
            </w:r>
          </w:p>
        </w:tc>
      </w:tr>
      <w:tr>
        <w:trPr/>
        <w:tc>
          <w:tcPr>
            <w:tcW w:w="950" w:type="dxa"/>
            <w:tcBorders/>
            <w:shd w:fill="auto" w:val="clear"/>
            <w:tcMar>
              <w:bottom w:w="0" w:type="dxa"/>
            </w:tcMar>
            <w:vAlign w:val="center"/>
          </w:tcPr>
          <w:p>
            <w:pPr>
              <w:pStyle w:val="TableContents"/>
              <w:spacing w:before="0" w:after="283"/>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Proposal 3</w:t>
            </w:r>
          </w:p>
        </w:tc>
        <w:tc>
          <w:tcPr>
            <w:tcW w:w="6245"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Approval of the A&amp;R ESPP</w:t>
            </w:r>
          </w:p>
        </w:tc>
        <w:tc>
          <w:tcPr>
            <w:tcW w:w="1610" w:type="dxa"/>
            <w:tcBorders/>
            <w:shd w:fill="auto" w:val="clear"/>
            <w:tcMar>
              <w:bottom w:w="0" w:type="dxa"/>
            </w:tcMar>
            <w:vAlign w:val="center"/>
          </w:tcPr>
          <w:p>
            <w:pPr>
              <w:pStyle w:val="TableContents"/>
              <w:spacing w:before="0" w:after="283"/>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FOR</w:t>
            </w:r>
          </w:p>
        </w:tc>
        <w:tc>
          <w:tcPr>
            <w:tcW w:w="1055" w:type="dxa"/>
            <w:tcBorders/>
            <w:shd w:fill="auto" w:val="clear"/>
            <w:tcMar>
              <w:bottom w:w="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24</w:t>
            </w:r>
          </w:p>
        </w:tc>
      </w:tr>
      <w:tr>
        <w:trPr/>
        <w:tc>
          <w:tcPr>
            <w:tcW w:w="950" w:type="dxa"/>
            <w:tcBorders/>
            <w:shd w:fill="F3FEEA" w:val="clear"/>
            <w:tcMar>
              <w:bottom w:w="0" w:type="dxa"/>
            </w:tcMar>
            <w:vAlign w:val="center"/>
          </w:tcPr>
          <w:p>
            <w:pPr>
              <w:pStyle w:val="TableContents"/>
              <w:spacing w:before="0" w:after="283"/>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Proposal 4</w:t>
            </w:r>
          </w:p>
        </w:tc>
        <w:tc>
          <w:tcPr>
            <w:tcW w:w="6245" w:type="dxa"/>
            <w:tcBorders/>
            <w:shd w:fill="F3FEEA"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Ratification of the selection of Ernst &amp; Young LLP as our independent auditor</w:t>
            </w:r>
          </w:p>
        </w:tc>
        <w:tc>
          <w:tcPr>
            <w:tcW w:w="1610" w:type="dxa"/>
            <w:tcBorders/>
            <w:shd w:fill="F3FEEA" w:val="clear"/>
            <w:tcMar>
              <w:bottom w:w="0" w:type="dxa"/>
            </w:tcMar>
            <w:vAlign w:val="center"/>
          </w:tcPr>
          <w:p>
            <w:pPr>
              <w:pStyle w:val="TableContents"/>
              <w:spacing w:before="0" w:after="283"/>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FOR</w:t>
            </w:r>
          </w:p>
        </w:tc>
        <w:tc>
          <w:tcPr>
            <w:tcW w:w="1055" w:type="dxa"/>
            <w:tcBorders/>
            <w:shd w:fill="F3FEEA" w:val="clear"/>
            <w:tcMar>
              <w:bottom w:w="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28</w:t>
            </w:r>
          </w:p>
        </w:tc>
      </w:tr>
      <w:tr>
        <w:trPr/>
        <w:tc>
          <w:tcPr>
            <w:tcW w:w="950" w:type="dxa"/>
            <w:tcBorders>
              <w:bottom w:val="single" w:sz="12" w:space="0" w:color="7CBC3E"/>
            </w:tcBorders>
            <w:shd w:fill="auto" w:val="clear"/>
            <w:vAlign w:val="center"/>
          </w:tcPr>
          <w:p>
            <w:pPr>
              <w:pStyle w:val="TableContents"/>
              <w:spacing w:before="0" w:after="283"/>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Proposal 5</w:t>
            </w:r>
          </w:p>
        </w:tc>
        <w:tc>
          <w:tcPr>
            <w:tcW w:w="6245" w:type="dxa"/>
            <w:tcBorders>
              <w:bottom w:val="single" w:sz="12" w:space="0" w:color="7CBC3E"/>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Say on Pay</w:t>
            </w:r>
          </w:p>
        </w:tc>
        <w:tc>
          <w:tcPr>
            <w:tcW w:w="1610" w:type="dxa"/>
            <w:tcBorders>
              <w:bottom w:val="single" w:sz="12" w:space="0" w:color="7CBC3E"/>
            </w:tcBorders>
            <w:shd w:fill="auto" w:val="clear"/>
            <w:vAlign w:val="center"/>
          </w:tcPr>
          <w:p>
            <w:pPr>
              <w:pStyle w:val="TableContents"/>
              <w:spacing w:before="0" w:after="283"/>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FOR</w:t>
            </w:r>
          </w:p>
        </w:tc>
        <w:tc>
          <w:tcPr>
            <w:tcW w:w="1055"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31</w:t>
            </w:r>
          </w:p>
        </w:tc>
      </w:tr>
    </w:tbl>
    <w:p>
      <w:pPr>
        <w:pStyle w:val="TextBody"/>
        <w:rPr>
          <w:caps w:val="false"/>
          <w:smallCaps w:val="false"/>
        </w:rPr>
      </w:pPr>
      <w:r>
        <w:rPr>
          <w:caps w:val="false"/>
          <w:smallCaps w:val="false"/>
        </w:rPr>
        <w:t> </w:t>
      </w:r>
    </w:p>
    <w:p>
      <w:pPr>
        <w:pStyle w:val="Heading3"/>
        <w:rPr>
          <w:rFonts w:ascii="Arial;Helvetica;Sans-Serif" w:hAnsi="Arial;Helvetica;Sans-Serif"/>
          <w:b/>
          <w:i w:val="false"/>
          <w:caps w:val="false"/>
          <w:smallCaps w:val="false"/>
          <w:sz w:val="28"/>
        </w:rPr>
      </w:pPr>
      <w:bookmarkStart w:id="5" w:name="lrarea003"/>
      <w:bookmarkEnd w:id="5"/>
      <w:r>
        <w:rPr>
          <w:rFonts w:ascii="Arial;Helvetica;Sans-Serif" w:hAnsi="Arial;Helvetica;Sans-Serif"/>
          <w:b/>
          <w:i w:val="false"/>
          <w:caps w:val="false"/>
          <w:smallCaps w:val="false"/>
          <w:sz w:val="28"/>
        </w:rPr>
        <w:t>Business Highlights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Throughout 2022, we continued to make strategic investments to further bolster our clinical and commercial pipeline. In addition, we continued to grow our global revenue and achieved meaningful progress on our key clinical programs.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key financial and operational accomplishments during the year include:</w:t>
      </w:r>
    </w:p>
    <w:p>
      <w:pPr>
        <w:pStyle w:val="TextBody"/>
        <w:jc w:val="both"/>
        <w:rPr>
          <w:caps w:val="false"/>
          <w:smallCaps w:val="false"/>
        </w:rPr>
      </w:pPr>
      <w:r>
        <w:rPr>
          <w:caps w:val="false"/>
          <w:smallCaps w:val="false"/>
        </w:rPr>
        <w:t> </w:t>
      </w:r>
    </w:p>
    <w:tbl>
      <w:tblPr>
        <w:tblW w:w="10205" w:type="dxa"/>
        <w:jc w:val="left"/>
        <w:tblInd w:w="0" w:type="dxa"/>
        <w:tblCellMar>
          <w:top w:w="240" w:type="dxa"/>
          <w:left w:w="100" w:type="dxa"/>
          <w:bottom w:w="240" w:type="dxa"/>
          <w:right w:w="100" w:type="dxa"/>
        </w:tblCellMar>
      </w:tblPr>
      <w:tblGrid>
        <w:gridCol w:w="1340"/>
        <w:gridCol w:w="60"/>
        <w:gridCol w:w="2045"/>
        <w:gridCol w:w="60"/>
        <w:gridCol w:w="6700"/>
      </w:tblGrid>
      <w:tr>
        <w:trPr/>
        <w:tc>
          <w:tcPr>
            <w:tcW w:w="1340" w:type="dxa"/>
            <w:vMerge w:val="restart"/>
            <w:tcBorders>
              <w:top w:val="single" w:sz="12" w:space="0" w:color="7CBC3E"/>
              <w:left w:val="single" w:sz="12" w:space="0" w:color="7CBC3E"/>
              <w:bottom w:val="single" w:sz="12" w:space="0" w:color="7CBC3E"/>
              <w:right w:val="single" w:sz="12" w:space="0" w:color="7CBC3E"/>
            </w:tcBorders>
            <w:shd w:fill="auto" w:val="clear"/>
            <w:vAlign w:val="center"/>
          </w:tcPr>
          <w:p>
            <w:pPr>
              <w:pStyle w:val="TableContents"/>
              <w:spacing w:before="0" w:after="283"/>
              <w:jc w:val="center"/>
              <w:rPr>
                <w:sz w:val="24"/>
              </w:rPr>
            </w:pPr>
            <w:r>
              <w:rPr>
                <w:rFonts w:ascii="Arial;Helvetica;Sans-Serif" w:hAnsi="Arial;Helvetica;Sans-Serif"/>
                <w:b/>
                <w:color w:val="7CBC3E"/>
                <w:sz w:val="72"/>
              </w:rPr>
              <w:t>41</w:t>
            </w:r>
            <w:r>
              <w:rPr>
                <w:rFonts w:ascii="Arial;Helvetica;Sans-Serif" w:hAnsi="Arial;Helvetica;Sans-Serif"/>
                <w:b/>
                <w:color w:val="7CBC3E"/>
                <w:sz w:val="36"/>
              </w:rPr>
              <w:t>%</w:t>
            </w:r>
            <w:r>
              <w:rPr>
                <w:sz w:val="24"/>
              </w:rPr>
              <w:br/>
            </w:r>
            <w:r>
              <w:rPr>
                <w:rFonts w:ascii="Arial;Helvetica;Sans-Serif" w:hAnsi="Arial;Helvetica;Sans-Serif"/>
                <w:sz w:val="32"/>
              </w:rPr>
              <w:t>increase</w:t>
              <w:br/>
              <w:t>Dojolvi sales</w:t>
            </w:r>
          </w:p>
        </w:tc>
        <w:tc>
          <w:tcPr>
            <w:tcW w:w="60" w:type="dxa"/>
            <w:tcBorders/>
            <w:shd w:fill="auto" w:val="clear"/>
            <w:tcMar>
              <w:top w:w="0" w:type="dxa"/>
              <w:left w:w="0" w:type="dxa"/>
              <w:bottom w:w="0" w:type="dxa"/>
              <w:right w:w="0" w:type="dxa"/>
            </w:tcMar>
            <w:vAlign w:val="center"/>
          </w:tcPr>
          <w:p>
            <w:pPr>
              <w:pStyle w:val="TableContents"/>
              <w:spacing w:before="0" w:after="283"/>
              <w:jc w:val="center"/>
              <w:rPr/>
            </w:pPr>
            <w:r>
              <w:rPr/>
              <w:t> </w:t>
            </w:r>
          </w:p>
        </w:tc>
        <w:tc>
          <w:tcPr>
            <w:tcW w:w="2045" w:type="dxa"/>
            <w:vMerge w:val="restart"/>
            <w:tcBorders>
              <w:top w:val="single" w:sz="12" w:space="0" w:color="7CBC3E"/>
              <w:left w:val="single" w:sz="12" w:space="0" w:color="7CBC3E"/>
              <w:bottom w:val="single" w:sz="12" w:space="0" w:color="7CBC3E"/>
              <w:right w:val="single" w:sz="12" w:space="0" w:color="7CBC3E"/>
            </w:tcBorders>
            <w:shd w:fill="auto" w:val="clear"/>
            <w:vAlign w:val="center"/>
          </w:tcPr>
          <w:p>
            <w:pPr>
              <w:pStyle w:val="TableContents"/>
              <w:spacing w:before="0" w:after="283"/>
              <w:jc w:val="center"/>
              <w:rPr>
                <w:sz w:val="24"/>
              </w:rPr>
            </w:pPr>
            <w:r>
              <w:rPr>
                <w:rFonts w:ascii="Arial;Helvetica;Sans-Serif" w:hAnsi="Arial;Helvetica;Sans-Serif"/>
                <w:b/>
                <w:color w:val="7CBC3E"/>
                <w:sz w:val="72"/>
              </w:rPr>
              <w:t>33</w:t>
            </w:r>
            <w:r>
              <w:rPr>
                <w:rFonts w:ascii="Arial;Helvetica;Sans-Serif" w:hAnsi="Arial;Helvetica;Sans-Serif"/>
                <w:b/>
                <w:color w:val="7CBC3E"/>
                <w:sz w:val="36"/>
              </w:rPr>
              <w:t>%</w:t>
            </w:r>
            <w:r>
              <w:rPr>
                <w:sz w:val="24"/>
              </w:rPr>
              <w:br/>
            </w:r>
            <w:r>
              <w:rPr>
                <w:rFonts w:ascii="Arial;Helvetica;Sans-Serif" w:hAnsi="Arial;Helvetica;Sans-Serif"/>
                <w:sz w:val="32"/>
              </w:rPr>
              <w:t>increase</w:t>
              <w:br/>
              <w:t>Crysvita sales</w:t>
            </w:r>
          </w:p>
        </w:tc>
        <w:tc>
          <w:tcPr>
            <w:tcW w:w="60" w:type="dxa"/>
            <w:vMerge w:val="restart"/>
            <w:tcBorders/>
            <w:shd w:fill="auto" w:val="clear"/>
            <w:tcMar>
              <w:top w:w="0" w:type="dxa"/>
              <w:left w:w="0" w:type="dxa"/>
              <w:bottom w:w="0" w:type="dxa"/>
              <w:right w:w="0" w:type="dxa"/>
            </w:tcMar>
            <w:vAlign w:val="center"/>
          </w:tcPr>
          <w:p>
            <w:pPr>
              <w:pStyle w:val="TableContents"/>
              <w:spacing w:before="0" w:after="283"/>
              <w:rPr/>
            </w:pPr>
            <w:r>
              <w:rPr/>
              <w:t> </w:t>
            </w:r>
          </w:p>
        </w:tc>
        <w:tc>
          <w:tcPr>
            <w:tcW w:w="6700" w:type="dxa"/>
            <w:vMerge w:val="restart"/>
            <w:tcBorders/>
            <w:shd w:fill="auto" w:val="clear"/>
            <w:tcMar>
              <w:top w:w="0" w:type="dxa"/>
              <w:left w:w="0" w:type="dxa"/>
              <w:bottom w:w="0" w:type="dxa"/>
              <w:right w:w="0" w:type="dxa"/>
            </w:tcMar>
            <w:vAlign w:val="center"/>
          </w:tcPr>
          <w:p>
            <w:pPr>
              <w:pStyle w:val="TableContents"/>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Revenue</w:t>
            </w:r>
          </w:p>
          <w:p>
            <w:pPr>
              <w:pStyle w:val="TableContents"/>
              <w:rPr>
                <w:caps w:val="false"/>
                <w:smallCaps w:val="false"/>
              </w:rPr>
            </w:pPr>
            <w:r>
              <w:rPr>
                <w:caps w:val="false"/>
                <w:smallCaps w:val="false"/>
              </w:rPr>
              <w:t> </w:t>
            </w:r>
          </w:p>
          <w:p>
            <w:pPr>
              <w:pStyle w:val="TableContents"/>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achieved $363.3 million in total revenue during 2022 compared to total revenue of $351.4 million in 2021. We continued to achieve strong growth in product sales in 2022 compared to the prior year. Revenue from Crysvita</w:t>
            </w:r>
            <w:r>
              <w:rPr>
                <w:rFonts w:ascii="Arial;Helvetica;Sans-Serif" w:hAnsi="Arial;Helvetica;Sans-Serif"/>
                <w:b w:val="false"/>
                <w:i w:val="false"/>
                <w:caps w:val="false"/>
                <w:smallCaps w:val="false"/>
                <w:position w:val="6"/>
                <w:sz w:val="14"/>
                <w:sz w:val="18"/>
              </w:rPr>
              <w:t>®</w:t>
            </w:r>
            <w:r>
              <w:rPr>
                <w:rFonts w:ascii="Arial;Helvetica;Sans-Serif" w:hAnsi="Arial;Helvetica;Sans-Serif"/>
                <w:b w:val="false"/>
                <w:i w:val="false"/>
                <w:caps w:val="false"/>
                <w:smallCaps w:val="false"/>
                <w:sz w:val="18"/>
              </w:rPr>
              <w:t xml:space="preserve"> sales globally increased 33% from $210.8 million in the prior year to $279.4 million in 2022 and global revenue from Dojolvi</w:t>
            </w:r>
            <w:r>
              <w:rPr>
                <w:rFonts w:ascii="Arial;Helvetica;Sans-Serif" w:hAnsi="Arial;Helvetica;Sans-Serif"/>
                <w:b w:val="false"/>
                <w:i w:val="false"/>
                <w:caps w:val="false"/>
                <w:smallCaps w:val="false"/>
                <w:position w:val="6"/>
                <w:sz w:val="14"/>
                <w:sz w:val="18"/>
              </w:rPr>
              <w:t>®</w:t>
            </w:r>
            <w:r>
              <w:rPr>
                <w:rFonts w:ascii="Arial;Helvetica;Sans-Serif" w:hAnsi="Arial;Helvetica;Sans-Serif"/>
                <w:b w:val="false"/>
                <w:i w:val="false"/>
                <w:caps w:val="false"/>
                <w:smallCaps w:val="false"/>
                <w:sz w:val="18"/>
              </w:rPr>
              <w:t xml:space="preserve"> increased 41% from $39.6 million to $55.6 million in 2022. For the first time since product approval, combined global sales of Crysvita, including sales from our partner, Kyowa Kirin, exceeded $1.0 billion in 2022.</w:t>
            </w:r>
          </w:p>
        </w:tc>
      </w:tr>
      <w:tr>
        <w:trPr/>
        <w:tc>
          <w:tcPr>
            <w:tcW w:w="1340" w:type="dxa"/>
            <w:vMerge w:val="continue"/>
            <w:tcBorders>
              <w:top w:val="single" w:sz="12" w:space="0" w:color="7CBC3E"/>
              <w:left w:val="single" w:sz="12" w:space="0" w:color="7CBC3E"/>
              <w:bottom w:val="single" w:sz="12" w:space="0" w:color="7CBC3E"/>
              <w:right w:val="single" w:sz="12" w:space="0" w:color="7CBC3E"/>
            </w:tcBorders>
            <w:shd w:fill="auto" w:val="clear"/>
            <w:vAlign w:val="center"/>
          </w:tcPr>
          <w:p>
            <w:pPr>
              <w:pStyle w:val="Normal"/>
              <w:rPr/>
            </w:pPr>
            <w:r>
              <w:rPr/>
            </w:r>
          </w:p>
        </w:tc>
        <w:tc>
          <w:tcPr>
            <w:tcW w:w="60" w:type="dxa"/>
            <w:tcBorders/>
            <w:shd w:fill="auto" w:val="clear"/>
            <w:tcMar>
              <w:top w:w="0" w:type="dxa"/>
              <w:left w:w="0" w:type="dxa"/>
              <w:bottom w:w="0" w:type="dxa"/>
              <w:right w:w="0" w:type="dxa"/>
            </w:tcMar>
            <w:vAlign w:val="center"/>
          </w:tcPr>
          <w:p>
            <w:pPr>
              <w:pStyle w:val="TableContents"/>
              <w:spacing w:before="0" w:after="283"/>
              <w:rPr/>
            </w:pPr>
            <w:r>
              <w:rPr/>
              <w:t> </w:t>
            </w:r>
          </w:p>
        </w:tc>
        <w:tc>
          <w:tcPr>
            <w:tcW w:w="2045" w:type="dxa"/>
            <w:vMerge w:val="continue"/>
            <w:tcBorders>
              <w:top w:val="single" w:sz="12" w:space="0" w:color="7CBC3E"/>
              <w:left w:val="single" w:sz="12" w:space="0" w:color="7CBC3E"/>
              <w:bottom w:val="single" w:sz="12" w:space="0" w:color="7CBC3E"/>
              <w:right w:val="single" w:sz="12" w:space="0" w:color="7CBC3E"/>
            </w:tcBorders>
            <w:shd w:fill="auto" w:val="clear"/>
            <w:vAlign w:val="center"/>
          </w:tcPr>
          <w:p>
            <w:pPr>
              <w:pStyle w:val="Normal"/>
              <w:rPr/>
            </w:pPr>
            <w:r>
              <w:rPr/>
            </w:r>
          </w:p>
        </w:tc>
        <w:tc>
          <w:tcPr>
            <w:tcW w:w="60" w:type="dxa"/>
            <w:vMerge w:val="continue"/>
            <w:tcBorders/>
            <w:shd w:fill="auto" w:val="clear"/>
            <w:tcMar>
              <w:top w:w="0" w:type="dxa"/>
              <w:left w:w="0" w:type="dxa"/>
              <w:bottom w:w="0" w:type="dxa"/>
              <w:right w:w="0" w:type="dxa"/>
            </w:tcMar>
            <w:vAlign w:val="center"/>
          </w:tcPr>
          <w:p>
            <w:pPr>
              <w:pStyle w:val="Normal"/>
              <w:rPr/>
            </w:pPr>
            <w:r>
              <w:rPr/>
            </w:r>
          </w:p>
        </w:tc>
        <w:tc>
          <w:tcPr>
            <w:tcW w:w="6700" w:type="dxa"/>
            <w:vMerge w:val="continue"/>
            <w:tcBorders/>
            <w:shd w:fill="auto" w:val="clear"/>
            <w:tcMar>
              <w:top w:w="0" w:type="dxa"/>
              <w:left w:w="0" w:type="dxa"/>
              <w:bottom w:w="0" w:type="dxa"/>
              <w:right w:w="0" w:type="dxa"/>
            </w:tcMar>
            <w:vAlign w:val="center"/>
          </w:tcPr>
          <w:p>
            <w:pPr>
              <w:pStyle w:val="Normal"/>
              <w:rPr/>
            </w:pPr>
            <w:r>
              <w:rPr/>
            </w:r>
          </w:p>
        </w:tc>
      </w:tr>
    </w:tbl>
    <w:p>
      <w:pPr>
        <w:pStyle w:val="TextBody"/>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5</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Program Highlights and Other Achievements</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made important progress with the clinical development of our early and late-stage product candidates, enabling us to be in a position to expect data from some of our key clinical programs in 2023.</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also executed several strategic transactions in 2022, such as our collaboration agreement with Regeneron Pharmaceuticals, our license agreement with Abeona Therapeutics and our acquisition of GeneTx Biotherapeutics, that support our commercial and clinical pipeline. We also continued to make substantial progress on construction of our gene therapy manufacturing plant in Massachusetts and by the end of 2022, we had substantially completed the buildout of the plant.</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See page 46 for more information about our achievements in 2022.</w:t>
      </w:r>
    </w:p>
    <w:p>
      <w:pPr>
        <w:pStyle w:val="TextBody"/>
        <w:rPr>
          <w:caps w:val="false"/>
          <w:smallCaps w:val="false"/>
        </w:rPr>
      </w:pPr>
      <w:r>
        <w:rPr>
          <w:caps w:val="false"/>
          <w:smallCaps w:val="false"/>
        </w:rPr>
        <w:t> </w:t>
      </w:r>
    </w:p>
    <w:p>
      <w:pPr>
        <w:pStyle w:val="Heading3"/>
        <w:rPr>
          <w:rFonts w:ascii="Arial;Helvetica;Sans-Serif" w:hAnsi="Arial;Helvetica;Sans-Serif"/>
          <w:b/>
          <w:i w:val="false"/>
          <w:caps w:val="false"/>
          <w:smallCaps w:val="false"/>
          <w:sz w:val="28"/>
        </w:rPr>
      </w:pPr>
      <w:bookmarkStart w:id="6" w:name="lrarea004"/>
      <w:bookmarkEnd w:id="6"/>
      <w:r>
        <w:rPr>
          <w:rFonts w:ascii="Arial;Helvetica;Sans-Serif" w:hAnsi="Arial;Helvetica;Sans-Serif"/>
          <w:b/>
          <w:i w:val="false"/>
          <w:caps w:val="false"/>
          <w:smallCaps w:val="false"/>
          <w:sz w:val="28"/>
        </w:rPr>
        <w:t>Board of Directors</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provides summary information about each nominee for director at the Annual Meeting and our continuing directors, as of the date of this Proxy Statement.</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2227"/>
        <w:gridCol w:w="60"/>
        <w:gridCol w:w="365"/>
        <w:gridCol w:w="60"/>
        <w:gridCol w:w="2986"/>
        <w:gridCol w:w="60"/>
        <w:gridCol w:w="741"/>
        <w:gridCol w:w="60"/>
        <w:gridCol w:w="1175"/>
        <w:gridCol w:w="60"/>
        <w:gridCol w:w="1265"/>
        <w:gridCol w:w="60"/>
        <w:gridCol w:w="1086"/>
      </w:tblGrid>
      <w:tr>
        <w:trPr/>
        <w:tc>
          <w:tcPr>
            <w:tcW w:w="2227" w:type="dxa"/>
            <w:tcBorders>
              <w:bottom w:val="single" w:sz="12" w:space="0" w:color="7CBC3E"/>
            </w:tcBorders>
            <w:shd w:fill="auto" w:val="clear"/>
            <w:vAlign w:val="center"/>
          </w:tcPr>
          <w:p>
            <w:pPr>
              <w:pStyle w:val="TableContents"/>
              <w:spacing w:before="0" w:after="283"/>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Nominee/Director Name</w:t>
            </w:r>
          </w:p>
        </w:tc>
        <w:tc>
          <w:tcPr>
            <w:tcW w:w="60" w:type="dxa"/>
            <w:tcBorders>
              <w:bottom w:val="single" w:sz="12" w:space="0" w:color="7CBC3E"/>
            </w:tcBorders>
            <w:shd w:fill="auto" w:val="clear"/>
            <w:vAlign w:val="center"/>
          </w:tcPr>
          <w:p>
            <w:pPr>
              <w:pStyle w:val="TableContents"/>
              <w:spacing w:before="0" w:after="283"/>
              <w:rPr/>
            </w:pPr>
            <w:r>
              <w:rPr/>
              <w:t> </w:t>
            </w:r>
          </w:p>
        </w:tc>
        <w:tc>
          <w:tcPr>
            <w:tcW w:w="365" w:type="dxa"/>
            <w:tcBorders>
              <w:bottom w:val="single" w:sz="12" w:space="0" w:color="7CBC3E"/>
            </w:tcBorders>
            <w:shd w:fill="auto" w:val="clear"/>
            <w:vAlign w:val="center"/>
          </w:tcPr>
          <w:p>
            <w:pPr>
              <w:pStyle w:val="TableContents"/>
              <w:spacing w:before="0" w:after="283"/>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Age</w:t>
            </w:r>
          </w:p>
        </w:tc>
        <w:tc>
          <w:tcPr>
            <w:tcW w:w="60" w:type="dxa"/>
            <w:tcBorders>
              <w:bottom w:val="single" w:sz="12" w:space="0" w:color="7CBC3E"/>
            </w:tcBorders>
            <w:shd w:fill="auto" w:val="clear"/>
            <w:vAlign w:val="center"/>
          </w:tcPr>
          <w:p>
            <w:pPr>
              <w:pStyle w:val="TableContents"/>
              <w:spacing w:before="0" w:after="283"/>
              <w:rPr/>
            </w:pPr>
            <w:r>
              <w:rPr/>
              <w:t> </w:t>
            </w:r>
          </w:p>
        </w:tc>
        <w:tc>
          <w:tcPr>
            <w:tcW w:w="2986" w:type="dxa"/>
            <w:tcBorders>
              <w:bottom w:val="single" w:sz="12" w:space="0" w:color="7CBC3E"/>
            </w:tcBorders>
            <w:shd w:fill="auto" w:val="clear"/>
            <w:vAlign w:val="center"/>
          </w:tcPr>
          <w:p>
            <w:pPr>
              <w:pStyle w:val="TableContents"/>
              <w:spacing w:before="0" w:after="283"/>
              <w:jc w:val="left"/>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Principal Occupation</w:t>
            </w:r>
          </w:p>
        </w:tc>
        <w:tc>
          <w:tcPr>
            <w:tcW w:w="60" w:type="dxa"/>
            <w:tcBorders>
              <w:bottom w:val="single" w:sz="12" w:space="0" w:color="7CBC3E"/>
            </w:tcBorders>
            <w:shd w:fill="auto" w:val="clear"/>
            <w:vAlign w:val="center"/>
          </w:tcPr>
          <w:p>
            <w:pPr>
              <w:pStyle w:val="TableContents"/>
              <w:spacing w:before="0" w:after="283"/>
              <w:rPr/>
            </w:pPr>
            <w:r>
              <w:rPr/>
              <w:t> </w:t>
            </w:r>
          </w:p>
        </w:tc>
        <w:tc>
          <w:tcPr>
            <w:tcW w:w="741"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 xml:space="preserve">Director </w:t>
              <w:br/>
              <w:t>Since</w:t>
            </w:r>
          </w:p>
        </w:tc>
        <w:tc>
          <w:tcPr>
            <w:tcW w:w="60" w:type="dxa"/>
            <w:tcBorders>
              <w:bottom w:val="single" w:sz="12" w:space="0" w:color="7CBC3E"/>
            </w:tcBorders>
            <w:shd w:fill="auto" w:val="clear"/>
            <w:vAlign w:val="center"/>
          </w:tcPr>
          <w:p>
            <w:pPr>
              <w:pStyle w:val="TableContents"/>
              <w:spacing w:before="0" w:after="283"/>
              <w:rPr/>
            </w:pPr>
            <w:r>
              <w:rPr/>
              <w:t> </w:t>
            </w:r>
          </w:p>
        </w:tc>
        <w:tc>
          <w:tcPr>
            <w:tcW w:w="1175"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 xml:space="preserve">Year Current </w:t>
              <w:br/>
              <w:t>Term Expires</w:t>
            </w:r>
          </w:p>
        </w:tc>
        <w:tc>
          <w:tcPr>
            <w:tcW w:w="60" w:type="dxa"/>
            <w:tcBorders>
              <w:bottom w:val="single" w:sz="12" w:space="0" w:color="7CBC3E"/>
            </w:tcBorders>
            <w:shd w:fill="auto" w:val="clear"/>
            <w:vAlign w:val="center"/>
          </w:tcPr>
          <w:p>
            <w:pPr>
              <w:pStyle w:val="TableContents"/>
              <w:spacing w:before="0" w:after="283"/>
              <w:rPr/>
            </w:pPr>
            <w:r>
              <w:rPr/>
              <w:t> </w:t>
            </w:r>
          </w:p>
        </w:tc>
        <w:tc>
          <w:tcPr>
            <w:tcW w:w="1265"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Current</w:t>
              <w:br/>
              <w:t>Director Class</w:t>
            </w:r>
          </w:p>
        </w:tc>
        <w:tc>
          <w:tcPr>
            <w:tcW w:w="60" w:type="dxa"/>
            <w:tcBorders>
              <w:bottom w:val="single" w:sz="12" w:space="0" w:color="7CBC3E"/>
            </w:tcBorders>
            <w:shd w:fill="auto" w:val="clear"/>
            <w:vAlign w:val="center"/>
          </w:tcPr>
          <w:p>
            <w:pPr>
              <w:pStyle w:val="TableContents"/>
              <w:spacing w:before="0" w:after="283"/>
              <w:rPr/>
            </w:pPr>
            <w:r>
              <w:rPr/>
              <w:t> </w:t>
            </w:r>
          </w:p>
        </w:tc>
        <w:tc>
          <w:tcPr>
            <w:tcW w:w="1086" w:type="dxa"/>
            <w:tcBorders>
              <w:bottom w:val="single" w:sz="12" w:space="0" w:color="7CBC3E"/>
            </w:tcBorders>
            <w:shd w:fill="auto" w:val="clear"/>
            <w:vAlign w:val="center"/>
          </w:tcPr>
          <w:p>
            <w:pPr>
              <w:pStyle w:val="TableContents"/>
              <w:spacing w:before="0" w:after="283"/>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Independent</w:t>
            </w:r>
          </w:p>
        </w:tc>
      </w:tr>
      <w:tr>
        <w:trPr/>
        <w:tc>
          <w:tcPr>
            <w:tcW w:w="2227"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i/>
                <w:caps w:val="false"/>
                <w:smallCaps w:val="false"/>
                <w:sz w:val="18"/>
              </w:rPr>
            </w:pPr>
            <w:r>
              <w:rPr>
                <w:rFonts w:ascii="Arial;Helvetica;Sans-Serif" w:hAnsi="Arial;Helvetica;Sans-Serif"/>
                <w:b/>
                <w:i/>
                <w:caps w:val="false"/>
                <w:smallCaps w:val="false"/>
                <w:sz w:val="18"/>
              </w:rPr>
              <w:t>Director Nominees</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365" w:type="dxa"/>
            <w:tcBorders>
              <w:bottom w:val="dotted" w:sz="2" w:space="0" w:color="000000"/>
            </w:tcBorders>
            <w:shd w:fill="auto" w:val="clear"/>
            <w:tcMar>
              <w:bottom w:w="60" w:type="dxa"/>
            </w:tcMar>
            <w:vAlign w:val="center"/>
          </w:tcPr>
          <w:p>
            <w:pPr>
              <w:pStyle w:val="TableContents"/>
              <w:spacing w:before="0" w:after="283"/>
              <w:rPr/>
            </w:pPr>
            <w:r>
              <w:rPr/>
              <w:t> </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2986" w:type="dxa"/>
            <w:tcBorders>
              <w:bottom w:val="dotted" w:sz="2" w:space="0" w:color="000000"/>
            </w:tcBorders>
            <w:shd w:fill="auto" w:val="clear"/>
            <w:tcMar>
              <w:bottom w:w="60" w:type="dxa"/>
            </w:tcMar>
            <w:vAlign w:val="center"/>
          </w:tcPr>
          <w:p>
            <w:pPr>
              <w:pStyle w:val="TableContents"/>
              <w:spacing w:before="0" w:after="283"/>
              <w:rPr/>
            </w:pPr>
            <w:r>
              <w:rPr/>
              <w:t> </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741"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1175"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1265"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60" w:type="dxa"/>
            <w:tcBorders>
              <w:bottom w:val="dotted" w:sz="2" w:space="0" w:color="000000"/>
            </w:tcBorders>
            <w:shd w:fill="auto" w:val="clear"/>
            <w:vAlign w:val="center"/>
          </w:tcPr>
          <w:p>
            <w:pPr>
              <w:pStyle w:val="TableContents"/>
              <w:spacing w:before="0" w:after="283"/>
              <w:rPr/>
            </w:pPr>
            <w:r>
              <w:rPr/>
              <w:t> </w:t>
            </w:r>
          </w:p>
        </w:tc>
        <w:tc>
          <w:tcPr>
            <w:tcW w:w="1086" w:type="dxa"/>
            <w:tcBorders>
              <w:bottom w:val="dotted" w:sz="2" w:space="0" w:color="000000"/>
            </w:tcBorders>
            <w:shd w:fill="auto" w:val="clear"/>
            <w:vAlign w:val="center"/>
          </w:tcPr>
          <w:p>
            <w:pPr>
              <w:pStyle w:val="TableContents"/>
              <w:spacing w:before="0" w:after="283"/>
              <w:rPr/>
            </w:pPr>
            <w:r>
              <w:rPr/>
              <w:t> </w:t>
            </w:r>
          </w:p>
        </w:tc>
      </w:tr>
      <w:tr>
        <w:trPr/>
        <w:tc>
          <w:tcPr>
            <w:tcW w:w="2227"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Emil D. Kakkis, M.D., Ph.D.</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3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62</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2986"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President and Chief Executive Officer, Ultragenyx</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741"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2010</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17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2023</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2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w:t>
            </w:r>
          </w:p>
        </w:tc>
        <w:tc>
          <w:tcPr>
            <w:tcW w:w="60" w:type="dxa"/>
            <w:tcBorders>
              <w:bottom w:val="dotted" w:sz="2" w:space="0" w:color="000000"/>
            </w:tcBorders>
            <w:shd w:fill="auto" w:val="clear"/>
            <w:vAlign w:val="center"/>
          </w:tcPr>
          <w:p>
            <w:pPr>
              <w:pStyle w:val="TableContents"/>
              <w:spacing w:before="0" w:after="283"/>
              <w:jc w:val="center"/>
              <w:rPr/>
            </w:pPr>
            <w:r>
              <w:rPr/>
              <w:t> </w:t>
            </w:r>
          </w:p>
        </w:tc>
        <w:tc>
          <w:tcPr>
            <w:tcW w:w="1086" w:type="dxa"/>
            <w:tcBorders>
              <w:bottom w:val="dotted" w:sz="2" w:space="0" w:color="000000"/>
            </w:tcBorders>
            <w:shd w:fill="auto" w:val="clear"/>
            <w:vAlign w:val="center"/>
          </w:tcPr>
          <w:p>
            <w:pPr>
              <w:pStyle w:val="TableContents"/>
              <w:spacing w:before="0" w:after="283"/>
              <w:jc w:val="center"/>
              <w:rPr/>
            </w:pPr>
            <w:r>
              <w:rPr/>
              <w:drawing>
                <wp:inline distT="0" distB="0" distL="0" distR="0">
                  <wp:extent cx="180975" cy="2000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80975" cy="200025"/>
                          </a:xfrm>
                          <a:prstGeom prst="rect">
                            <a:avLst/>
                          </a:prstGeom>
                        </pic:spPr>
                      </pic:pic>
                    </a:graphicData>
                  </a:graphic>
                </wp:inline>
              </w:drawing>
            </w:r>
          </w:p>
        </w:tc>
      </w:tr>
      <w:tr>
        <w:trPr/>
        <w:tc>
          <w:tcPr>
            <w:tcW w:w="2227"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Shehnaaz Suliman, M.D.</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3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51</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2986"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Chief Executive Officer of ReCode Therapeutics</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741"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2019</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17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2023</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2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w:t>
            </w:r>
          </w:p>
        </w:tc>
        <w:tc>
          <w:tcPr>
            <w:tcW w:w="60" w:type="dxa"/>
            <w:tcBorders>
              <w:bottom w:val="dotted" w:sz="2" w:space="0" w:color="000000"/>
            </w:tcBorders>
            <w:shd w:fill="auto" w:val="clear"/>
            <w:vAlign w:val="center"/>
          </w:tcPr>
          <w:p>
            <w:pPr>
              <w:pStyle w:val="TableContents"/>
              <w:spacing w:before="0" w:after="283"/>
              <w:jc w:val="center"/>
              <w:rPr/>
            </w:pPr>
            <w:r>
              <w:rPr/>
              <w:t> </w:t>
            </w:r>
          </w:p>
        </w:tc>
        <w:tc>
          <w:tcPr>
            <w:tcW w:w="1086" w:type="dxa"/>
            <w:tcBorders>
              <w:bottom w:val="dotted" w:sz="2" w:space="0" w:color="000000"/>
            </w:tcBorders>
            <w:shd w:fill="auto" w:val="clear"/>
            <w:vAlign w:val="center"/>
          </w:tcPr>
          <w:p>
            <w:pPr>
              <w:pStyle w:val="TableContents"/>
              <w:spacing w:before="0" w:after="283"/>
              <w:jc w:val="center"/>
              <w:rPr/>
            </w:pPr>
            <w:r>
              <w:rPr/>
              <w:drawing>
                <wp:inline distT="0" distB="0" distL="0" distR="0">
                  <wp:extent cx="161925" cy="171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61925" cy="171450"/>
                          </a:xfrm>
                          <a:prstGeom prst="rect">
                            <a:avLst/>
                          </a:prstGeom>
                        </pic:spPr>
                      </pic:pic>
                    </a:graphicData>
                  </a:graphic>
                </wp:inline>
              </w:drawing>
            </w:r>
          </w:p>
        </w:tc>
      </w:tr>
      <w:tr>
        <w:trPr/>
        <w:tc>
          <w:tcPr>
            <w:tcW w:w="2227"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Daniel G. Welch</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3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65</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2986"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 Chairman and board member to various biotechnology companies</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741"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2015</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17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2023</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2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w:t>
            </w:r>
          </w:p>
        </w:tc>
        <w:tc>
          <w:tcPr>
            <w:tcW w:w="60" w:type="dxa"/>
            <w:tcBorders>
              <w:bottom w:val="dotted" w:sz="2" w:space="0" w:color="000000"/>
            </w:tcBorders>
            <w:shd w:fill="auto" w:val="clear"/>
            <w:vAlign w:val="center"/>
          </w:tcPr>
          <w:p>
            <w:pPr>
              <w:pStyle w:val="TableContents"/>
              <w:spacing w:before="0" w:after="283"/>
              <w:jc w:val="center"/>
              <w:rPr/>
            </w:pPr>
            <w:r>
              <w:rPr/>
              <w:t> </w:t>
            </w:r>
          </w:p>
        </w:tc>
        <w:tc>
          <w:tcPr>
            <w:tcW w:w="1086" w:type="dxa"/>
            <w:tcBorders>
              <w:bottom w:val="dotted" w:sz="2" w:space="0" w:color="000000"/>
            </w:tcBorders>
            <w:shd w:fill="auto" w:val="clear"/>
            <w:vAlign w:val="center"/>
          </w:tcPr>
          <w:p>
            <w:pPr>
              <w:pStyle w:val="TableContents"/>
              <w:spacing w:before="0" w:after="283"/>
              <w:jc w:val="center"/>
              <w:rPr/>
            </w:pPr>
            <w:r>
              <w:rPr/>
              <w:drawing>
                <wp:inline distT="0" distB="0" distL="0" distR="0">
                  <wp:extent cx="161925" cy="1714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61925" cy="171450"/>
                          </a:xfrm>
                          <a:prstGeom prst="rect">
                            <a:avLst/>
                          </a:prstGeom>
                        </pic:spPr>
                      </pic:pic>
                    </a:graphicData>
                  </a:graphic>
                </wp:inline>
              </w:drawing>
            </w:r>
          </w:p>
        </w:tc>
      </w:tr>
      <w:tr>
        <w:trPr/>
        <w:tc>
          <w:tcPr>
            <w:tcW w:w="2227"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i/>
                <w:caps w:val="false"/>
                <w:smallCaps w:val="false"/>
                <w:sz w:val="18"/>
              </w:rPr>
            </w:pPr>
            <w:r>
              <w:rPr>
                <w:rFonts w:ascii="Arial;Helvetica;Sans-Serif" w:hAnsi="Arial;Helvetica;Sans-Serif"/>
                <w:b/>
                <w:i/>
                <w:caps w:val="false"/>
                <w:smallCaps w:val="false"/>
                <w:sz w:val="18"/>
              </w:rPr>
              <w:t>Continuing Directors</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365"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2986" w:type="dxa"/>
            <w:tcBorders>
              <w:bottom w:val="dotted" w:sz="2" w:space="0" w:color="000000"/>
            </w:tcBorders>
            <w:shd w:fill="auto" w:val="clear"/>
            <w:tcMar>
              <w:bottom w:w="60" w:type="dxa"/>
            </w:tcMar>
            <w:vAlign w:val="center"/>
          </w:tcPr>
          <w:p>
            <w:pPr>
              <w:pStyle w:val="TableContents"/>
              <w:spacing w:before="0" w:after="283"/>
              <w:rPr/>
            </w:pPr>
            <w:r>
              <w:rPr/>
              <w:t> </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741"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175"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265"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60" w:type="dxa"/>
            <w:tcBorders>
              <w:bottom w:val="dotted" w:sz="2" w:space="0" w:color="000000"/>
            </w:tcBorders>
            <w:shd w:fill="auto" w:val="clear"/>
            <w:vAlign w:val="center"/>
          </w:tcPr>
          <w:p>
            <w:pPr>
              <w:pStyle w:val="TableContents"/>
              <w:spacing w:before="0" w:after="283"/>
              <w:jc w:val="center"/>
              <w:rPr/>
            </w:pPr>
            <w:r>
              <w:rPr/>
              <w:t> </w:t>
            </w:r>
          </w:p>
        </w:tc>
        <w:tc>
          <w:tcPr>
            <w:tcW w:w="1086" w:type="dxa"/>
            <w:tcBorders>
              <w:bottom w:val="dotted" w:sz="2" w:space="0" w:color="000000"/>
            </w:tcBorders>
            <w:shd w:fill="auto" w:val="clear"/>
            <w:vAlign w:val="center"/>
          </w:tcPr>
          <w:p>
            <w:pPr>
              <w:pStyle w:val="TableContents"/>
              <w:spacing w:before="0" w:after="283"/>
              <w:jc w:val="center"/>
              <w:rPr/>
            </w:pPr>
            <w:r>
              <w:rPr/>
              <w:t> </w:t>
            </w:r>
          </w:p>
        </w:tc>
      </w:tr>
      <w:tr>
        <w:trPr/>
        <w:tc>
          <w:tcPr>
            <w:tcW w:w="2227"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Deborah Dunsire, M.D.</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3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60</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2986"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President and CEO of H. Lundbeck A/S</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741"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2017</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17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2024</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2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II</w:t>
            </w:r>
          </w:p>
        </w:tc>
        <w:tc>
          <w:tcPr>
            <w:tcW w:w="60" w:type="dxa"/>
            <w:tcBorders>
              <w:bottom w:val="dotted" w:sz="2" w:space="0" w:color="000000"/>
            </w:tcBorders>
            <w:shd w:fill="auto" w:val="clear"/>
            <w:vAlign w:val="center"/>
          </w:tcPr>
          <w:p>
            <w:pPr>
              <w:pStyle w:val="TableContents"/>
              <w:spacing w:before="0" w:after="283"/>
              <w:jc w:val="center"/>
              <w:rPr/>
            </w:pPr>
            <w:r>
              <w:rPr/>
              <w:t> </w:t>
            </w:r>
          </w:p>
        </w:tc>
        <w:tc>
          <w:tcPr>
            <w:tcW w:w="1086" w:type="dxa"/>
            <w:tcBorders>
              <w:bottom w:val="dotted" w:sz="2" w:space="0" w:color="000000"/>
            </w:tcBorders>
            <w:shd w:fill="auto" w:val="clear"/>
            <w:vAlign w:val="center"/>
          </w:tcPr>
          <w:p>
            <w:pPr>
              <w:pStyle w:val="TableContents"/>
              <w:spacing w:before="0" w:after="283"/>
              <w:jc w:val="center"/>
              <w:rPr/>
            </w:pPr>
            <w:r>
              <w:rPr/>
              <w:drawing>
                <wp:inline distT="0" distB="0" distL="0" distR="0">
                  <wp:extent cx="161925" cy="171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61925" cy="171450"/>
                          </a:xfrm>
                          <a:prstGeom prst="rect">
                            <a:avLst/>
                          </a:prstGeom>
                        </pic:spPr>
                      </pic:pic>
                    </a:graphicData>
                  </a:graphic>
                </wp:inline>
              </w:drawing>
            </w:r>
          </w:p>
        </w:tc>
      </w:tr>
      <w:tr>
        <w:trPr/>
        <w:tc>
          <w:tcPr>
            <w:tcW w:w="2227"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Michael Narachi</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3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63</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2986"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member and advisor to various life science companies</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741"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2015</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17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2024</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2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II</w:t>
            </w:r>
          </w:p>
        </w:tc>
        <w:tc>
          <w:tcPr>
            <w:tcW w:w="60" w:type="dxa"/>
            <w:tcBorders>
              <w:bottom w:val="dotted" w:sz="2" w:space="0" w:color="000000"/>
            </w:tcBorders>
            <w:shd w:fill="auto" w:val="clear"/>
            <w:vAlign w:val="center"/>
          </w:tcPr>
          <w:p>
            <w:pPr>
              <w:pStyle w:val="TableContents"/>
              <w:spacing w:before="0" w:after="283"/>
              <w:jc w:val="center"/>
              <w:rPr/>
            </w:pPr>
            <w:r>
              <w:rPr/>
              <w:t> </w:t>
            </w:r>
          </w:p>
        </w:tc>
        <w:tc>
          <w:tcPr>
            <w:tcW w:w="1086" w:type="dxa"/>
            <w:tcBorders>
              <w:bottom w:val="dotted" w:sz="2" w:space="0" w:color="000000"/>
            </w:tcBorders>
            <w:shd w:fill="auto" w:val="clear"/>
            <w:vAlign w:val="center"/>
          </w:tcPr>
          <w:p>
            <w:pPr>
              <w:pStyle w:val="TableContents"/>
              <w:spacing w:before="0" w:after="283"/>
              <w:jc w:val="center"/>
              <w:rPr/>
            </w:pPr>
            <w:r>
              <w:rPr/>
              <w:drawing>
                <wp:inline distT="0" distB="0" distL="0" distR="0">
                  <wp:extent cx="161925" cy="1714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61925" cy="171450"/>
                          </a:xfrm>
                          <a:prstGeom prst="rect">
                            <a:avLst/>
                          </a:prstGeom>
                        </pic:spPr>
                      </pic:pic>
                    </a:graphicData>
                  </a:graphic>
                </wp:inline>
              </w:drawing>
            </w:r>
          </w:p>
        </w:tc>
      </w:tr>
      <w:tr>
        <w:trPr/>
        <w:tc>
          <w:tcPr>
            <w:tcW w:w="2227"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Corsee D. Sanders, Ph.D.</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3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66</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2986"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member and advisor to various life science companies</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741"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2021</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17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2024</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2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II</w:t>
            </w:r>
          </w:p>
        </w:tc>
        <w:tc>
          <w:tcPr>
            <w:tcW w:w="60" w:type="dxa"/>
            <w:tcBorders>
              <w:bottom w:val="dotted" w:sz="2" w:space="0" w:color="000000"/>
            </w:tcBorders>
            <w:shd w:fill="auto" w:val="clear"/>
            <w:vAlign w:val="center"/>
          </w:tcPr>
          <w:p>
            <w:pPr>
              <w:pStyle w:val="TableContents"/>
              <w:spacing w:before="0" w:after="283"/>
              <w:jc w:val="center"/>
              <w:rPr/>
            </w:pPr>
            <w:r>
              <w:rPr/>
              <w:t> </w:t>
            </w:r>
          </w:p>
        </w:tc>
        <w:tc>
          <w:tcPr>
            <w:tcW w:w="1086" w:type="dxa"/>
            <w:tcBorders>
              <w:bottom w:val="dotted" w:sz="2" w:space="0" w:color="000000"/>
            </w:tcBorders>
            <w:shd w:fill="auto" w:val="clear"/>
            <w:vAlign w:val="center"/>
          </w:tcPr>
          <w:p>
            <w:pPr>
              <w:pStyle w:val="TableContents"/>
              <w:spacing w:before="0" w:after="283"/>
              <w:jc w:val="center"/>
              <w:rPr/>
            </w:pPr>
            <w:r>
              <w:rPr/>
              <w:drawing>
                <wp:inline distT="0" distB="0" distL="0" distR="0">
                  <wp:extent cx="161925" cy="1714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61925" cy="171450"/>
                          </a:xfrm>
                          <a:prstGeom prst="rect">
                            <a:avLst/>
                          </a:prstGeom>
                        </pic:spPr>
                      </pic:pic>
                    </a:graphicData>
                  </a:graphic>
                </wp:inline>
              </w:drawing>
            </w:r>
          </w:p>
        </w:tc>
      </w:tr>
      <w:tr>
        <w:trPr/>
        <w:tc>
          <w:tcPr>
            <w:tcW w:w="2227"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Lars Ekman, M.D., Ph.D.</w:t>
            </w:r>
            <w:r>
              <w:rPr>
                <w:rFonts w:ascii="Arial;Helvetica;Sans-Serif" w:hAnsi="Arial;Helvetica;Sans-Serif"/>
                <w:b/>
                <w:i w:val="false"/>
                <w:caps w:val="false"/>
                <w:smallCaps w:val="false"/>
                <w:position w:val="6"/>
                <w:sz w:val="14"/>
                <w:sz w:val="18"/>
              </w:rPr>
              <w:t>(1)</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3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73</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2986"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 Partner at Sofinnova</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741"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2016</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17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2025</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2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III</w:t>
            </w:r>
          </w:p>
        </w:tc>
        <w:tc>
          <w:tcPr>
            <w:tcW w:w="60" w:type="dxa"/>
            <w:tcBorders>
              <w:bottom w:val="dotted" w:sz="2" w:space="0" w:color="000000"/>
            </w:tcBorders>
            <w:shd w:fill="auto" w:val="clear"/>
            <w:vAlign w:val="center"/>
          </w:tcPr>
          <w:p>
            <w:pPr>
              <w:pStyle w:val="TableContents"/>
              <w:spacing w:before="0" w:after="283"/>
              <w:jc w:val="center"/>
              <w:rPr/>
            </w:pPr>
            <w:r>
              <w:rPr/>
              <w:t> </w:t>
            </w:r>
          </w:p>
        </w:tc>
        <w:tc>
          <w:tcPr>
            <w:tcW w:w="1086" w:type="dxa"/>
            <w:tcBorders>
              <w:bottom w:val="dotted" w:sz="2" w:space="0" w:color="000000"/>
            </w:tcBorders>
            <w:shd w:fill="auto" w:val="clear"/>
            <w:vAlign w:val="center"/>
          </w:tcPr>
          <w:p>
            <w:pPr>
              <w:pStyle w:val="TableContents"/>
              <w:spacing w:before="0" w:after="283"/>
              <w:jc w:val="center"/>
              <w:rPr/>
            </w:pPr>
            <w:r>
              <w:rPr/>
              <w:drawing>
                <wp:inline distT="0" distB="0" distL="0" distR="0">
                  <wp:extent cx="161925" cy="1714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61925" cy="171450"/>
                          </a:xfrm>
                          <a:prstGeom prst="rect">
                            <a:avLst/>
                          </a:prstGeom>
                        </pic:spPr>
                      </pic:pic>
                    </a:graphicData>
                  </a:graphic>
                </wp:inline>
              </w:drawing>
            </w:r>
          </w:p>
        </w:tc>
      </w:tr>
      <w:tr>
        <w:trPr/>
        <w:tc>
          <w:tcPr>
            <w:tcW w:w="2227"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Matthew K. Fust</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3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58</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2986" w:type="dxa"/>
            <w:tcBorders>
              <w:bottom w:val="dotted" w:sz="2" w:space="0" w:color="000000"/>
            </w:tcBorders>
            <w:shd w:fill="auto" w:val="clear"/>
            <w:tcMar>
              <w:bottom w:w="6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member and advisor to various life science companies</w:t>
            </w:r>
          </w:p>
        </w:tc>
        <w:tc>
          <w:tcPr>
            <w:tcW w:w="60" w:type="dxa"/>
            <w:tcBorders>
              <w:bottom w:val="dotted" w:sz="2" w:space="0" w:color="000000"/>
            </w:tcBorders>
            <w:shd w:fill="auto" w:val="clear"/>
            <w:tcMar>
              <w:bottom w:w="60" w:type="dxa"/>
            </w:tcMar>
            <w:vAlign w:val="center"/>
          </w:tcPr>
          <w:p>
            <w:pPr>
              <w:pStyle w:val="TableContents"/>
              <w:spacing w:before="0" w:after="283"/>
              <w:rPr/>
            </w:pPr>
            <w:r>
              <w:rPr/>
              <w:t> </w:t>
            </w:r>
          </w:p>
        </w:tc>
        <w:tc>
          <w:tcPr>
            <w:tcW w:w="741"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2014</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17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2025</w:t>
            </w:r>
          </w:p>
        </w:tc>
        <w:tc>
          <w:tcPr>
            <w:tcW w:w="60" w:type="dxa"/>
            <w:tcBorders>
              <w:bottom w:val="dotted" w:sz="2" w:space="0" w:color="000000"/>
            </w:tcBorders>
            <w:shd w:fill="auto" w:val="clear"/>
            <w:tcMar>
              <w:bottom w:w="60" w:type="dxa"/>
            </w:tcMar>
            <w:vAlign w:val="center"/>
          </w:tcPr>
          <w:p>
            <w:pPr>
              <w:pStyle w:val="TableContents"/>
              <w:spacing w:before="0" w:after="283"/>
              <w:jc w:val="center"/>
              <w:rPr/>
            </w:pPr>
            <w:r>
              <w:rPr/>
              <w:t> </w:t>
            </w:r>
          </w:p>
        </w:tc>
        <w:tc>
          <w:tcPr>
            <w:tcW w:w="1265" w:type="dxa"/>
            <w:tcBorders>
              <w:bottom w:val="dotted" w:sz="2" w:space="0" w:color="000000"/>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III</w:t>
            </w:r>
          </w:p>
        </w:tc>
        <w:tc>
          <w:tcPr>
            <w:tcW w:w="60" w:type="dxa"/>
            <w:tcBorders>
              <w:bottom w:val="dotted" w:sz="2" w:space="0" w:color="000000"/>
            </w:tcBorders>
            <w:shd w:fill="auto" w:val="clear"/>
            <w:vAlign w:val="center"/>
          </w:tcPr>
          <w:p>
            <w:pPr>
              <w:pStyle w:val="TableContents"/>
              <w:spacing w:before="0" w:after="283"/>
              <w:jc w:val="center"/>
              <w:rPr/>
            </w:pPr>
            <w:r>
              <w:rPr/>
              <w:t> </w:t>
            </w:r>
          </w:p>
        </w:tc>
        <w:tc>
          <w:tcPr>
            <w:tcW w:w="1086" w:type="dxa"/>
            <w:tcBorders>
              <w:bottom w:val="dotted" w:sz="2" w:space="0" w:color="000000"/>
            </w:tcBorders>
            <w:shd w:fill="auto" w:val="clear"/>
            <w:vAlign w:val="center"/>
          </w:tcPr>
          <w:p>
            <w:pPr>
              <w:pStyle w:val="TableContents"/>
              <w:spacing w:before="0" w:after="283"/>
              <w:jc w:val="center"/>
              <w:rPr/>
            </w:pPr>
            <w:r>
              <w:rPr/>
              <w:drawing>
                <wp:inline distT="0" distB="0" distL="0" distR="0">
                  <wp:extent cx="161925" cy="1714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61925" cy="171450"/>
                          </a:xfrm>
                          <a:prstGeom prst="rect">
                            <a:avLst/>
                          </a:prstGeom>
                        </pic:spPr>
                      </pic:pic>
                    </a:graphicData>
                  </a:graphic>
                </wp:inline>
              </w:drawing>
            </w:r>
          </w:p>
        </w:tc>
      </w:tr>
      <w:tr>
        <w:trPr/>
        <w:tc>
          <w:tcPr>
            <w:tcW w:w="2227" w:type="dxa"/>
            <w:tcBorders>
              <w:bottom w:val="single" w:sz="12" w:space="0" w:color="7CBC3E"/>
            </w:tcBorders>
            <w:shd w:fill="auto" w:val="clear"/>
            <w:tcMar>
              <w:bottom w:w="6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Amrit Ray, M.D.</w:t>
            </w:r>
          </w:p>
        </w:tc>
        <w:tc>
          <w:tcPr>
            <w:tcW w:w="60" w:type="dxa"/>
            <w:tcBorders>
              <w:bottom w:val="single" w:sz="12" w:space="0" w:color="7CBC3E"/>
            </w:tcBorders>
            <w:shd w:fill="auto" w:val="clear"/>
            <w:tcMar>
              <w:bottom w:w="60" w:type="dxa"/>
            </w:tcMar>
            <w:vAlign w:val="center"/>
          </w:tcPr>
          <w:p>
            <w:pPr>
              <w:pStyle w:val="TableContents"/>
              <w:spacing w:before="0" w:after="283"/>
              <w:rPr/>
            </w:pPr>
            <w:r>
              <w:rPr/>
              <w:t> </w:t>
            </w:r>
          </w:p>
        </w:tc>
        <w:tc>
          <w:tcPr>
            <w:tcW w:w="365" w:type="dxa"/>
            <w:tcBorders>
              <w:bottom w:val="single" w:sz="12" w:space="0" w:color="7CBC3E"/>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50</w:t>
            </w:r>
          </w:p>
        </w:tc>
        <w:tc>
          <w:tcPr>
            <w:tcW w:w="60" w:type="dxa"/>
            <w:tcBorders>
              <w:bottom w:val="single" w:sz="12" w:space="0" w:color="7CBC3E"/>
            </w:tcBorders>
            <w:shd w:fill="auto" w:val="clear"/>
            <w:tcMar>
              <w:bottom w:w="60" w:type="dxa"/>
            </w:tcMar>
            <w:vAlign w:val="center"/>
          </w:tcPr>
          <w:p>
            <w:pPr>
              <w:pStyle w:val="TableContents"/>
              <w:spacing w:before="0" w:after="283"/>
              <w:rPr/>
            </w:pPr>
            <w:r>
              <w:rPr/>
              <w:t> </w:t>
            </w:r>
          </w:p>
        </w:tc>
        <w:tc>
          <w:tcPr>
            <w:tcW w:w="2986" w:type="dxa"/>
            <w:tcBorders>
              <w:bottom w:val="single" w:sz="12" w:space="0" w:color="7CBC3E"/>
            </w:tcBorders>
            <w:shd w:fill="auto" w:val="clear"/>
            <w:tcMar>
              <w:bottom w:w="6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member and advisor to various life science companies</w:t>
            </w:r>
          </w:p>
        </w:tc>
        <w:tc>
          <w:tcPr>
            <w:tcW w:w="60" w:type="dxa"/>
            <w:tcBorders>
              <w:bottom w:val="single" w:sz="12" w:space="0" w:color="7CBC3E"/>
            </w:tcBorders>
            <w:shd w:fill="auto" w:val="clear"/>
            <w:tcMar>
              <w:bottom w:w="60" w:type="dxa"/>
            </w:tcMar>
            <w:vAlign w:val="center"/>
          </w:tcPr>
          <w:p>
            <w:pPr>
              <w:pStyle w:val="TableContents"/>
              <w:spacing w:before="0" w:after="283"/>
              <w:rPr/>
            </w:pPr>
            <w:r>
              <w:rPr/>
              <w:t> </w:t>
            </w:r>
          </w:p>
        </w:tc>
        <w:tc>
          <w:tcPr>
            <w:tcW w:w="741" w:type="dxa"/>
            <w:tcBorders>
              <w:bottom w:val="single" w:sz="12" w:space="0" w:color="7CBC3E"/>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2022</w:t>
            </w:r>
          </w:p>
        </w:tc>
        <w:tc>
          <w:tcPr>
            <w:tcW w:w="60" w:type="dxa"/>
            <w:tcBorders>
              <w:bottom w:val="single" w:sz="12" w:space="0" w:color="7CBC3E"/>
            </w:tcBorders>
            <w:shd w:fill="auto" w:val="clear"/>
            <w:tcMar>
              <w:bottom w:w="60" w:type="dxa"/>
            </w:tcMar>
            <w:vAlign w:val="center"/>
          </w:tcPr>
          <w:p>
            <w:pPr>
              <w:pStyle w:val="TableContents"/>
              <w:spacing w:before="0" w:after="283"/>
              <w:jc w:val="center"/>
              <w:rPr/>
            </w:pPr>
            <w:r>
              <w:rPr/>
              <w:t> </w:t>
            </w:r>
          </w:p>
        </w:tc>
        <w:tc>
          <w:tcPr>
            <w:tcW w:w="1175" w:type="dxa"/>
            <w:tcBorders>
              <w:bottom w:val="single" w:sz="12" w:space="0" w:color="7CBC3E"/>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2025</w:t>
            </w:r>
          </w:p>
        </w:tc>
        <w:tc>
          <w:tcPr>
            <w:tcW w:w="60" w:type="dxa"/>
            <w:tcBorders>
              <w:bottom w:val="single" w:sz="12" w:space="0" w:color="7CBC3E"/>
            </w:tcBorders>
            <w:shd w:fill="auto" w:val="clear"/>
            <w:tcMar>
              <w:bottom w:w="60" w:type="dxa"/>
            </w:tcMar>
            <w:vAlign w:val="center"/>
          </w:tcPr>
          <w:p>
            <w:pPr>
              <w:pStyle w:val="TableContents"/>
              <w:spacing w:before="0" w:after="283"/>
              <w:jc w:val="center"/>
              <w:rPr/>
            </w:pPr>
            <w:r>
              <w:rPr/>
              <w:t> </w:t>
            </w:r>
          </w:p>
        </w:tc>
        <w:tc>
          <w:tcPr>
            <w:tcW w:w="1265" w:type="dxa"/>
            <w:tcBorders>
              <w:bottom w:val="single" w:sz="12" w:space="0" w:color="7CBC3E"/>
            </w:tcBorders>
            <w:shd w:fill="auto" w:val="clear"/>
            <w:tcMar>
              <w:bottom w:w="6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III</w:t>
            </w:r>
          </w:p>
        </w:tc>
        <w:tc>
          <w:tcPr>
            <w:tcW w:w="60" w:type="dxa"/>
            <w:tcBorders>
              <w:bottom w:val="single" w:sz="12" w:space="0" w:color="7CBC3E"/>
            </w:tcBorders>
            <w:shd w:fill="auto" w:val="clear"/>
            <w:vAlign w:val="center"/>
          </w:tcPr>
          <w:p>
            <w:pPr>
              <w:pStyle w:val="TableContents"/>
              <w:spacing w:before="0" w:after="283"/>
              <w:jc w:val="center"/>
              <w:rPr/>
            </w:pPr>
            <w:r>
              <w:rPr/>
              <w:t> </w:t>
            </w:r>
          </w:p>
        </w:tc>
        <w:tc>
          <w:tcPr>
            <w:tcW w:w="1086" w:type="dxa"/>
            <w:tcBorders>
              <w:bottom w:val="single" w:sz="12" w:space="0" w:color="7CBC3E"/>
            </w:tcBorders>
            <w:shd w:fill="auto" w:val="clear"/>
            <w:vAlign w:val="center"/>
          </w:tcPr>
          <w:p>
            <w:pPr>
              <w:pStyle w:val="TableContents"/>
              <w:spacing w:before="0" w:after="283"/>
              <w:jc w:val="center"/>
              <w:rPr/>
            </w:pPr>
            <w:r>
              <w:rPr/>
              <w:drawing>
                <wp:inline distT="0" distB="0" distL="0" distR="0">
                  <wp:extent cx="161925" cy="1714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61925" cy="171450"/>
                          </a:xfrm>
                          <a:prstGeom prst="rect">
                            <a:avLst/>
                          </a:prstGeom>
                        </pic:spPr>
                      </pic:pic>
                    </a:graphicData>
                  </a:graphic>
                </wp:inline>
              </w:drawing>
            </w:r>
          </w:p>
        </w:tc>
      </w:tr>
    </w:tbl>
    <w:p>
      <w:pPr>
        <w:pStyle w:val="TextBody"/>
        <w:rPr>
          <w:caps w:val="false"/>
          <w:smallCaps w:val="false"/>
        </w:rPr>
      </w:pPr>
      <w:r>
        <w:rPr>
          <w:caps w:val="false"/>
          <w:smallCaps w:val="false"/>
        </w:rPr>
        <w:t> </w:t>
      </w:r>
    </w:p>
    <w:tbl>
      <w:tblPr>
        <w:tblW w:w="6610" w:type="dxa"/>
        <w:jc w:val="left"/>
        <w:tblInd w:w="0" w:type="dxa"/>
        <w:tblCellMar>
          <w:top w:w="0" w:type="dxa"/>
          <w:left w:w="0" w:type="dxa"/>
          <w:bottom w:w="0" w:type="dxa"/>
          <w:right w:w="0" w:type="dxa"/>
        </w:tblCellMar>
      </w:tblPr>
      <w:tblGrid>
        <w:gridCol w:w="245"/>
        <w:gridCol w:w="6365"/>
      </w:tblGrid>
      <w:tr>
        <w:trPr/>
        <w:tc>
          <w:tcPr>
            <w:tcW w:w="245"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6365"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Dr. Ekman will be retiring from the Board effective immediately after the Annual Meeting.</w:t>
            </w:r>
          </w:p>
        </w:tc>
      </w:tr>
    </w:tbl>
    <w:p>
      <w:pPr>
        <w:pStyle w:val="TextBody"/>
        <w:rPr>
          <w:caps w:val="false"/>
          <w:smallCaps w:val="false"/>
        </w:rPr>
      </w:pPr>
      <w:r>
        <w:rPr>
          <w:caps w:val="false"/>
          <w:smallCaps w:val="false"/>
        </w:rPr>
        <w:t> </w:t>
      </w:r>
    </w:p>
    <w:tbl>
      <w:tblPr>
        <w:tblW w:w="11280" w:type="dxa"/>
        <w:jc w:val="center"/>
        <w:tblInd w:w="0" w:type="dxa"/>
        <w:tblCellMar>
          <w:top w:w="0" w:type="dxa"/>
          <w:left w:w="0" w:type="dxa"/>
          <w:bottom w:w="0" w:type="dxa"/>
          <w:right w:w="0" w:type="dxa"/>
        </w:tblCellMar>
      </w:tblPr>
      <w:tblGrid>
        <w:gridCol w:w="11280"/>
      </w:tblGrid>
      <w:tr>
        <w:trPr/>
        <w:tc>
          <w:tcPr>
            <w:tcW w:w="11280" w:type="dxa"/>
            <w:tcBorders/>
            <w:shd w:fill="7CBC3E" w:val="clear"/>
            <w:vAlign w:val="center"/>
          </w:tcPr>
          <w:p>
            <w:pPr>
              <w:pStyle w:val="TableContents"/>
              <w:spacing w:before="0" w:after="283"/>
              <w:jc w:val="center"/>
              <w:rPr/>
            </w:pPr>
            <w:r>
              <w:rPr/>
              <w:t> </w:t>
            </w:r>
            <w:r>
              <w:rPr>
                <w:rFonts w:ascii="Arial;Helvetica;Sans-Serif" w:hAnsi="Arial;Helvetica;Sans-Serif"/>
                <w:color w:val="FFFFFF"/>
                <w:sz w:val="18"/>
              </w:rPr>
              <w:t>Board Composition Highlights</w:t>
            </w:r>
          </w:p>
        </w:tc>
      </w:tr>
      <w:tr>
        <w:trPr/>
        <w:tc>
          <w:tcPr>
            <w:tcW w:w="11280" w:type="dxa"/>
            <w:tcBorders/>
            <w:shd w:fill="auto" w:val="clear"/>
            <w:vAlign w:val="center"/>
          </w:tcPr>
          <w:p>
            <w:pPr>
              <w:pStyle w:val="TableContents"/>
              <w:spacing w:before="0" w:after="283"/>
              <w:jc w:val="center"/>
              <w:rPr/>
            </w:pPr>
            <w:r>
              <w:rPr/>
              <w:drawing>
                <wp:inline distT="0" distB="0" distL="0" distR="0">
                  <wp:extent cx="7143750" cy="22669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143750" cy="2266950"/>
                          </a:xfrm>
                          <a:prstGeom prst="rect">
                            <a:avLst/>
                          </a:prstGeom>
                        </pic:spPr>
                      </pic:pic>
                    </a:graphicData>
                  </a:graphic>
                </wp:inline>
              </w:drawing>
            </w:r>
          </w:p>
        </w:tc>
      </w:tr>
    </w:tbl>
    <w:p>
      <w:pPr>
        <w:pStyle w:val="TextBody"/>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Board Diversity</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Nominating and Corporate Governance Committee places significant emphasis on diversity and actively considers whether potential candidates would assist in achieving a mix of Board members that represents a diversity of talents, skills, backgrounds, and expertise. The current composition of our Board reflects the importance of diversity to the Board. Currently, three of our directors (33%) self-identify as Asian, one (11%) self-identifies as LGBTQ+ and three (33%) are women. We also have a female chairperson of our Nominating and Corporate Governance Committee. In accordance with Nasdaq’s board diversity listing standards, below is the aggregate statistical information about our Board’s self-identified gender and racial characteristics and LGBTQ+ status as voluntarily confirmed to us by each of our directors.</w:t>
      </w:r>
    </w:p>
    <w:p>
      <w:pPr>
        <w:pStyle w:val="TextBody"/>
        <w:rPr>
          <w:caps w:val="false"/>
          <w:smallCaps w:val="false"/>
        </w:rPr>
      </w:pPr>
      <w:r>
        <w:rPr>
          <w:caps w:val="false"/>
          <w:smallCaps w:val="false"/>
        </w:rPr>
        <w:t> </w:t>
      </w:r>
    </w:p>
    <w:tbl>
      <w:tblPr>
        <w:tblW w:w="9670" w:type="dxa"/>
        <w:jc w:val="left"/>
        <w:tblInd w:w="0" w:type="dxa"/>
        <w:tblCellMar>
          <w:top w:w="28" w:type="dxa"/>
          <w:left w:w="0" w:type="dxa"/>
          <w:bottom w:w="28" w:type="dxa"/>
          <w:right w:w="0" w:type="dxa"/>
        </w:tblCellMar>
      </w:tblPr>
      <w:tblGrid>
        <w:gridCol w:w="5495"/>
        <w:gridCol w:w="650"/>
        <w:gridCol w:w="425"/>
        <w:gridCol w:w="995"/>
        <w:gridCol w:w="2105"/>
      </w:tblGrid>
      <w:tr>
        <w:trPr/>
        <w:tc>
          <w:tcPr>
            <w:tcW w:w="9670" w:type="dxa"/>
            <w:gridSpan w:val="5"/>
            <w:tcBorders>
              <w:top w:val="single" w:sz="2" w:space="0" w:color="7CBC3E"/>
              <w:bottom w:val="single" w:sz="2" w:space="0" w:color="7CBC3E"/>
            </w:tcBorders>
            <w:shd w:fill="auto" w:val="cle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Board Diversity Matrix (as of the date of this Proxy Statement)</w:t>
            </w:r>
          </w:p>
        </w:tc>
      </w:tr>
      <w:tr>
        <w:trPr/>
        <w:tc>
          <w:tcPr>
            <w:tcW w:w="5495" w:type="dxa"/>
            <w:tcBorders>
              <w:bottom w:val="single" w:sz="2" w:space="0" w:color="7CBC3E"/>
            </w:tcBorders>
            <w:shd w:fill="auto" w:val="clear"/>
            <w:tcMar>
              <w:top w:w="0" w:type="dxa"/>
            </w:tcMar>
            <w:vAlign w:val="center"/>
          </w:tcPr>
          <w:p>
            <w:pPr>
              <w:pStyle w:val="TableContents"/>
              <w:spacing w:before="0" w:after="283"/>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Total Number of Directors:</w:t>
            </w:r>
          </w:p>
        </w:tc>
        <w:tc>
          <w:tcPr>
            <w:tcW w:w="4175" w:type="dxa"/>
            <w:gridSpan w:val="4"/>
            <w:tcBorders>
              <w:bottom w:val="single" w:sz="2" w:space="0" w:color="7CBC3E"/>
            </w:tcBorders>
            <w:shd w:fill="auto" w:val="clear"/>
            <w:tcMar>
              <w:top w:w="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w:t>
            </w:r>
          </w:p>
        </w:tc>
      </w:tr>
      <w:tr>
        <w:trPr/>
        <w:tc>
          <w:tcPr>
            <w:tcW w:w="5495" w:type="dxa"/>
            <w:tcBorders>
              <w:bottom w:val="single" w:sz="2" w:space="0" w:color="7CBC3E"/>
            </w:tcBorders>
            <w:shd w:fill="auto" w:val="clear"/>
            <w:tcMar>
              <w:top w:w="0" w:type="dxa"/>
            </w:tcMar>
            <w:vAlign w:val="center"/>
          </w:tcPr>
          <w:p>
            <w:pPr>
              <w:pStyle w:val="TableContents"/>
              <w:spacing w:before="0" w:after="283"/>
              <w:rPr/>
            </w:pPr>
            <w:r>
              <w:rPr/>
              <w:t> </w:t>
            </w:r>
          </w:p>
        </w:tc>
        <w:tc>
          <w:tcPr>
            <w:tcW w:w="650" w:type="dxa"/>
            <w:tcBorders>
              <w:bottom w:val="single" w:sz="2" w:space="0" w:color="7CBC3E"/>
            </w:tcBorders>
            <w:shd w:fill="auto" w:val="clear"/>
            <w:tcMar>
              <w:top w:w="0" w:type="dxa"/>
            </w:tcM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Female</w:t>
            </w:r>
          </w:p>
        </w:tc>
        <w:tc>
          <w:tcPr>
            <w:tcW w:w="425" w:type="dxa"/>
            <w:tcBorders>
              <w:bottom w:val="single" w:sz="2" w:space="0" w:color="7CBC3E"/>
            </w:tcBorders>
            <w:shd w:fill="auto" w:val="clear"/>
            <w:tcMar>
              <w:top w:w="0" w:type="dxa"/>
            </w:tcM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Male</w:t>
            </w:r>
          </w:p>
        </w:tc>
        <w:tc>
          <w:tcPr>
            <w:tcW w:w="995" w:type="dxa"/>
            <w:tcBorders>
              <w:bottom w:val="single" w:sz="2" w:space="0" w:color="7CBC3E"/>
            </w:tcBorders>
            <w:shd w:fill="auto" w:val="clear"/>
            <w:tcMar>
              <w:top w:w="0" w:type="dxa"/>
            </w:tcM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Non-Binary</w:t>
            </w:r>
          </w:p>
        </w:tc>
        <w:tc>
          <w:tcPr>
            <w:tcW w:w="2105" w:type="dxa"/>
            <w:tcBorders>
              <w:bottom w:val="single" w:sz="2" w:space="0" w:color="7CBC3E"/>
            </w:tcBorders>
            <w:shd w:fill="auto" w:val="clear"/>
            <w:tcMar>
              <w:top w:w="0" w:type="dxa"/>
            </w:tcM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Did not Disclose Gender</w:t>
            </w:r>
          </w:p>
        </w:tc>
      </w:tr>
      <w:tr>
        <w:trPr/>
        <w:tc>
          <w:tcPr>
            <w:tcW w:w="5495" w:type="dxa"/>
            <w:tcBorders>
              <w:bottom w:val="dotted" w:sz="2" w:space="0" w:color="000000"/>
            </w:tcBorders>
            <w:shd w:fill="auto" w:val="clear"/>
            <w:tcMar>
              <w:top w:w="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Gender</w:t>
            </w:r>
          </w:p>
        </w:tc>
        <w:tc>
          <w:tcPr>
            <w:tcW w:w="650" w:type="dxa"/>
            <w:tcBorders>
              <w:bottom w:val="dotted" w:sz="2" w:space="0" w:color="000000"/>
            </w:tcBorders>
            <w:shd w:fill="auto" w:val="clear"/>
            <w:tcMar>
              <w:top w:w="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w:t>
            </w:r>
          </w:p>
        </w:tc>
        <w:tc>
          <w:tcPr>
            <w:tcW w:w="425" w:type="dxa"/>
            <w:tcBorders>
              <w:bottom w:val="dotted" w:sz="2" w:space="0" w:color="000000"/>
            </w:tcBorders>
            <w:shd w:fill="auto" w:val="clear"/>
            <w:tcMar>
              <w:top w:w="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w:t>
            </w:r>
          </w:p>
        </w:tc>
        <w:tc>
          <w:tcPr>
            <w:tcW w:w="99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210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r>
      <w:tr>
        <w:trPr/>
        <w:tc>
          <w:tcPr>
            <w:tcW w:w="5495" w:type="dxa"/>
            <w:tcBorders>
              <w:bottom w:val="dotted" w:sz="2" w:space="0" w:color="000000"/>
            </w:tcBorders>
            <w:shd w:fill="auto" w:val="clear"/>
            <w:tcMar>
              <w:top w:w="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Number of Directors who identify in any of the categories below:</w:t>
            </w:r>
          </w:p>
        </w:tc>
        <w:tc>
          <w:tcPr>
            <w:tcW w:w="650" w:type="dxa"/>
            <w:tcBorders>
              <w:bottom w:val="dotted" w:sz="2" w:space="0" w:color="000000"/>
            </w:tcBorders>
            <w:shd w:fill="auto" w:val="clear"/>
            <w:tcMar>
              <w:top w:w="0" w:type="dxa"/>
            </w:tcMar>
            <w:vAlign w:val="center"/>
          </w:tcPr>
          <w:p>
            <w:pPr>
              <w:pStyle w:val="TableContents"/>
              <w:spacing w:before="0" w:after="283"/>
              <w:rPr/>
            </w:pPr>
            <w:r>
              <w:rPr/>
              <w:t> </w:t>
            </w:r>
          </w:p>
        </w:tc>
        <w:tc>
          <w:tcPr>
            <w:tcW w:w="425" w:type="dxa"/>
            <w:tcBorders>
              <w:bottom w:val="dotted" w:sz="2" w:space="0" w:color="000000"/>
            </w:tcBorders>
            <w:shd w:fill="auto" w:val="clear"/>
            <w:tcMar>
              <w:top w:w="0" w:type="dxa"/>
            </w:tcMar>
            <w:vAlign w:val="center"/>
          </w:tcPr>
          <w:p>
            <w:pPr>
              <w:pStyle w:val="TableContents"/>
              <w:spacing w:before="0" w:after="283"/>
              <w:rPr/>
            </w:pPr>
            <w:r>
              <w:rPr/>
              <w:t> </w:t>
            </w:r>
          </w:p>
        </w:tc>
        <w:tc>
          <w:tcPr>
            <w:tcW w:w="995" w:type="dxa"/>
            <w:tcBorders>
              <w:bottom w:val="dotted" w:sz="2" w:space="0" w:color="000000"/>
            </w:tcBorders>
            <w:shd w:fill="auto" w:val="clear"/>
            <w:tcMar>
              <w:top w:w="0" w:type="dxa"/>
            </w:tcMar>
            <w:vAlign w:val="center"/>
          </w:tcPr>
          <w:p>
            <w:pPr>
              <w:pStyle w:val="TableContents"/>
              <w:spacing w:before="0" w:after="283"/>
              <w:rPr/>
            </w:pPr>
            <w:r>
              <w:rPr/>
              <w:t> </w:t>
            </w:r>
          </w:p>
        </w:tc>
        <w:tc>
          <w:tcPr>
            <w:tcW w:w="2105" w:type="dxa"/>
            <w:tcBorders>
              <w:bottom w:val="dotted" w:sz="2" w:space="0" w:color="000000"/>
            </w:tcBorders>
            <w:shd w:fill="auto" w:val="clear"/>
            <w:tcMar>
              <w:top w:w="0" w:type="dxa"/>
            </w:tcMar>
            <w:vAlign w:val="center"/>
          </w:tcPr>
          <w:p>
            <w:pPr>
              <w:pStyle w:val="TableContents"/>
              <w:spacing w:before="0" w:after="283"/>
              <w:rPr/>
            </w:pPr>
            <w:r>
              <w:rPr/>
              <w:t> </w:t>
            </w:r>
          </w:p>
        </w:tc>
      </w:tr>
      <w:tr>
        <w:trPr/>
        <w:tc>
          <w:tcPr>
            <w:tcW w:w="5495" w:type="dxa"/>
            <w:tcBorders>
              <w:bottom w:val="dotted" w:sz="2" w:space="0" w:color="000000"/>
            </w:tcBorders>
            <w:shd w:fill="auto" w:val="clear"/>
            <w:tcMar>
              <w:top w:w="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African American or Black</w:t>
            </w:r>
          </w:p>
        </w:tc>
        <w:tc>
          <w:tcPr>
            <w:tcW w:w="650"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42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99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210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r>
      <w:tr>
        <w:trPr/>
        <w:tc>
          <w:tcPr>
            <w:tcW w:w="5495" w:type="dxa"/>
            <w:tcBorders>
              <w:bottom w:val="dotted" w:sz="2" w:space="0" w:color="000000"/>
            </w:tcBorders>
            <w:shd w:fill="auto" w:val="clear"/>
            <w:tcMar>
              <w:top w:w="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Alaskan Native or Native American</w:t>
            </w:r>
          </w:p>
        </w:tc>
        <w:tc>
          <w:tcPr>
            <w:tcW w:w="650"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42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99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210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r>
      <w:tr>
        <w:trPr/>
        <w:tc>
          <w:tcPr>
            <w:tcW w:w="5495" w:type="dxa"/>
            <w:tcBorders>
              <w:bottom w:val="dotted" w:sz="2" w:space="0" w:color="000000"/>
            </w:tcBorders>
            <w:shd w:fill="auto" w:val="clear"/>
            <w:tcMar>
              <w:top w:w="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Asian</w:t>
            </w:r>
          </w:p>
        </w:tc>
        <w:tc>
          <w:tcPr>
            <w:tcW w:w="650" w:type="dxa"/>
            <w:tcBorders>
              <w:bottom w:val="dotted" w:sz="2" w:space="0" w:color="000000"/>
            </w:tcBorders>
            <w:shd w:fill="auto" w:val="clear"/>
            <w:tcMar>
              <w:top w:w="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w:t>
            </w:r>
          </w:p>
        </w:tc>
        <w:tc>
          <w:tcPr>
            <w:tcW w:w="425" w:type="dxa"/>
            <w:tcBorders>
              <w:bottom w:val="dotted" w:sz="2" w:space="0" w:color="000000"/>
            </w:tcBorders>
            <w:shd w:fill="auto" w:val="clear"/>
            <w:tcMar>
              <w:top w:w="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w:t>
            </w:r>
          </w:p>
        </w:tc>
        <w:tc>
          <w:tcPr>
            <w:tcW w:w="99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210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r>
      <w:tr>
        <w:trPr/>
        <w:tc>
          <w:tcPr>
            <w:tcW w:w="5495" w:type="dxa"/>
            <w:tcBorders>
              <w:bottom w:val="dotted" w:sz="2" w:space="0" w:color="000000"/>
            </w:tcBorders>
            <w:shd w:fill="auto" w:val="clear"/>
            <w:tcMar>
              <w:top w:w="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Hispanic or Latinx</w:t>
            </w:r>
          </w:p>
        </w:tc>
        <w:tc>
          <w:tcPr>
            <w:tcW w:w="650"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42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99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210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r>
      <w:tr>
        <w:trPr/>
        <w:tc>
          <w:tcPr>
            <w:tcW w:w="5495" w:type="dxa"/>
            <w:tcBorders>
              <w:bottom w:val="dotted" w:sz="2" w:space="0" w:color="000000"/>
            </w:tcBorders>
            <w:shd w:fill="auto" w:val="clear"/>
            <w:tcMar>
              <w:top w:w="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Native Hawaiian or Pacific Islander</w:t>
            </w:r>
          </w:p>
        </w:tc>
        <w:tc>
          <w:tcPr>
            <w:tcW w:w="650"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42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99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210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r>
      <w:tr>
        <w:trPr/>
        <w:tc>
          <w:tcPr>
            <w:tcW w:w="5495" w:type="dxa"/>
            <w:tcBorders>
              <w:bottom w:val="dotted" w:sz="2" w:space="0" w:color="000000"/>
            </w:tcBorders>
            <w:shd w:fill="auto" w:val="clear"/>
            <w:tcMar>
              <w:top w:w="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White</w:t>
            </w:r>
          </w:p>
        </w:tc>
        <w:tc>
          <w:tcPr>
            <w:tcW w:w="650" w:type="dxa"/>
            <w:tcBorders>
              <w:bottom w:val="dotted" w:sz="2" w:space="0" w:color="000000"/>
            </w:tcBorders>
            <w:shd w:fill="auto" w:val="clear"/>
            <w:tcMar>
              <w:top w:w="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w:t>
            </w:r>
          </w:p>
        </w:tc>
        <w:tc>
          <w:tcPr>
            <w:tcW w:w="425" w:type="dxa"/>
            <w:tcBorders>
              <w:bottom w:val="dotted" w:sz="2" w:space="0" w:color="000000"/>
            </w:tcBorders>
            <w:shd w:fill="auto" w:val="clear"/>
            <w:tcMar>
              <w:top w:w="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w:t>
            </w:r>
          </w:p>
        </w:tc>
        <w:tc>
          <w:tcPr>
            <w:tcW w:w="99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210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r>
      <w:tr>
        <w:trPr/>
        <w:tc>
          <w:tcPr>
            <w:tcW w:w="5495" w:type="dxa"/>
            <w:tcBorders>
              <w:bottom w:val="dotted" w:sz="2" w:space="0" w:color="000000"/>
            </w:tcBorders>
            <w:shd w:fill="auto" w:val="clear"/>
            <w:tcMar>
              <w:top w:w="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Two or More Races or Ethnicities</w:t>
            </w:r>
          </w:p>
        </w:tc>
        <w:tc>
          <w:tcPr>
            <w:tcW w:w="650"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42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99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210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r>
      <w:tr>
        <w:trPr/>
        <w:tc>
          <w:tcPr>
            <w:tcW w:w="5495" w:type="dxa"/>
            <w:tcBorders>
              <w:bottom w:val="dotted" w:sz="2" w:space="0" w:color="000000"/>
            </w:tcBorders>
            <w:shd w:fill="auto" w:val="clear"/>
            <w:tcMar>
              <w:top w:w="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LGBTQ+</w:t>
            </w:r>
          </w:p>
        </w:tc>
        <w:tc>
          <w:tcPr>
            <w:tcW w:w="650"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425" w:type="dxa"/>
            <w:tcBorders>
              <w:bottom w:val="dotted" w:sz="2" w:space="0" w:color="000000"/>
            </w:tcBorders>
            <w:shd w:fill="auto" w:val="clear"/>
            <w:tcMar>
              <w:top w:w="0" w:type="dxa"/>
            </w:tcMar>
            <w:vAlign w:val="center"/>
          </w:tcPr>
          <w:p>
            <w:pPr>
              <w:pStyle w:val="TableContents"/>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w:t>
            </w:r>
          </w:p>
        </w:tc>
        <w:tc>
          <w:tcPr>
            <w:tcW w:w="99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2105" w:type="dxa"/>
            <w:tcBorders>
              <w:bottom w:val="dotted" w:sz="2" w:space="0" w:color="000000"/>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r>
      <w:tr>
        <w:trPr/>
        <w:tc>
          <w:tcPr>
            <w:tcW w:w="5495" w:type="dxa"/>
            <w:tcBorders>
              <w:bottom w:val="single" w:sz="12" w:space="0" w:color="7CBC3E"/>
            </w:tcBorders>
            <w:shd w:fill="auto" w:val="clear"/>
            <w:tcMar>
              <w:top w:w="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Did not disclose demographic background</w:t>
            </w:r>
          </w:p>
        </w:tc>
        <w:tc>
          <w:tcPr>
            <w:tcW w:w="650" w:type="dxa"/>
            <w:tcBorders>
              <w:bottom w:val="single" w:sz="12" w:space="0" w:color="7CBC3E"/>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425" w:type="dxa"/>
            <w:tcBorders>
              <w:bottom w:val="single" w:sz="12" w:space="0" w:color="7CBC3E"/>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995" w:type="dxa"/>
            <w:tcBorders>
              <w:bottom w:val="single" w:sz="12" w:space="0" w:color="7CBC3E"/>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c>
          <w:tcPr>
            <w:tcW w:w="2105" w:type="dxa"/>
            <w:tcBorders>
              <w:bottom w:val="single" w:sz="12" w:space="0" w:color="7CBC3E"/>
            </w:tcBorders>
            <w:shd w:fill="auto" w:val="clear"/>
            <w:tcMar>
              <w:top w:w="0" w:type="dxa"/>
            </w:tcMar>
            <w:vAlign w:val="center"/>
          </w:tcPr>
          <w:p>
            <w:pPr>
              <w:pStyle w:val="TableContents"/>
              <w:spacing w:before="0" w:after="283"/>
              <w:jc w:val="center"/>
              <w:rPr>
                <w:caps w:val="false"/>
                <w:smallCaps w:val="false"/>
              </w:rPr>
            </w:pPr>
            <w:r>
              <w:rPr>
                <w:caps w:val="false"/>
                <w:smallCaps w:val="false"/>
              </w:rPr>
              <w:t>—</w:t>
            </w:r>
          </w:p>
        </w:tc>
      </w:tr>
    </w:tbl>
    <w:p>
      <w:pPr>
        <w:pStyle w:val="TextBody"/>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7</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rPr>
          <w:rFonts w:ascii="Arial;Helvetica;Sans-Serif" w:hAnsi="Arial;Helvetica;Sans-Serif"/>
          <w:b/>
          <w:i w:val="false"/>
          <w:caps w:val="false"/>
          <w:smallCaps w:val="false"/>
          <w:sz w:val="28"/>
        </w:rPr>
      </w:pPr>
      <w:bookmarkStart w:id="7" w:name="lrarea005"/>
      <w:bookmarkEnd w:id="7"/>
      <w:r>
        <w:rPr>
          <w:rFonts w:ascii="Arial;Helvetica;Sans-Serif" w:hAnsi="Arial;Helvetica;Sans-Serif"/>
          <w:b/>
          <w:i w:val="false"/>
          <w:caps w:val="false"/>
          <w:smallCaps w:val="false"/>
          <w:sz w:val="28"/>
        </w:rPr>
        <w:t>Board Diversity, Skills and Experience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Nominating and Corporate Governance Committee also considers numerous other skills, qualities and experiences when evaluating director nominees, including whether the nominee has specific strengths that would augment existing skills and experiences of the Board and in a manner that is aligned with the company’s strategic direction. The following matrix highlights each director’s primary skills or knowledge in these areas as identified by the Nominating and Corporate Governance Committee.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 In response to stockholder feedback, we also provide below enhanced disclosure regarding the diversity of our Board.</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4805"/>
        <w:gridCol w:w="545"/>
        <w:gridCol w:w="620"/>
        <w:gridCol w:w="695"/>
        <w:gridCol w:w="620"/>
        <w:gridCol w:w="395"/>
        <w:gridCol w:w="695"/>
        <w:gridCol w:w="365"/>
        <w:gridCol w:w="740"/>
        <w:gridCol w:w="725"/>
      </w:tblGrid>
      <w:tr>
        <w:trPr/>
        <w:tc>
          <w:tcPr>
            <w:tcW w:w="4805" w:type="dxa"/>
            <w:tcBorders>
              <w:bottom w:val="single" w:sz="12" w:space="0" w:color="7CBC3E"/>
            </w:tcBorders>
            <w:shd w:fill="auto" w:val="clear"/>
            <w:vAlign w:val="center"/>
          </w:tcPr>
          <w:p>
            <w:pPr>
              <w:pStyle w:val="TableContents"/>
              <w:spacing w:before="0" w:after="283"/>
              <w:rPr/>
            </w:pPr>
            <w:r>
              <w:rPr/>
              <w:t> </w:t>
            </w:r>
          </w:p>
        </w:tc>
        <w:tc>
          <w:tcPr>
            <w:tcW w:w="545"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Welch</w:t>
            </w:r>
          </w:p>
        </w:tc>
        <w:tc>
          <w:tcPr>
            <w:tcW w:w="620"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Kakkis</w:t>
            </w:r>
          </w:p>
        </w:tc>
        <w:tc>
          <w:tcPr>
            <w:tcW w:w="695"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Dunsire</w:t>
            </w:r>
          </w:p>
        </w:tc>
        <w:tc>
          <w:tcPr>
            <w:tcW w:w="620"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Ekman</w:t>
            </w:r>
          </w:p>
        </w:tc>
        <w:tc>
          <w:tcPr>
            <w:tcW w:w="395"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Fust</w:t>
            </w:r>
          </w:p>
        </w:tc>
        <w:tc>
          <w:tcPr>
            <w:tcW w:w="695"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Narachi</w:t>
            </w:r>
          </w:p>
        </w:tc>
        <w:tc>
          <w:tcPr>
            <w:tcW w:w="365"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Ray</w:t>
            </w:r>
          </w:p>
        </w:tc>
        <w:tc>
          <w:tcPr>
            <w:tcW w:w="740"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Sanders</w:t>
            </w:r>
          </w:p>
        </w:tc>
        <w:tc>
          <w:tcPr>
            <w:tcW w:w="725"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Suliman</w:t>
            </w:r>
          </w:p>
        </w:tc>
      </w:tr>
      <w:tr>
        <w:trPr/>
        <w:tc>
          <w:tcPr>
            <w:tcW w:w="4805" w:type="dxa"/>
            <w:tcBorders>
              <w:bottom w:val="single" w:sz="2" w:space="0" w:color="7CBC3E"/>
            </w:tcBorders>
            <w:shd w:fill="auto" w:val="clear"/>
            <w:tcMar>
              <w:bottom w:w="4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Skills and Experience</w:t>
            </w:r>
          </w:p>
        </w:tc>
        <w:tc>
          <w:tcPr>
            <w:tcW w:w="545"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620"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695"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620"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395"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695"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365"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740"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725" w:type="dxa"/>
            <w:tcBorders>
              <w:bottom w:val="single" w:sz="2" w:space="0" w:color="7CBC3E"/>
            </w:tcBorders>
            <w:shd w:fill="auto" w:val="clear"/>
            <w:tcMar>
              <w:bottom w:w="40" w:type="dxa"/>
            </w:tcMar>
            <w:vAlign w:val="center"/>
          </w:tcPr>
          <w:p>
            <w:pPr>
              <w:pStyle w:val="TableContents"/>
              <w:spacing w:before="0" w:after="283"/>
              <w:jc w:val="center"/>
              <w:rPr/>
            </w:pPr>
            <w:r>
              <w:rPr/>
              <w:t> </w:t>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Core Board Capabilities</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t> </w:t>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Biopharma C-level leadership</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42875" cy="133350"/>
                          </a:xfrm>
                          <a:prstGeom prst="rect">
                            <a:avLst/>
                          </a:prstGeom>
                        </pic:spPr>
                      </pic:pic>
                    </a:graphicData>
                  </a:graphic>
                </wp:inline>
              </w:drawing>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42875" cy="133350"/>
                          </a:xfrm>
                          <a:prstGeom prst="rect">
                            <a:avLst/>
                          </a:prstGeom>
                        </pic:spPr>
                      </pic:pic>
                    </a:graphicData>
                  </a:graphic>
                </wp:inline>
              </w:drawing>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42875" cy="133350"/>
                          </a:xfrm>
                          <a:prstGeom prst="rect">
                            <a:avLst/>
                          </a:prstGeom>
                        </pic:spPr>
                      </pic:pic>
                    </a:graphicData>
                  </a:graphic>
                </wp:inline>
              </w:drawing>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42875" cy="133350"/>
                          </a:xfrm>
                          <a:prstGeom prst="rect">
                            <a:avLst/>
                          </a:prstGeom>
                        </pic:spPr>
                      </pic:pic>
                    </a:graphicData>
                  </a:graphic>
                </wp:inline>
              </w:drawing>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Scientific and research leadership</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42875" cy="133350"/>
                          </a:xfrm>
                          <a:prstGeom prst="rect">
                            <a:avLst/>
                          </a:prstGeom>
                        </pic:spPr>
                      </pic:pic>
                    </a:graphicData>
                  </a:graphic>
                </wp:inline>
              </w:drawing>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42875" cy="133350"/>
                          </a:xfrm>
                          <a:prstGeom prst="rect">
                            <a:avLst/>
                          </a:prstGeom>
                        </pic:spPr>
                      </pic:pic>
                    </a:graphicData>
                  </a:graphic>
                </wp:inline>
              </w:drawing>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42875" cy="133350"/>
                          </a:xfrm>
                          <a:prstGeom prst="rect">
                            <a:avLst/>
                          </a:prstGeom>
                        </pic:spPr>
                      </pic:pic>
                    </a:graphicData>
                  </a:graphic>
                </wp:inline>
              </w:drawing>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42875" cy="133350"/>
                          </a:xfrm>
                          <a:prstGeom prst="rect">
                            <a:avLst/>
                          </a:prstGeom>
                        </pic:spPr>
                      </pic:pic>
                    </a:graphicData>
                  </a:graphic>
                </wp:inline>
              </w:drawing>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Clinical development leadership</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42875" cy="133350"/>
                          </a:xfrm>
                          <a:prstGeom prst="rect">
                            <a:avLst/>
                          </a:prstGeom>
                        </pic:spPr>
                      </pic:pic>
                    </a:graphicData>
                  </a:graphic>
                </wp:inline>
              </w:drawing>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42875" cy="133350"/>
                          </a:xfrm>
                          <a:prstGeom prst="rect">
                            <a:avLst/>
                          </a:prstGeom>
                        </pic:spPr>
                      </pic:pic>
                    </a:graphicData>
                  </a:graphic>
                </wp:inline>
              </w:drawing>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42875" cy="133350"/>
                          </a:xfrm>
                          <a:prstGeom prst="rect">
                            <a:avLst/>
                          </a:prstGeom>
                        </pic:spPr>
                      </pic:pic>
                    </a:graphicData>
                  </a:graphic>
                </wp:inline>
              </w:drawing>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42875" cy="133350"/>
                          </a:xfrm>
                          <a:prstGeom prst="rect">
                            <a:avLst/>
                          </a:prstGeom>
                        </pic:spPr>
                      </pic:pic>
                    </a:graphicData>
                  </a:graphic>
                </wp:inline>
              </w:drawing>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Regulatory leadership</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42875" cy="133350"/>
                          </a:xfrm>
                          <a:prstGeom prst="rect">
                            <a:avLst/>
                          </a:prstGeom>
                        </pic:spPr>
                      </pic:pic>
                    </a:graphicData>
                  </a:graphic>
                </wp:inline>
              </w:drawing>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42875" cy="133350"/>
                          </a:xfrm>
                          <a:prstGeom prst="rect">
                            <a:avLst/>
                          </a:prstGeom>
                        </pic:spPr>
                      </pic:pic>
                    </a:graphicData>
                  </a:graphic>
                </wp:inline>
              </w:drawing>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42875" cy="133350"/>
                          </a:xfrm>
                          <a:prstGeom prst="rect">
                            <a:avLst/>
                          </a:prstGeom>
                        </pic:spPr>
                      </pic:pic>
                    </a:graphicData>
                  </a:graphic>
                </wp:inline>
              </w:drawing>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t> </w:t>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Rare disease commercial experience</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t> </w:t>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Biopharma commercial leadership</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42875" cy="133350"/>
                          </a:xfrm>
                          <a:prstGeom prst="rect">
                            <a:avLst/>
                          </a:prstGeom>
                        </pic:spPr>
                      </pic:pic>
                    </a:graphicData>
                  </a:graphic>
                </wp:inline>
              </w:drawing>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t> </w:t>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Global access, pricing and reimbursement</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142875" cy="133350"/>
                          </a:xfrm>
                          <a:prstGeom prst="rect">
                            <a:avLst/>
                          </a:prstGeom>
                        </pic:spPr>
                      </pic:pic>
                    </a:graphicData>
                  </a:graphic>
                </wp:inline>
              </w:drawing>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t> </w:t>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Global business operations</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142875" cy="133350"/>
                          </a:xfrm>
                          <a:prstGeom prst="rect">
                            <a:avLst/>
                          </a:prstGeom>
                        </pic:spPr>
                      </pic:pic>
                    </a:graphicData>
                  </a:graphic>
                </wp:inline>
              </w:drawing>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142875" cy="133350"/>
                          </a:xfrm>
                          <a:prstGeom prst="rect">
                            <a:avLst/>
                          </a:prstGeom>
                        </pic:spPr>
                      </pic:pic>
                    </a:graphicData>
                  </a:graphic>
                </wp:inline>
              </w:drawing>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142875" cy="133350"/>
                          </a:xfrm>
                          <a:prstGeom prst="rect">
                            <a:avLst/>
                          </a:prstGeom>
                        </pic:spPr>
                      </pic:pic>
                    </a:graphicData>
                  </a:graphic>
                </wp:inline>
              </w:drawing>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Finance and capital markets</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142875" cy="133350"/>
                          </a:xfrm>
                          <a:prstGeom prst="rect">
                            <a:avLst/>
                          </a:prstGeom>
                        </pic:spPr>
                      </pic:pic>
                    </a:graphicData>
                  </a:graphic>
                </wp:inline>
              </w:drawing>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142875" cy="133350"/>
                          </a:xfrm>
                          <a:prstGeom prst="rect">
                            <a:avLst/>
                          </a:prstGeom>
                        </pic:spPr>
                      </pic:pic>
                    </a:graphicData>
                  </a:graphic>
                </wp:inline>
              </w:drawing>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strategy and/or business development leadership</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142875" cy="133350"/>
                          </a:xfrm>
                          <a:prstGeom prst="rect">
                            <a:avLst/>
                          </a:prstGeom>
                        </pic:spPr>
                      </pic:pic>
                    </a:graphicData>
                  </a:graphic>
                </wp:inline>
              </w:drawing>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142875" cy="133350"/>
                          </a:xfrm>
                          <a:prstGeom prst="rect">
                            <a:avLst/>
                          </a:prstGeom>
                        </pic:spPr>
                      </pic:pic>
                    </a:graphicData>
                  </a:graphic>
                </wp:inline>
              </w:drawing>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governance and board experience</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142875" cy="133350"/>
                          </a:xfrm>
                          <a:prstGeom prst="rect">
                            <a:avLst/>
                          </a:prstGeom>
                        </pic:spPr>
                      </pic:pic>
                    </a:graphicData>
                  </a:graphic>
                </wp:inline>
              </w:drawing>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142875" cy="133350"/>
                          </a:xfrm>
                          <a:prstGeom prst="rect">
                            <a:avLst/>
                          </a:prstGeom>
                        </pic:spPr>
                      </pic:pic>
                    </a:graphicData>
                  </a:graphic>
                </wp:inline>
              </w:drawing>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142875" cy="133350"/>
                          </a:xfrm>
                          <a:prstGeom prst="rect">
                            <a:avLst/>
                          </a:prstGeom>
                        </pic:spPr>
                      </pic:pic>
                    </a:graphicData>
                  </a:graphic>
                </wp:inline>
              </w:drawing>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142875" cy="133350"/>
                          </a:xfrm>
                          <a:prstGeom prst="rect">
                            <a:avLst/>
                          </a:prstGeom>
                        </pic:spPr>
                      </pic:pic>
                    </a:graphicData>
                  </a:graphic>
                </wp:inline>
              </w:drawing>
            </w:r>
          </w:p>
        </w:tc>
      </w:tr>
      <w:tr>
        <w:trPr/>
        <w:tc>
          <w:tcPr>
            <w:tcW w:w="4805" w:type="dxa"/>
            <w:tcBorders>
              <w:bottom w:val="dotted" w:sz="2" w:space="0" w:color="000000"/>
            </w:tcBorders>
            <w:shd w:fill="auto" w:val="clear"/>
            <w:tcMar>
              <w:bottom w:w="40" w:type="dxa"/>
            </w:tcMar>
            <w:vAlign w:val="center"/>
          </w:tcPr>
          <w:p>
            <w:pPr>
              <w:pStyle w:val="TableContents"/>
              <w:spacing w:before="0" w:after="283"/>
              <w:rPr/>
            </w:pPr>
            <w:r>
              <w:rPr/>
              <w:t> </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t> </w:t>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i/>
                <w:caps w:val="false"/>
                <w:smallCaps w:val="false"/>
                <w:sz w:val="18"/>
              </w:rPr>
            </w:pPr>
            <w:r>
              <w:rPr>
                <w:rFonts w:ascii="Arial;Helvetica;Sans-Serif" w:hAnsi="Arial;Helvetica;Sans-Serif"/>
                <w:b/>
                <w:i/>
                <w:caps w:val="false"/>
                <w:smallCaps w:val="false"/>
                <w:sz w:val="18"/>
              </w:rPr>
              <w:t>Relevant / Advisory Capabilities</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t> </w:t>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Compliance (GXP, commercial)</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142875" cy="133350"/>
                          </a:xfrm>
                          <a:prstGeom prst="rect">
                            <a:avLst/>
                          </a:prstGeom>
                        </pic:spPr>
                      </pic:pic>
                    </a:graphicData>
                  </a:graphic>
                </wp:inline>
              </w:drawing>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142875" cy="133350"/>
                          </a:xfrm>
                          <a:prstGeom prst="rect">
                            <a:avLst/>
                          </a:prstGeom>
                        </pic:spPr>
                      </pic:pic>
                    </a:graphicData>
                  </a:graphic>
                </wp:inline>
              </w:drawing>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142875" cy="133350"/>
                          </a:xfrm>
                          <a:prstGeom prst="rect">
                            <a:avLst/>
                          </a:prstGeom>
                        </pic:spPr>
                      </pic:pic>
                    </a:graphicData>
                  </a:graphic>
                </wp:inline>
              </w:drawing>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t> </w:t>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legal and IP</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142875" cy="133350"/>
                          </a:xfrm>
                          <a:prstGeom prst="rect">
                            <a:avLst/>
                          </a:prstGeom>
                        </pic:spPr>
                      </pic:pic>
                    </a:graphicData>
                  </a:graphic>
                </wp:inline>
              </w:drawing>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Government affairs and policy</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142875" cy="133350"/>
                          </a:xfrm>
                          <a:prstGeom prst="rect">
                            <a:avLst/>
                          </a:prstGeom>
                        </pic:spPr>
                      </pic:pic>
                    </a:graphicData>
                  </a:graphic>
                </wp:inline>
              </w:drawing>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t> </w:t>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Human resources and organizational development</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142875" cy="133350"/>
                          </a:xfrm>
                          <a:prstGeom prst="rect">
                            <a:avLst/>
                          </a:prstGeom>
                        </pic:spPr>
                      </pic:pic>
                    </a:graphicData>
                  </a:graphic>
                </wp:inline>
              </w:drawing>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142875" cy="133350"/>
                          </a:xfrm>
                          <a:prstGeom prst="rect">
                            <a:avLst/>
                          </a:prstGeom>
                        </pic:spPr>
                      </pic:pic>
                    </a:graphicData>
                  </a:graphic>
                </wp:inline>
              </w:drawing>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142875" cy="133350"/>
                          </a:xfrm>
                          <a:prstGeom prst="rect">
                            <a:avLst/>
                          </a:prstGeom>
                        </pic:spPr>
                      </pic:pic>
                    </a:graphicData>
                  </a:graphic>
                </wp:inline>
              </w:drawing>
            </w:r>
          </w:p>
        </w:tc>
      </w:tr>
      <w:tr>
        <w:trPr/>
        <w:tc>
          <w:tcPr>
            <w:tcW w:w="4805" w:type="dxa"/>
            <w:tcBorders>
              <w:bottom w:val="single" w:sz="12" w:space="0" w:color="7CBC3E"/>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Manufacturing/supply chain</w:t>
            </w:r>
          </w:p>
        </w:tc>
        <w:tc>
          <w:tcPr>
            <w:tcW w:w="545" w:type="dxa"/>
            <w:tcBorders>
              <w:bottom w:val="single" w:sz="12" w:space="0" w:color="7CBC3E"/>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142875" cy="133350"/>
                          </a:xfrm>
                          <a:prstGeom prst="rect">
                            <a:avLst/>
                          </a:prstGeom>
                        </pic:spPr>
                      </pic:pic>
                    </a:graphicData>
                  </a:graphic>
                </wp:inline>
              </w:drawing>
            </w:r>
          </w:p>
        </w:tc>
        <w:tc>
          <w:tcPr>
            <w:tcW w:w="620" w:type="dxa"/>
            <w:tcBorders>
              <w:bottom w:val="single" w:sz="12" w:space="0" w:color="7CBC3E"/>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142875" cy="133350"/>
                          </a:xfrm>
                          <a:prstGeom prst="rect">
                            <a:avLst/>
                          </a:prstGeom>
                        </pic:spPr>
                      </pic:pic>
                    </a:graphicData>
                  </a:graphic>
                </wp:inline>
              </w:drawing>
            </w:r>
          </w:p>
        </w:tc>
        <w:tc>
          <w:tcPr>
            <w:tcW w:w="695" w:type="dxa"/>
            <w:tcBorders>
              <w:bottom w:val="single" w:sz="12" w:space="0" w:color="7CBC3E"/>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142875" cy="133350"/>
                          </a:xfrm>
                          <a:prstGeom prst="rect">
                            <a:avLst/>
                          </a:prstGeom>
                        </pic:spPr>
                      </pic:pic>
                    </a:graphicData>
                  </a:graphic>
                </wp:inline>
              </w:drawing>
            </w:r>
          </w:p>
        </w:tc>
        <w:tc>
          <w:tcPr>
            <w:tcW w:w="620" w:type="dxa"/>
            <w:tcBorders>
              <w:bottom w:val="single" w:sz="12" w:space="0" w:color="7CBC3E"/>
            </w:tcBorders>
            <w:shd w:fill="auto" w:val="clear"/>
            <w:tcMar>
              <w:bottom w:w="40" w:type="dxa"/>
            </w:tcMar>
            <w:vAlign w:val="center"/>
          </w:tcPr>
          <w:p>
            <w:pPr>
              <w:pStyle w:val="TableContents"/>
              <w:spacing w:before="0" w:after="283"/>
              <w:jc w:val="center"/>
              <w:rPr/>
            </w:pPr>
            <w:r>
              <w:rPr/>
              <w:t> </w:t>
            </w:r>
          </w:p>
        </w:tc>
        <w:tc>
          <w:tcPr>
            <w:tcW w:w="395" w:type="dxa"/>
            <w:tcBorders>
              <w:bottom w:val="single" w:sz="12" w:space="0" w:color="7CBC3E"/>
            </w:tcBorders>
            <w:shd w:fill="auto" w:val="clear"/>
            <w:tcMar>
              <w:bottom w:w="40" w:type="dxa"/>
            </w:tcMar>
            <w:vAlign w:val="center"/>
          </w:tcPr>
          <w:p>
            <w:pPr>
              <w:pStyle w:val="TableContents"/>
              <w:spacing w:before="0" w:after="283"/>
              <w:jc w:val="center"/>
              <w:rPr/>
            </w:pPr>
            <w:r>
              <w:rPr/>
              <w:t> </w:t>
            </w:r>
          </w:p>
        </w:tc>
        <w:tc>
          <w:tcPr>
            <w:tcW w:w="695" w:type="dxa"/>
            <w:tcBorders>
              <w:bottom w:val="single" w:sz="12" w:space="0" w:color="7CBC3E"/>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142875" cy="133350"/>
                          </a:xfrm>
                          <a:prstGeom prst="rect">
                            <a:avLst/>
                          </a:prstGeom>
                        </pic:spPr>
                      </pic:pic>
                    </a:graphicData>
                  </a:graphic>
                </wp:inline>
              </w:drawing>
            </w:r>
          </w:p>
        </w:tc>
        <w:tc>
          <w:tcPr>
            <w:tcW w:w="365" w:type="dxa"/>
            <w:tcBorders>
              <w:bottom w:val="single" w:sz="12" w:space="0" w:color="7CBC3E"/>
            </w:tcBorders>
            <w:shd w:fill="auto" w:val="clear"/>
            <w:tcMar>
              <w:bottom w:w="40" w:type="dxa"/>
            </w:tcMar>
            <w:vAlign w:val="center"/>
          </w:tcPr>
          <w:p>
            <w:pPr>
              <w:pStyle w:val="TableContents"/>
              <w:spacing w:before="0" w:after="283"/>
              <w:jc w:val="center"/>
              <w:rPr/>
            </w:pPr>
            <w:r>
              <w:rPr/>
              <w:t> </w:t>
            </w:r>
          </w:p>
        </w:tc>
        <w:tc>
          <w:tcPr>
            <w:tcW w:w="740" w:type="dxa"/>
            <w:tcBorders>
              <w:bottom w:val="single" w:sz="12" w:space="0" w:color="7CBC3E"/>
            </w:tcBorders>
            <w:shd w:fill="auto" w:val="clear"/>
            <w:tcMar>
              <w:bottom w:w="40" w:type="dxa"/>
            </w:tcMar>
            <w:vAlign w:val="center"/>
          </w:tcPr>
          <w:p>
            <w:pPr>
              <w:pStyle w:val="TableContents"/>
              <w:spacing w:before="0" w:after="283"/>
              <w:jc w:val="center"/>
              <w:rPr/>
            </w:pPr>
            <w:r>
              <w:rPr/>
              <w:t> </w:t>
            </w:r>
          </w:p>
        </w:tc>
        <w:tc>
          <w:tcPr>
            <w:tcW w:w="725" w:type="dxa"/>
            <w:tcBorders>
              <w:bottom w:val="single" w:sz="12" w:space="0" w:color="7CBC3E"/>
            </w:tcBorders>
            <w:shd w:fill="auto" w:val="clear"/>
            <w:tcMar>
              <w:bottom w:w="40" w:type="dxa"/>
            </w:tcMar>
            <w:vAlign w:val="center"/>
          </w:tcPr>
          <w:p>
            <w:pPr>
              <w:pStyle w:val="TableContents"/>
              <w:spacing w:before="0" w:after="283"/>
              <w:jc w:val="center"/>
              <w:rPr/>
            </w:pPr>
            <w:r>
              <w:rPr/>
              <w:t> </w:t>
            </w:r>
          </w:p>
        </w:tc>
      </w:tr>
      <w:tr>
        <w:trPr/>
        <w:tc>
          <w:tcPr>
            <w:tcW w:w="4805" w:type="dxa"/>
            <w:tcBorders>
              <w:bottom w:val="single" w:sz="2" w:space="0" w:color="7CBC3E"/>
            </w:tcBorders>
            <w:shd w:fill="auto" w:val="clear"/>
            <w:tcMar>
              <w:bottom w:w="4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Diversity</w:t>
            </w:r>
          </w:p>
        </w:tc>
        <w:tc>
          <w:tcPr>
            <w:tcW w:w="545"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620"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695"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620"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395"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695"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365"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740" w:type="dxa"/>
            <w:tcBorders>
              <w:bottom w:val="single" w:sz="2" w:space="0" w:color="7CBC3E"/>
            </w:tcBorders>
            <w:shd w:fill="auto" w:val="clear"/>
            <w:tcMar>
              <w:bottom w:w="40" w:type="dxa"/>
            </w:tcMar>
            <w:vAlign w:val="center"/>
          </w:tcPr>
          <w:p>
            <w:pPr>
              <w:pStyle w:val="TableContents"/>
              <w:spacing w:before="0" w:after="283"/>
              <w:jc w:val="center"/>
              <w:rPr/>
            </w:pPr>
            <w:r>
              <w:rPr/>
              <w:t> </w:t>
            </w:r>
          </w:p>
        </w:tc>
        <w:tc>
          <w:tcPr>
            <w:tcW w:w="725" w:type="dxa"/>
            <w:tcBorders>
              <w:bottom w:val="single" w:sz="2" w:space="0" w:color="7CBC3E"/>
            </w:tcBorders>
            <w:shd w:fill="auto" w:val="clear"/>
            <w:tcMar>
              <w:bottom w:w="40" w:type="dxa"/>
            </w:tcMar>
            <w:vAlign w:val="center"/>
          </w:tcPr>
          <w:p>
            <w:pPr>
              <w:pStyle w:val="TableContents"/>
              <w:spacing w:before="0" w:after="283"/>
              <w:jc w:val="center"/>
              <w:rPr/>
            </w:pPr>
            <w:r>
              <w:rPr/>
              <w:t> </w:t>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Gender</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t> </w:t>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Male</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142875" cy="133350"/>
                          </a:xfrm>
                          <a:prstGeom prst="rect">
                            <a:avLst/>
                          </a:prstGeom>
                        </pic:spPr>
                      </pic:pic>
                    </a:graphicData>
                  </a:graphic>
                </wp:inline>
              </w:drawing>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142875" cy="133350"/>
                          </a:xfrm>
                          <a:prstGeom prst="rect">
                            <a:avLst/>
                          </a:prstGeom>
                        </pic:spPr>
                      </pic:pic>
                    </a:graphicData>
                  </a:graphic>
                </wp:inline>
              </w:drawing>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t> </w:t>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Female</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4"/>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5"/>
                          <a:stretch>
                            <a:fillRect/>
                          </a:stretch>
                        </pic:blipFill>
                        <pic:spPr bwMode="auto">
                          <a:xfrm>
                            <a:off x="0" y="0"/>
                            <a:ext cx="142875" cy="133350"/>
                          </a:xfrm>
                          <a:prstGeom prst="rect">
                            <a:avLst/>
                          </a:prstGeom>
                        </pic:spPr>
                      </pic:pic>
                    </a:graphicData>
                  </a:graphic>
                </wp:inline>
              </w:drawing>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36"/>
                          <a:stretch>
                            <a:fillRect/>
                          </a:stretch>
                        </pic:blipFill>
                        <pic:spPr bwMode="auto">
                          <a:xfrm>
                            <a:off x="0" y="0"/>
                            <a:ext cx="142875" cy="133350"/>
                          </a:xfrm>
                          <a:prstGeom prst="rect">
                            <a:avLst/>
                          </a:prstGeom>
                        </pic:spPr>
                      </pic:pic>
                    </a:graphicData>
                  </a:graphic>
                </wp:inline>
              </w:drawing>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Race/Ethnicity</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t> </w:t>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Asian</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37"/>
                          <a:stretch>
                            <a:fillRect/>
                          </a:stretch>
                        </pic:blipFill>
                        <pic:spPr bwMode="auto">
                          <a:xfrm>
                            <a:off x="0" y="0"/>
                            <a:ext cx="142875" cy="133350"/>
                          </a:xfrm>
                          <a:prstGeom prst="rect">
                            <a:avLst/>
                          </a:prstGeom>
                        </pic:spPr>
                      </pic:pic>
                    </a:graphicData>
                  </a:graphic>
                </wp:inline>
              </w:drawing>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38"/>
                          <a:stretch>
                            <a:fillRect/>
                          </a:stretch>
                        </pic:blipFill>
                        <pic:spPr bwMode="auto">
                          <a:xfrm>
                            <a:off x="0" y="0"/>
                            <a:ext cx="142875" cy="133350"/>
                          </a:xfrm>
                          <a:prstGeom prst="rect">
                            <a:avLst/>
                          </a:prstGeom>
                        </pic:spPr>
                      </pic:pic>
                    </a:graphicData>
                  </a:graphic>
                </wp:inline>
              </w:drawing>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39"/>
                          <a:stretch>
                            <a:fillRect/>
                          </a:stretch>
                        </pic:blipFill>
                        <pic:spPr bwMode="auto">
                          <a:xfrm>
                            <a:off x="0" y="0"/>
                            <a:ext cx="142875" cy="133350"/>
                          </a:xfrm>
                          <a:prstGeom prst="rect">
                            <a:avLst/>
                          </a:prstGeom>
                        </pic:spPr>
                      </pic:pic>
                    </a:graphicData>
                  </a:graphic>
                </wp:inline>
              </w:drawing>
            </w:r>
          </w:p>
        </w:tc>
      </w:tr>
      <w:tr>
        <w:trPr/>
        <w:tc>
          <w:tcPr>
            <w:tcW w:w="4805" w:type="dxa"/>
            <w:tcBorders>
              <w:bottom w:val="dotted"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White</w:t>
            </w:r>
          </w:p>
        </w:tc>
        <w:tc>
          <w:tcPr>
            <w:tcW w:w="54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40"/>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41"/>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42"/>
                          <a:stretch>
                            <a:fillRect/>
                          </a:stretch>
                        </pic:blipFill>
                        <pic:spPr bwMode="auto">
                          <a:xfrm>
                            <a:off x="0" y="0"/>
                            <a:ext cx="142875" cy="133350"/>
                          </a:xfrm>
                          <a:prstGeom prst="rect">
                            <a:avLst/>
                          </a:prstGeom>
                        </pic:spPr>
                      </pic:pic>
                    </a:graphicData>
                  </a:graphic>
                </wp:inline>
              </w:drawing>
            </w:r>
          </w:p>
        </w:tc>
        <w:tc>
          <w:tcPr>
            <w:tcW w:w="620"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43"/>
                          <a:stretch>
                            <a:fillRect/>
                          </a:stretch>
                        </pic:blipFill>
                        <pic:spPr bwMode="auto">
                          <a:xfrm>
                            <a:off x="0" y="0"/>
                            <a:ext cx="142875" cy="133350"/>
                          </a:xfrm>
                          <a:prstGeom prst="rect">
                            <a:avLst/>
                          </a:prstGeom>
                        </pic:spPr>
                      </pic:pic>
                    </a:graphicData>
                  </a:graphic>
                </wp:inline>
              </w:drawing>
            </w:r>
          </w:p>
        </w:tc>
        <w:tc>
          <w:tcPr>
            <w:tcW w:w="3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44"/>
                          <a:stretch>
                            <a:fillRect/>
                          </a:stretch>
                        </pic:blipFill>
                        <pic:spPr bwMode="auto">
                          <a:xfrm>
                            <a:off x="0" y="0"/>
                            <a:ext cx="142875" cy="133350"/>
                          </a:xfrm>
                          <a:prstGeom prst="rect">
                            <a:avLst/>
                          </a:prstGeom>
                        </pic:spPr>
                      </pic:pic>
                    </a:graphicData>
                  </a:graphic>
                </wp:inline>
              </w:drawing>
            </w:r>
          </w:p>
        </w:tc>
        <w:tc>
          <w:tcPr>
            <w:tcW w:w="695" w:type="dxa"/>
            <w:tcBorders>
              <w:bottom w:val="dotted" w:sz="2" w:space="0" w:color="000000"/>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45"/>
                          <a:stretch>
                            <a:fillRect/>
                          </a:stretch>
                        </pic:blipFill>
                        <pic:spPr bwMode="auto">
                          <a:xfrm>
                            <a:off x="0" y="0"/>
                            <a:ext cx="142875" cy="133350"/>
                          </a:xfrm>
                          <a:prstGeom prst="rect">
                            <a:avLst/>
                          </a:prstGeom>
                        </pic:spPr>
                      </pic:pic>
                    </a:graphicData>
                  </a:graphic>
                </wp:inline>
              </w:drawing>
            </w:r>
          </w:p>
        </w:tc>
        <w:tc>
          <w:tcPr>
            <w:tcW w:w="365"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40" w:type="dxa"/>
            <w:tcBorders>
              <w:bottom w:val="dotted" w:sz="2" w:space="0" w:color="000000"/>
            </w:tcBorders>
            <w:shd w:fill="auto" w:val="clear"/>
            <w:tcMar>
              <w:bottom w:w="40" w:type="dxa"/>
            </w:tcMar>
            <w:vAlign w:val="center"/>
          </w:tcPr>
          <w:p>
            <w:pPr>
              <w:pStyle w:val="TableContents"/>
              <w:spacing w:before="0" w:after="283"/>
              <w:jc w:val="center"/>
              <w:rPr/>
            </w:pPr>
            <w:r>
              <w:rPr/>
              <w:t> </w:t>
            </w:r>
          </w:p>
        </w:tc>
        <w:tc>
          <w:tcPr>
            <w:tcW w:w="725" w:type="dxa"/>
            <w:tcBorders>
              <w:bottom w:val="dotted" w:sz="2" w:space="0" w:color="000000"/>
            </w:tcBorders>
            <w:shd w:fill="auto" w:val="clear"/>
            <w:tcMar>
              <w:bottom w:w="40" w:type="dxa"/>
            </w:tcMar>
            <w:vAlign w:val="center"/>
          </w:tcPr>
          <w:p>
            <w:pPr>
              <w:pStyle w:val="TableContents"/>
              <w:spacing w:before="0" w:after="283"/>
              <w:jc w:val="center"/>
              <w:rPr/>
            </w:pPr>
            <w:r>
              <w:rPr/>
              <w:t> </w:t>
            </w:r>
          </w:p>
        </w:tc>
      </w:tr>
      <w:tr>
        <w:trPr/>
        <w:tc>
          <w:tcPr>
            <w:tcW w:w="4805" w:type="dxa"/>
            <w:tcBorders>
              <w:bottom w:val="single" w:sz="12" w:space="0" w:color="7CBC3E"/>
            </w:tcBorders>
            <w:shd w:fill="auto" w:val="clear"/>
            <w:tcMar>
              <w:bottom w:w="4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LGBTQ+</w:t>
            </w:r>
          </w:p>
        </w:tc>
        <w:tc>
          <w:tcPr>
            <w:tcW w:w="545" w:type="dxa"/>
            <w:tcBorders>
              <w:bottom w:val="single" w:sz="12" w:space="0" w:color="7CBC3E"/>
            </w:tcBorders>
            <w:shd w:fill="auto" w:val="clear"/>
            <w:tcMar>
              <w:bottom w:w="40" w:type="dxa"/>
            </w:tcMar>
            <w:vAlign w:val="center"/>
          </w:tcPr>
          <w:p>
            <w:pPr>
              <w:pStyle w:val="TableContents"/>
              <w:spacing w:before="0" w:after="283"/>
              <w:jc w:val="center"/>
              <w:rPr/>
            </w:pPr>
            <w:r>
              <w:rPr/>
              <w:t> </w:t>
            </w:r>
          </w:p>
        </w:tc>
        <w:tc>
          <w:tcPr>
            <w:tcW w:w="620" w:type="dxa"/>
            <w:tcBorders>
              <w:bottom w:val="single" w:sz="12" w:space="0" w:color="7CBC3E"/>
            </w:tcBorders>
            <w:shd w:fill="auto" w:val="clear"/>
            <w:tcMar>
              <w:bottom w:w="40" w:type="dxa"/>
            </w:tcMar>
            <w:vAlign w:val="center"/>
          </w:tcPr>
          <w:p>
            <w:pPr>
              <w:pStyle w:val="TableContents"/>
              <w:spacing w:before="0" w:after="283"/>
              <w:jc w:val="center"/>
              <w:rPr/>
            </w:pPr>
            <w:r>
              <w:rPr/>
              <w:t> </w:t>
            </w:r>
          </w:p>
        </w:tc>
        <w:tc>
          <w:tcPr>
            <w:tcW w:w="695" w:type="dxa"/>
            <w:tcBorders>
              <w:bottom w:val="single" w:sz="12" w:space="0" w:color="7CBC3E"/>
            </w:tcBorders>
            <w:shd w:fill="auto" w:val="clear"/>
            <w:tcMar>
              <w:bottom w:w="40" w:type="dxa"/>
            </w:tcMar>
            <w:vAlign w:val="center"/>
          </w:tcPr>
          <w:p>
            <w:pPr>
              <w:pStyle w:val="TableContents"/>
              <w:spacing w:before="0" w:after="283"/>
              <w:jc w:val="center"/>
              <w:rPr/>
            </w:pPr>
            <w:r>
              <w:rPr/>
              <w:t> </w:t>
            </w:r>
          </w:p>
        </w:tc>
        <w:tc>
          <w:tcPr>
            <w:tcW w:w="620" w:type="dxa"/>
            <w:tcBorders>
              <w:bottom w:val="single" w:sz="12" w:space="0" w:color="7CBC3E"/>
            </w:tcBorders>
            <w:shd w:fill="auto" w:val="clear"/>
            <w:tcMar>
              <w:bottom w:w="40" w:type="dxa"/>
            </w:tcMar>
            <w:vAlign w:val="center"/>
          </w:tcPr>
          <w:p>
            <w:pPr>
              <w:pStyle w:val="TableContents"/>
              <w:spacing w:before="0" w:after="283"/>
              <w:jc w:val="center"/>
              <w:rPr/>
            </w:pPr>
            <w:r>
              <w:rPr/>
              <w:t> </w:t>
            </w:r>
          </w:p>
        </w:tc>
        <w:tc>
          <w:tcPr>
            <w:tcW w:w="395" w:type="dxa"/>
            <w:tcBorders>
              <w:bottom w:val="single" w:sz="12" w:space="0" w:color="7CBC3E"/>
            </w:tcBorders>
            <w:shd w:fill="auto" w:val="clear"/>
            <w:tcMar>
              <w:bottom w:w="40" w:type="dxa"/>
            </w:tcMar>
            <w:vAlign w:val="center"/>
          </w:tcPr>
          <w:p>
            <w:pPr>
              <w:pStyle w:val="TableContents"/>
              <w:spacing w:before="0" w:after="283"/>
              <w:jc w:val="center"/>
              <w:rPr/>
            </w:pPr>
            <w:r>
              <w:rPr/>
              <w:drawing>
                <wp:inline distT="0" distB="0" distL="0" distR="0">
                  <wp:extent cx="142875" cy="133350"/>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46"/>
                          <a:stretch>
                            <a:fillRect/>
                          </a:stretch>
                        </pic:blipFill>
                        <pic:spPr bwMode="auto">
                          <a:xfrm>
                            <a:off x="0" y="0"/>
                            <a:ext cx="142875" cy="133350"/>
                          </a:xfrm>
                          <a:prstGeom prst="rect">
                            <a:avLst/>
                          </a:prstGeom>
                        </pic:spPr>
                      </pic:pic>
                    </a:graphicData>
                  </a:graphic>
                </wp:inline>
              </w:drawing>
            </w:r>
          </w:p>
        </w:tc>
        <w:tc>
          <w:tcPr>
            <w:tcW w:w="695" w:type="dxa"/>
            <w:tcBorders>
              <w:bottom w:val="single" w:sz="12" w:space="0" w:color="7CBC3E"/>
            </w:tcBorders>
            <w:shd w:fill="auto" w:val="clear"/>
            <w:tcMar>
              <w:bottom w:w="40" w:type="dxa"/>
            </w:tcMar>
            <w:vAlign w:val="center"/>
          </w:tcPr>
          <w:p>
            <w:pPr>
              <w:pStyle w:val="TableContents"/>
              <w:spacing w:before="0" w:after="283"/>
              <w:jc w:val="center"/>
              <w:rPr/>
            </w:pPr>
            <w:r>
              <w:rPr/>
              <w:t> </w:t>
            </w:r>
          </w:p>
        </w:tc>
        <w:tc>
          <w:tcPr>
            <w:tcW w:w="365" w:type="dxa"/>
            <w:tcBorders>
              <w:bottom w:val="single" w:sz="12" w:space="0" w:color="7CBC3E"/>
            </w:tcBorders>
            <w:shd w:fill="auto" w:val="clear"/>
            <w:tcMar>
              <w:bottom w:w="40" w:type="dxa"/>
            </w:tcMar>
            <w:vAlign w:val="center"/>
          </w:tcPr>
          <w:p>
            <w:pPr>
              <w:pStyle w:val="TableContents"/>
              <w:spacing w:before="0" w:after="283"/>
              <w:jc w:val="center"/>
              <w:rPr/>
            </w:pPr>
            <w:r>
              <w:rPr/>
              <w:t> </w:t>
            </w:r>
          </w:p>
        </w:tc>
        <w:tc>
          <w:tcPr>
            <w:tcW w:w="740" w:type="dxa"/>
            <w:tcBorders>
              <w:bottom w:val="single" w:sz="12" w:space="0" w:color="7CBC3E"/>
            </w:tcBorders>
            <w:shd w:fill="auto" w:val="clear"/>
            <w:tcMar>
              <w:bottom w:w="40" w:type="dxa"/>
            </w:tcMar>
            <w:vAlign w:val="center"/>
          </w:tcPr>
          <w:p>
            <w:pPr>
              <w:pStyle w:val="TableContents"/>
              <w:spacing w:before="0" w:after="283"/>
              <w:jc w:val="center"/>
              <w:rPr/>
            </w:pPr>
            <w:r>
              <w:rPr/>
              <w:t> </w:t>
            </w:r>
          </w:p>
        </w:tc>
        <w:tc>
          <w:tcPr>
            <w:tcW w:w="725" w:type="dxa"/>
            <w:tcBorders>
              <w:bottom w:val="single" w:sz="12" w:space="0" w:color="7CBC3E"/>
            </w:tcBorders>
            <w:shd w:fill="auto" w:val="clear"/>
            <w:tcMar>
              <w:bottom w:w="40" w:type="dxa"/>
            </w:tcM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8</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rPr>
          <w:rFonts w:ascii="Arial;Helvetica;Sans-Serif" w:hAnsi="Arial;Helvetica;Sans-Serif"/>
          <w:b/>
          <w:i w:val="false"/>
          <w:caps w:val="false"/>
          <w:smallCaps w:val="false"/>
          <w:sz w:val="28"/>
        </w:rPr>
      </w:pPr>
      <w:bookmarkStart w:id="8" w:name="lrarea006"/>
      <w:bookmarkEnd w:id="8"/>
      <w:r>
        <w:rPr>
          <w:rFonts w:ascii="Arial;Helvetica;Sans-Serif" w:hAnsi="Arial;Helvetica;Sans-Serif"/>
          <w:b/>
          <w:i w:val="false"/>
          <w:caps w:val="false"/>
          <w:smallCaps w:val="false"/>
          <w:sz w:val="28"/>
        </w:rPr>
        <w:t>Corporate Governance Overview</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committed to maintaining good corporate governance practices and we periodically review our practices. We believe that good corporate governance, including the practices listed below, promotes the long term interests of our stockholders.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All of our directors are independent, other than our President and Chief Executive Officer</w:t>
            </w:r>
          </w:p>
        </w:tc>
      </w:tr>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Director Resignation Policy that applies when a director fails to receive majority support in an uncontested election</w:t>
            </w:r>
          </w:p>
        </w:tc>
      </w:tr>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Completely independent Audit Committee, Nominating and Corporate Governance Committee and Compensation Committee </w:t>
            </w:r>
          </w:p>
        </w:tc>
      </w:tr>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Strong and active independent Chairman</w:t>
            </w:r>
          </w:p>
        </w:tc>
      </w:tr>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Annual Board and committee self-evaluations</w:t>
            </w:r>
          </w:p>
        </w:tc>
      </w:tr>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Active stockholder engagement program</w:t>
            </w:r>
          </w:p>
        </w:tc>
      </w:tr>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All our current directors attended at least 90% of board and committee meetings of which the director was a member in 2022</w:t>
            </w:r>
          </w:p>
        </w:tc>
      </w:tr>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Minimum stock ownership requirements for named executive officers and directors </w:t>
            </w:r>
          </w:p>
        </w:tc>
      </w:tr>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Director Overboarding Policy limiting the total number of public company boards that a director may serve to five total public company boards and public company CEO directors to three total public company boards </w:t>
            </w:r>
          </w:p>
        </w:tc>
      </w:tr>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Board and committees are authorized to engage outside advisors independently of management </w:t>
            </w:r>
          </w:p>
        </w:tc>
      </w:tr>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Clawback Policy which permits us to recover 100% of any of any incentive based compensation (including performance based cash and equity compensation tied to performance objectives) that we pay to our current or former executive officers (see section entitled “Clawback Policy” of this Proxy Statement for additional details) </w:t>
            </w:r>
          </w:p>
        </w:tc>
      </w:tr>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Prohibition against hedging transactions by our directors and employees, including our executive officers </w:t>
            </w:r>
          </w:p>
        </w:tc>
      </w:tr>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Corporate Governance Guidelines and robust Global Code of Conduct</w:t>
            </w:r>
          </w:p>
        </w:tc>
      </w:tr>
    </w:tbl>
    <w:p>
      <w:pPr>
        <w:pStyle w:val="TextBody"/>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9</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rPr>
          <w:rFonts w:ascii="Arial;Helvetica;Sans-Serif" w:hAnsi="Arial;Helvetica;Sans-Serif"/>
          <w:b/>
          <w:i w:val="false"/>
          <w:caps w:val="false"/>
          <w:smallCaps w:val="false"/>
          <w:color w:val="743F7B"/>
          <w:sz w:val="28"/>
        </w:rPr>
      </w:pPr>
      <w:bookmarkStart w:id="9" w:name="lrarea007"/>
      <w:bookmarkEnd w:id="9"/>
      <w:r>
        <w:rPr>
          <w:rFonts w:ascii="Arial;Helvetica;Sans-Serif" w:hAnsi="Arial;Helvetica;Sans-Serif"/>
          <w:b/>
          <w:i w:val="false"/>
          <w:caps w:val="false"/>
          <w:smallCaps w:val="false"/>
          <w:color w:val="743F7B"/>
          <w:sz w:val="28"/>
        </w:rPr>
        <w:t>PROPOSAL 1</w:t>
      </w:r>
    </w:p>
    <w:p>
      <w:pPr>
        <w:pStyle w:val="Heading2"/>
        <w:rPr>
          <w:rFonts w:ascii="Arial;Helvetica;Sans-Serif" w:hAnsi="Arial;Helvetica;Sans-Serif"/>
          <w:b/>
          <w:i w:val="false"/>
          <w:caps w:val="false"/>
          <w:smallCaps w:val="false"/>
          <w:color w:val="7CBC3E"/>
          <w:sz w:val="40"/>
        </w:rPr>
      </w:pPr>
      <w:r>
        <w:rPr>
          <w:rFonts w:ascii="Arial;Helvetica;Sans-Serif" w:hAnsi="Arial;Helvetica;Sans-Serif"/>
          <w:b/>
          <w:i w:val="false"/>
          <w:caps w:val="false"/>
          <w:smallCaps w:val="false"/>
          <w:color w:val="7CBC3E"/>
          <w:sz w:val="40"/>
        </w:rPr>
        <w:t>Election of Class I Directors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Amended and Restated Certificate of Incorporation provides that the Board is to be divided into three classes as nearly equal in number as reasonably possible, with directors in each class generally serving three-year terms. The total Board size is currently fixed at nine directors. The Class I directors (whose terms expire at the Annual Meeting) are Emil D. Kakkis, M.D., Ph.D., Shehnaaz Suliman, M.D., and Daniel G. Welch, and each of them were most recently elected by stockholders at the 2020 Annual Meeting. The Class II directors (whose terms expire at the 2024 annual meeting of stockholders) are Deborah Dunsire M.D., Michael Narachi and Corsee D. Sanders, Ph.D. The Class III directors (whose terms expire at the 2025 Annual Meeting) are Lars Ekman, M.D., Ph.D., Matthew K. Fust and Amrit Ray, M.D. Dr. Ekman will be retiring as a director immediately after the Annual Meeting. The Class I directors elected at the Annual Meeting will hold office until the 2026 annual meeting of stockholders or until their successors are elected and qualified, unless they resign or their seats become vacant due to death, removal, or other cause in accordance with our Amended and Restated Bylaws (bylaws).</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described below, the Board, upon the recommendation of the Nominating and Corporate Governance Committee, has nominated the director nominees listed above for election as directors at the Annual Meeting. They have indicated their willingness and ability to serve if elected. Should any of them become unable or, for good cause, unwilling to serve, the persons named on the enclosed proxy card as proxy holders may vote all proxies given in response to this solicitation for the election of a substitute nominee(s) chosen by the Board or the Board may reduce the size of the Board.</w:t>
      </w:r>
    </w:p>
    <w:p>
      <w:pPr>
        <w:pStyle w:val="TextBody"/>
        <w:rPr>
          <w:caps w:val="false"/>
          <w:smallCaps w:val="false"/>
        </w:rPr>
      </w:pPr>
      <w:r>
        <w:rPr>
          <w:caps w:val="false"/>
          <w:smallCaps w:val="false"/>
        </w:rPr>
        <w:t> </w:t>
      </w:r>
    </w:p>
    <w:p>
      <w:pPr>
        <w:pStyle w:val="Heading3"/>
        <w:rPr>
          <w:rFonts w:ascii="Arial;Helvetica;Sans-Serif" w:hAnsi="Arial;Helvetica;Sans-Serif"/>
          <w:b/>
          <w:i w:val="false"/>
          <w:caps w:val="false"/>
          <w:smallCaps w:val="false"/>
          <w:sz w:val="28"/>
        </w:rPr>
      </w:pPr>
      <w:bookmarkStart w:id="10" w:name="lrarea008"/>
      <w:bookmarkEnd w:id="10"/>
      <w:r>
        <w:rPr>
          <w:rFonts w:ascii="Arial;Helvetica;Sans-Serif" w:hAnsi="Arial;Helvetica;Sans-Serif"/>
          <w:b/>
          <w:i w:val="false"/>
          <w:caps w:val="false"/>
          <w:smallCaps w:val="false"/>
          <w:sz w:val="28"/>
        </w:rPr>
        <w:t>Nomination of Directors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The Nominating and Corporate Governance Committee reviews and recommends to the Board potential nominees for election to the Board. In reviewing potential nominees, the Nominating and Corporate Governance Committee considers the qualifications of each potential nominee in light of the Board’s existing and desired mix of experience and expertise. Specifically, the Nominating and Corporate Governance Committee considers each potential nominee’s personal and professional ethics, integrity, values, experience, interest in the Company, and commitment to the representation of the long-term interests of the stockholders. As described more fully above under ” – Board Diversity, Skills and Expertise”, the Nominating and Corporate Governance Committee also considers each potential nominee’s contribution to the Board’s diversity of talents, skills, backgrounds, including with respect to age, gender, national origin, sexual orientation and identification, race, ethnicity and culture, and expertise. Additionally, the Nominating and Corporate Governance Committee considers whether a nominee will be able to dedicate sufficient time to, and focus on, his or her duties as a member of the Board. The Board membership criteria are set forth in our Corporate Governance Guidelines, a copy of which is available on our website at </w:t>
      </w:r>
      <w:r>
        <w:rPr>
          <w:rFonts w:ascii="Arial;Helvetica;Sans-Serif" w:hAnsi="Arial;Helvetica;Sans-Serif"/>
          <w:b w:val="false"/>
          <w:i/>
          <w:caps w:val="false"/>
          <w:smallCaps w:val="false"/>
          <w:sz w:val="18"/>
        </w:rPr>
        <w:t xml:space="preserve">www.ultragenyx.com </w:t>
      </w:r>
      <w:r>
        <w:rPr>
          <w:rFonts w:ascii="Arial;Helvetica;Sans-Serif" w:hAnsi="Arial;Helvetica;Sans-Serif"/>
          <w:b w:val="false"/>
          <w:i w:val="false"/>
          <w:caps w:val="false"/>
          <w:smallCaps w:val="false"/>
          <w:sz w:val="18"/>
        </w:rPr>
        <w:t>in the “Corporate Governance” subsection of the “Investors” tab. The Nominating and Corporate Governance Committee assesses its effectiveness in balancing these considerations in connection with its annual evaluation of the composition of the Board.</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After reviewing the qualifications of potential Board candidates, the Nominating and Corporate Governance Committee presents its recommendations to the Board, which selects the final director nominees. We did not pay any fees to any third party to identify or assist in identifying or evaluating nominees for the Annual Meeting.</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Nominating and Corporate Governance Committee considers stockholder-recommended director nominees using the same criteria set forth above. Stockholders who wish to recommend a potential nominee to the Nominating and Corporate Governance Committee for consideration for election at a future annual meeting of stockholders must submit such recommendation to the Nominating and Corporate Governance Committee as described in the section titled “Stockholder Communications” and provide the Nominating and Corporate Governance Committee with the same information that would be required to nominate a director candidate in accordance with the process and within the deadline for nominating director candidates set forth below under the question “</w:t>
      </w:r>
      <w:r>
        <w:rPr>
          <w:rFonts w:ascii="Arial;Helvetica;Sans-Serif" w:hAnsi="Arial;Helvetica;Sans-Serif"/>
          <w:b w:val="false"/>
          <w:i/>
          <w:caps w:val="false"/>
          <w:smallCaps w:val="false"/>
          <w:sz w:val="18"/>
        </w:rPr>
        <w:t xml:space="preserve">When are stockholder proposals and director nominations for inclusion in our proxy statement for next year’s annual meeting due?” </w:t>
      </w:r>
      <w:r>
        <w:rPr>
          <w:rFonts w:ascii="Arial;Helvetica;Sans-Serif" w:hAnsi="Arial;Helvetica;Sans-Serif"/>
          <w:b w:val="false"/>
          <w:i w:val="false"/>
          <w:caps w:val="false"/>
          <w:smallCaps w:val="false"/>
          <w:sz w:val="18"/>
        </w:rPr>
        <w:t>in the section entitled “Additional Information”.</w:t>
      </w:r>
    </w:p>
    <w:p>
      <w:pPr>
        <w:pStyle w:val="TextBody"/>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10</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rPr>
          <w:rFonts w:ascii="Arial;Helvetica;Sans-Serif" w:hAnsi="Arial;Helvetica;Sans-Serif"/>
          <w:b/>
          <w:i w:val="false"/>
          <w:caps w:val="false"/>
          <w:smallCaps w:val="false"/>
          <w:sz w:val="28"/>
        </w:rPr>
      </w:pPr>
      <w:bookmarkStart w:id="11" w:name="lrarea009"/>
      <w:bookmarkEnd w:id="11"/>
      <w:r>
        <w:rPr>
          <w:rFonts w:ascii="Arial;Helvetica;Sans-Serif" w:hAnsi="Arial;Helvetica;Sans-Serif"/>
          <w:b/>
          <w:i w:val="false"/>
          <w:caps w:val="false"/>
          <w:smallCaps w:val="false"/>
          <w:sz w:val="28"/>
        </w:rPr>
        <w:t>Nominees and Incumbent Directors</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Information regarding our director nominees and our current directors, including their respective age as of the date of this Proxy Statement and their principal occupation, is set forth below.</w:t>
      </w:r>
    </w:p>
    <w:p>
      <w:pPr>
        <w:pStyle w:val="TextBody"/>
        <w:rPr>
          <w:caps w:val="false"/>
          <w:smallCaps w:val="false"/>
        </w:rPr>
      </w:pPr>
      <w:r>
        <w:rPr>
          <w:caps w:val="false"/>
          <w:smallCaps w:val="false"/>
        </w:rPr>
        <w:t> </w:t>
      </w:r>
    </w:p>
    <w:p>
      <w:pPr>
        <w:pStyle w:val="TextBody"/>
        <w:rPr>
          <w:rFonts w:ascii="Arial;Helvetica;Sans-Serif" w:hAnsi="Arial;Helvetica;Sans-Serif"/>
          <w:b/>
          <w:i w:val="false"/>
          <w:caps w:val="false"/>
          <w:smallCaps w:val="false"/>
          <w:sz w:val="28"/>
        </w:rPr>
      </w:pPr>
      <w:bookmarkStart w:id="12" w:name="lrarea010"/>
      <w:bookmarkEnd w:id="12"/>
      <w:r>
        <w:rPr>
          <w:rFonts w:ascii="Arial;Helvetica;Sans-Serif" w:hAnsi="Arial;Helvetica;Sans-Serif"/>
          <w:b/>
          <w:i w:val="false"/>
          <w:caps w:val="false"/>
          <w:smallCaps w:val="false"/>
          <w:sz w:val="28"/>
        </w:rPr>
        <w:t>Class I Directors Nominated for Election</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825"/>
        <w:gridCol w:w="60"/>
        <w:gridCol w:w="7320"/>
      </w:tblGrid>
      <w:tr>
        <w:trPr/>
        <w:tc>
          <w:tcPr>
            <w:tcW w:w="2825" w:type="dxa"/>
            <w:tcBorders/>
            <w:shd w:fill="auto" w:val="clear"/>
            <w:vAlign w:val="center"/>
          </w:tcPr>
          <w:p>
            <w:pPr>
              <w:pStyle w:val="TableContents"/>
              <w:spacing w:before="0" w:after="283"/>
              <w:rPr>
                <w:rFonts w:ascii="Arial;Helvetica;Sans-Serif" w:hAnsi="Arial;Helvetica;Sans-Serif"/>
                <w:b/>
                <w:i w:val="false"/>
                <w:caps w:val="false"/>
                <w:smallCaps w:val="false"/>
                <w:color w:val="7CBC3E"/>
                <w:sz w:val="20"/>
              </w:rPr>
            </w:pPr>
            <w:r>
              <w:rPr>
                <w:rFonts w:ascii="Arial;Helvetica;Sans-Serif" w:hAnsi="Arial;Helvetica;Sans-Serif"/>
                <w:b/>
                <w:i w:val="false"/>
                <w:caps w:val="false"/>
                <w:smallCaps w:val="false"/>
                <w:color w:val="7CBC3E"/>
                <w:sz w:val="20"/>
              </w:rPr>
              <w:t>Emil D. Kakkis, M.D., Ph.D.</w:t>
            </w:r>
          </w:p>
        </w:tc>
        <w:tc>
          <w:tcPr>
            <w:tcW w:w="60" w:type="dxa"/>
            <w:tcBorders/>
            <w:shd w:fill="auto" w:val="clear"/>
            <w:vAlign w:val="center"/>
          </w:tcPr>
          <w:p>
            <w:pPr>
              <w:pStyle w:val="TableContents"/>
              <w:spacing w:before="0" w:after="283"/>
              <w:rPr/>
            </w:pPr>
            <w:r>
              <w:rPr/>
              <w:t> </w:t>
            </w:r>
          </w:p>
        </w:tc>
        <w:tc>
          <w:tcPr>
            <w:tcW w:w="7320" w:type="dxa"/>
            <w:tcBorders/>
            <w:shd w:fill="auto" w:val="clear"/>
            <w:vAlign w:val="center"/>
          </w:tcPr>
          <w:p>
            <w:pPr>
              <w:pStyle w:val="TableContents"/>
              <w:spacing w:before="0" w:after="283"/>
              <w:rPr/>
            </w:pPr>
            <w:r>
              <w:rPr/>
              <w:t> </w:t>
            </w:r>
          </w:p>
        </w:tc>
      </w:tr>
      <w:tr>
        <w:trPr/>
        <w:tc>
          <w:tcPr>
            <w:tcW w:w="2825" w:type="dxa"/>
            <w:tcBorders>
              <w:bottom w:val="single" w:sz="12" w:space="0" w:color="7CBC3E"/>
            </w:tcBorders>
            <w:shd w:fill="auto" w:val="clear"/>
            <w:tcMar>
              <w:bottom w:w="28"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Founder, President and CEO</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7320" w:type="dxa"/>
            <w:tcBorders>
              <w:bottom w:val="single" w:sz="12" w:space="0" w:color="7CBC3E"/>
            </w:tcBorders>
            <w:shd w:fill="auto" w:val="clear"/>
            <w:tcMar>
              <w:bottom w:w="28" w:type="dxa"/>
            </w:tcMar>
            <w:vAlign w:val="center"/>
          </w:tcPr>
          <w:p>
            <w:pPr>
              <w:pStyle w:val="TableContents"/>
              <w:spacing w:before="0" w:after="283"/>
              <w:rPr/>
            </w:pPr>
            <w:r>
              <w:rPr/>
              <w:t> </w:t>
            </w:r>
          </w:p>
        </w:tc>
      </w:tr>
      <w:tr>
        <w:trPr/>
        <w:tc>
          <w:tcPr>
            <w:tcW w:w="2825" w:type="dxa"/>
            <w:tcBorders>
              <w:bottom w:val="single" w:sz="12" w:space="0" w:color="7CBC3E"/>
            </w:tcBorders>
            <w:shd w:fill="F0FEE5" w:val="clear"/>
            <w:tcMar>
              <w:bottom w:w="60" w:type="dxa"/>
            </w:tcMar>
            <w:vAlign w:val="center"/>
          </w:tcPr>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Age: </w:t>
            </w:r>
            <w:r>
              <w:rPr>
                <w:rFonts w:ascii="Arial;Helvetica;Sans-Serif" w:hAnsi="Arial;Helvetica;Sans-Serif"/>
                <w:b/>
                <w:i w:val="false"/>
                <w:caps w:val="false"/>
                <w:smallCaps w:val="false"/>
                <w:color w:val="7CBC3E"/>
                <w:sz w:val="18"/>
              </w:rPr>
              <w:t>62</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Director since: </w:t>
            </w:r>
            <w:r>
              <w:rPr>
                <w:rFonts w:ascii="Arial;Helvetica;Sans-Serif" w:hAnsi="Arial;Helvetica;Sans-Serif"/>
                <w:b/>
                <w:i w:val="false"/>
                <w:caps w:val="false"/>
                <w:smallCaps w:val="false"/>
                <w:color w:val="7CBC3E"/>
                <w:sz w:val="18"/>
              </w:rPr>
              <w:t>2010</w:t>
            </w:r>
          </w:p>
          <w:p>
            <w:pPr>
              <w:pStyle w:val="TableContents"/>
              <w:rPr>
                <w:caps w:val="false"/>
                <w:smallCaps w:val="false"/>
                <w:color w:val="7CBC3E"/>
              </w:rPr>
            </w:pPr>
            <w:r>
              <w:rPr>
                <w:caps w:val="false"/>
                <w:smallCaps w:val="false"/>
                <w:color w:val="7CBC3E"/>
              </w:rPr>
              <w:t> </w:t>
            </w:r>
          </w:p>
          <w:p>
            <w:pPr>
              <w:pStyle w:val="TableContents"/>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NOT INDEPENDENT</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Committees: </w:t>
            </w:r>
            <w:r>
              <w:rPr>
                <w:rFonts w:ascii="Arial;Helvetica;Sans-Serif" w:hAnsi="Arial;Helvetica;Sans-Serif"/>
                <w:b/>
                <w:i w:val="false"/>
                <w:caps w:val="false"/>
                <w:smallCaps w:val="false"/>
                <w:color w:val="7CBC3E"/>
                <w:sz w:val="18"/>
              </w:rPr>
              <w:t>1</w:t>
            </w:r>
          </w:p>
          <w:p>
            <w:pPr>
              <w:pStyle w:val="TableContents"/>
              <w:rPr>
                <w:caps w:val="false"/>
                <w:smallCaps w:val="false"/>
              </w:rPr>
            </w:pPr>
            <w:r>
              <w:rPr>
                <w:caps w:val="false"/>
                <w:smallCaps w:val="false"/>
              </w:rPr>
              <w:t> </w:t>
            </w:r>
          </w:p>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Other Public Directorships: </w:t>
            </w:r>
            <w:r>
              <w:rPr>
                <w:rFonts w:ascii="Arial;Helvetica;Sans-Serif" w:hAnsi="Arial;Helvetica;Sans-Serif"/>
                <w:b/>
                <w:i w:val="false"/>
                <w:caps w:val="false"/>
                <w:smallCaps w:val="false"/>
                <w:color w:val="7CBC3E"/>
                <w:sz w:val="18"/>
              </w:rPr>
              <w:t>0       </w:t>
            </w:r>
          </w:p>
        </w:tc>
        <w:tc>
          <w:tcPr>
            <w:tcW w:w="60" w:type="dxa"/>
            <w:tcBorders>
              <w:bottom w:val="single" w:sz="12" w:space="0" w:color="7CBC3E"/>
            </w:tcBorders>
            <w:shd w:fill="auto" w:val="clear"/>
            <w:tcMar>
              <w:bottom w:w="60" w:type="dxa"/>
            </w:tcMar>
            <w:vAlign w:val="center"/>
          </w:tcPr>
          <w:p>
            <w:pPr>
              <w:pStyle w:val="TableContents"/>
              <w:spacing w:before="0" w:after="283"/>
              <w:rPr/>
            </w:pPr>
            <w:r>
              <w:rPr/>
              <w:t> </w:t>
            </w:r>
          </w:p>
        </w:tc>
        <w:tc>
          <w:tcPr>
            <w:tcW w:w="7320" w:type="dxa"/>
            <w:tcBorders>
              <w:bottom w:val="single" w:sz="12" w:space="0" w:color="7CBC3E"/>
            </w:tcBorders>
            <w:shd w:fill="auto" w:val="clear"/>
            <w:tcMar>
              <w:bottom w:w="60" w:type="dxa"/>
            </w:tcMar>
            <w:vAlign w:val="center"/>
          </w:tcPr>
          <w:p>
            <w:pPr>
              <w:pStyle w:val="TableContents"/>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Dr. Kakkis is our founder and has served as our President and Chief Executive Officer and as a member of our Board since our inception in April 2010. Dr. Kakkis has also been serving as interim principal financial officer following the departure of the Company’s Chief Financial Officer in November 2022. Prior to Ultragenyx, from September 1998 to February 2009, Dr. Kakkis served in various executive capacities, and ultimately as Chief Medical Officer, at BioMarin Pharmaceutical Inc., a biopharmaceutical company. Dr. Kakkis then served as a development consultant to BioMarin from 2009 to 2010. Dr. Kakkis is also Founder of EveryLife Foundation for Rare Diseases, a non-profit organization he started in 2009 to accelerate biotechnology innovation for rare diseases. Dr. Kakkis received the Termeer Visionary Leadership Award in 2019 and the Leadership Award from the California Life Sciences Association in 2021. Dr. Kakkis is board certified in Medical Genetics and was board certified in Pediatrics. He holds a B.A. in Biology from Pomona College and combined M.D. and Ph.D. degrees from the UCLA School of Medicine’s Medical Scientist Training Program where he received the Bogen prize for his research.</w:t>
            </w:r>
          </w:p>
          <w:p>
            <w:pPr>
              <w:pStyle w:val="TableContents"/>
              <w:rPr>
                <w:caps w:val="false"/>
                <w:smallCaps w:val="false"/>
                <w:color w:val="7CBC3E"/>
              </w:rPr>
            </w:pPr>
            <w:r>
              <w:rPr>
                <w:caps w:val="false"/>
                <w:smallCaps w:val="false"/>
                <w:color w:val="7CBC3E"/>
              </w:rPr>
              <w:t> </w:t>
            </w:r>
          </w:p>
          <w:p>
            <w:pPr>
              <w:pStyle w:val="TableContents"/>
              <w:spacing w:before="0" w:after="60"/>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Skills and Qualifications specific to Ultragenyx:</w:t>
            </w:r>
          </w:p>
          <w:p>
            <w:pPr>
              <w:pStyle w:val="TableContents"/>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Dr. Kakkis possesses specific expert knowledge of genetics and rare diseases and operational experience in the life sciences sector that qualify him to serve on our Board.</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780"/>
        <w:gridCol w:w="60"/>
        <w:gridCol w:w="7365"/>
      </w:tblGrid>
      <w:tr>
        <w:trPr/>
        <w:tc>
          <w:tcPr>
            <w:tcW w:w="10205" w:type="dxa"/>
            <w:gridSpan w:val="3"/>
            <w:tcBorders/>
            <w:shd w:fill="auto" w:val="clear"/>
            <w:vAlign w:val="center"/>
          </w:tcPr>
          <w:p>
            <w:pPr>
              <w:pStyle w:val="TableContents"/>
              <w:spacing w:before="0" w:after="283"/>
              <w:rPr>
                <w:rFonts w:ascii="Arial;Helvetica;Sans-Serif" w:hAnsi="Arial;Helvetica;Sans-Serif"/>
                <w:b/>
                <w:i w:val="false"/>
                <w:caps w:val="false"/>
                <w:smallCaps w:val="false"/>
                <w:color w:val="7CBC3E"/>
                <w:sz w:val="20"/>
              </w:rPr>
            </w:pPr>
            <w:r>
              <w:rPr>
                <w:rFonts w:ascii="Arial;Helvetica;Sans-Serif" w:hAnsi="Arial;Helvetica;Sans-Serif"/>
                <w:b/>
                <w:i w:val="false"/>
                <w:caps w:val="false"/>
                <w:smallCaps w:val="false"/>
                <w:color w:val="7CBC3E"/>
                <w:sz w:val="20"/>
              </w:rPr>
              <w:t>Shehnaaz Suliman, M.D., M.Phil., M.B.A</w:t>
            </w:r>
          </w:p>
        </w:tc>
      </w:tr>
      <w:tr>
        <w:trPr/>
        <w:tc>
          <w:tcPr>
            <w:tcW w:w="10205" w:type="dxa"/>
            <w:gridSpan w:val="3"/>
            <w:tcBorders>
              <w:bottom w:val="single" w:sz="12" w:space="0" w:color="7CBC3E"/>
            </w:tcBorders>
            <w:shd w:fill="auto" w:val="clear"/>
            <w:tcMar>
              <w:bottom w:w="28"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Chief Executive Officer of ReCode Therapeutics</w:t>
            </w:r>
          </w:p>
        </w:tc>
      </w:tr>
      <w:tr>
        <w:trPr/>
        <w:tc>
          <w:tcPr>
            <w:tcW w:w="2780" w:type="dxa"/>
            <w:tcBorders>
              <w:bottom w:val="single" w:sz="12" w:space="0" w:color="7CBC3E"/>
            </w:tcBorders>
            <w:shd w:fill="F0FEE5" w:val="clear"/>
            <w:tcMar>
              <w:bottom w:w="60" w:type="dxa"/>
            </w:tcMar>
            <w:vAlign w:val="center"/>
          </w:tcPr>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Age: </w:t>
            </w:r>
            <w:r>
              <w:rPr>
                <w:rFonts w:ascii="Arial;Helvetica;Sans-Serif" w:hAnsi="Arial;Helvetica;Sans-Serif"/>
                <w:b/>
                <w:i w:val="false"/>
                <w:caps w:val="false"/>
                <w:smallCaps w:val="false"/>
                <w:color w:val="7CBC3E"/>
                <w:sz w:val="18"/>
              </w:rPr>
              <w:t>51</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Director since: </w:t>
            </w:r>
            <w:r>
              <w:rPr>
                <w:rFonts w:ascii="Arial;Helvetica;Sans-Serif" w:hAnsi="Arial;Helvetica;Sans-Serif"/>
                <w:b/>
                <w:i w:val="false"/>
                <w:caps w:val="false"/>
                <w:smallCaps w:val="false"/>
                <w:color w:val="7CBC3E"/>
                <w:sz w:val="18"/>
              </w:rPr>
              <w:t>2019</w:t>
            </w:r>
            <w:r>
              <w:rPr>
                <w:rFonts w:ascii="Arial;Helvetica;Sans-Serif" w:hAnsi="Arial;Helvetica;Sans-Serif"/>
                <w:b/>
                <w:i w:val="false"/>
                <w:caps w:val="false"/>
                <w:smallCaps w:val="false"/>
                <w:sz w:val="18"/>
              </w:rPr>
              <w:t xml:space="preserve"> </w:t>
            </w:r>
          </w:p>
          <w:p>
            <w:pPr>
              <w:pStyle w:val="TableContents"/>
              <w:rPr>
                <w:caps w:val="false"/>
                <w:smallCaps w:val="false"/>
                <w:color w:val="7CBC3E"/>
              </w:rPr>
            </w:pPr>
            <w:r>
              <w:rPr>
                <w:caps w:val="false"/>
                <w:smallCaps w:val="false"/>
                <w:color w:val="7CBC3E"/>
              </w:rPr>
              <w:t> </w:t>
            </w:r>
          </w:p>
          <w:p>
            <w:pPr>
              <w:pStyle w:val="TableContents"/>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INDEPENDENT</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Committees: </w:t>
            </w:r>
            <w:r>
              <w:rPr>
                <w:rFonts w:ascii="Arial;Helvetica;Sans-Serif" w:hAnsi="Arial;Helvetica;Sans-Serif"/>
                <w:b/>
                <w:i w:val="false"/>
                <w:caps w:val="false"/>
                <w:smallCaps w:val="false"/>
                <w:color w:val="7CBC3E"/>
                <w:sz w:val="18"/>
              </w:rPr>
              <w:t>2</w:t>
            </w:r>
          </w:p>
          <w:p>
            <w:pPr>
              <w:pStyle w:val="TableContents"/>
              <w:rPr>
                <w:caps w:val="false"/>
                <w:smallCaps w:val="false"/>
              </w:rPr>
            </w:pPr>
            <w:r>
              <w:rPr>
                <w:caps w:val="false"/>
                <w:smallCaps w:val="false"/>
              </w:rPr>
              <w:t> </w:t>
            </w:r>
          </w:p>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Other Public Directorships: </w:t>
            </w:r>
            <w:r>
              <w:rPr>
                <w:rFonts w:ascii="Arial;Helvetica;Sans-Serif" w:hAnsi="Arial;Helvetica;Sans-Serif"/>
                <w:b/>
                <w:i w:val="false"/>
                <w:caps w:val="false"/>
                <w:smallCaps w:val="false"/>
                <w:color w:val="7CBC3E"/>
                <w:sz w:val="18"/>
              </w:rPr>
              <w:t>1      </w:t>
            </w:r>
          </w:p>
        </w:tc>
        <w:tc>
          <w:tcPr>
            <w:tcW w:w="60" w:type="dxa"/>
            <w:tcBorders>
              <w:bottom w:val="single" w:sz="12" w:space="0" w:color="7CBC3E"/>
            </w:tcBorders>
            <w:shd w:fill="auto" w:val="clear"/>
            <w:tcMar>
              <w:bottom w:w="60" w:type="dxa"/>
            </w:tcMar>
            <w:vAlign w:val="center"/>
          </w:tcPr>
          <w:p>
            <w:pPr>
              <w:pStyle w:val="TableContents"/>
              <w:spacing w:before="0" w:after="283"/>
              <w:rPr/>
            </w:pPr>
            <w:r>
              <w:rPr/>
              <w:t> </w:t>
            </w:r>
          </w:p>
        </w:tc>
        <w:tc>
          <w:tcPr>
            <w:tcW w:w="7365" w:type="dxa"/>
            <w:tcBorders>
              <w:bottom w:val="single" w:sz="12" w:space="0" w:color="7CBC3E"/>
            </w:tcBorders>
            <w:shd w:fill="auto" w:val="clear"/>
            <w:tcMar>
              <w:bottom w:w="60" w:type="dxa"/>
            </w:tcMar>
            <w:vAlign w:val="center"/>
          </w:tcPr>
          <w:p>
            <w:pPr>
              <w:pStyle w:val="TableContents"/>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Dr. Suliman has served as Chief Executive Officer of ReCode Therapeutics, a privately-held, integrated genetic medicines company, since January 2022. Prior to joining ReCode Therapeutics, Dr. Suliman served as President and Chief Operating Officer of Alector, Inc., a clinical stage biotechnology company, from December 2019 to December 2021 and previously served as Senior Vice President, Corporate Development and Strategy of Theravance Biopharma, Inc., a biopharmaceutical company, from July 2017 to March 2019. Prior to her position at Theravance, Dr. Suliman worked for Genentech, Inc., a biopharmaceutical company, as Group Leader and Project Team Leader in the R&amp;D Portfolio Management and Operations Group from September 2010 to May 2015 and then as Vice President and Global Therapeutic Head, Roche Partnering from June 2015 to July 2017. Prior to Genentech, Dr. Suliman held various management roles of increasing responsibility at Gilead Sciences, Inc., a biopharmaceutical company, from January 2005 and September 2010. Prior to Gilead, Dr. Suliman was an investment banker with Lehman Brothers and Petkevich &amp; Partners, advising public and private companies on buy- and sell-side transactions. She is a member of the board of directors of 10X Genomics, Inc., a publicly traded life science technology company. Dr. Suliman received her M.D. at the University of Cape Town Medical School, South Africa, and holds an M.B.A, with distinction, and M.Phil. in Development Studies from Oxford University, where she was a Rhodes Scholar.</w:t>
            </w:r>
          </w:p>
          <w:p>
            <w:pPr>
              <w:pStyle w:val="TableContents"/>
              <w:rPr>
                <w:caps w:val="false"/>
                <w:smallCaps w:val="false"/>
                <w:color w:val="7CBC3E"/>
              </w:rPr>
            </w:pPr>
            <w:r>
              <w:rPr>
                <w:caps w:val="false"/>
                <w:smallCaps w:val="false"/>
                <w:color w:val="7CBC3E"/>
              </w:rPr>
              <w:t> </w:t>
            </w:r>
          </w:p>
          <w:p>
            <w:pPr>
              <w:pStyle w:val="TableContents"/>
              <w:spacing w:before="0" w:after="60"/>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Skills and Qualifications specific to Ultragenyx:</w:t>
            </w:r>
          </w:p>
          <w:p>
            <w:pPr>
              <w:pStyle w:val="TableContents"/>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Dr. Suliman is qualified to serve on our Board due to her extensive operational experience with global biopharmaceutical companies, and particularly her expertise in business development, corporate strategy and clinical drug development.</w:t>
            </w:r>
          </w:p>
        </w:tc>
      </w:tr>
    </w:tbl>
    <w:p>
      <w:pPr>
        <w:pStyle w:val="TextBody"/>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11</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2780"/>
        <w:gridCol w:w="60"/>
        <w:gridCol w:w="7365"/>
      </w:tblGrid>
      <w:tr>
        <w:trPr/>
        <w:tc>
          <w:tcPr>
            <w:tcW w:w="10205" w:type="dxa"/>
            <w:gridSpan w:val="3"/>
            <w:tcBorders/>
            <w:shd w:fill="auto" w:val="clear"/>
            <w:vAlign w:val="center"/>
          </w:tcPr>
          <w:p>
            <w:pPr>
              <w:pStyle w:val="TableContents"/>
              <w:spacing w:before="0" w:after="283"/>
              <w:rPr>
                <w:rFonts w:ascii="Arial;Helvetica;Sans-Serif" w:hAnsi="Arial;Helvetica;Sans-Serif"/>
                <w:b/>
                <w:i w:val="false"/>
                <w:caps w:val="false"/>
                <w:smallCaps w:val="false"/>
                <w:color w:val="7CBC3E"/>
                <w:sz w:val="20"/>
              </w:rPr>
            </w:pPr>
            <w:r>
              <w:rPr>
                <w:rFonts w:ascii="Arial;Helvetica;Sans-Serif" w:hAnsi="Arial;Helvetica;Sans-Serif"/>
                <w:b/>
                <w:i w:val="false"/>
                <w:caps w:val="false"/>
                <w:smallCaps w:val="false"/>
                <w:color w:val="7CBC3E"/>
                <w:sz w:val="20"/>
              </w:rPr>
              <w:t>Daniel G. Welch</w:t>
            </w:r>
          </w:p>
        </w:tc>
      </w:tr>
      <w:tr>
        <w:trPr/>
        <w:tc>
          <w:tcPr>
            <w:tcW w:w="10205" w:type="dxa"/>
            <w:gridSpan w:val="3"/>
            <w:tcBorders>
              <w:bottom w:val="single" w:sz="12" w:space="0" w:color="7CBC3E"/>
            </w:tcBorders>
            <w:shd w:fill="auto" w:val="clear"/>
            <w:tcMar>
              <w:bottom w:w="28"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Executive Chairman at Incarda Therapeutics, Inc. and Structure Therapeutics</w:t>
            </w:r>
          </w:p>
        </w:tc>
      </w:tr>
      <w:tr>
        <w:trPr/>
        <w:tc>
          <w:tcPr>
            <w:tcW w:w="2780" w:type="dxa"/>
            <w:tcBorders>
              <w:bottom w:val="single" w:sz="12" w:space="0" w:color="7CBC3E"/>
            </w:tcBorders>
            <w:shd w:fill="F0FEE5" w:val="clear"/>
            <w:tcMar>
              <w:bottom w:w="60" w:type="dxa"/>
            </w:tcMar>
            <w:vAlign w:val="center"/>
          </w:tcPr>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Age: </w:t>
            </w:r>
            <w:r>
              <w:rPr>
                <w:rFonts w:ascii="Arial;Helvetica;Sans-Serif" w:hAnsi="Arial;Helvetica;Sans-Serif"/>
                <w:b/>
                <w:i w:val="false"/>
                <w:caps w:val="false"/>
                <w:smallCaps w:val="false"/>
                <w:color w:val="7CBC3E"/>
                <w:sz w:val="18"/>
              </w:rPr>
              <w:t>65</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Director since: </w:t>
            </w:r>
            <w:r>
              <w:rPr>
                <w:rFonts w:ascii="Arial;Helvetica;Sans-Serif" w:hAnsi="Arial;Helvetica;Sans-Serif"/>
                <w:b/>
                <w:i w:val="false"/>
                <w:caps w:val="false"/>
                <w:smallCaps w:val="false"/>
                <w:color w:val="7CBC3E"/>
                <w:sz w:val="18"/>
              </w:rPr>
              <w:t>2015</w:t>
            </w:r>
          </w:p>
          <w:p>
            <w:pPr>
              <w:pStyle w:val="TableContents"/>
              <w:rPr>
                <w:caps w:val="false"/>
                <w:smallCaps w:val="false"/>
                <w:color w:val="7CBC3E"/>
              </w:rPr>
            </w:pPr>
            <w:r>
              <w:rPr>
                <w:caps w:val="false"/>
                <w:smallCaps w:val="false"/>
                <w:color w:val="7CBC3E"/>
              </w:rPr>
              <w:t> </w:t>
            </w:r>
          </w:p>
          <w:p>
            <w:pPr>
              <w:pStyle w:val="TableContents"/>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INDEPENDENT</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Committees: </w:t>
            </w:r>
            <w:r>
              <w:rPr>
                <w:rFonts w:ascii="Arial;Helvetica;Sans-Serif" w:hAnsi="Arial;Helvetica;Sans-Serif"/>
                <w:b/>
                <w:i w:val="false"/>
                <w:caps w:val="false"/>
                <w:smallCaps w:val="false"/>
                <w:color w:val="7CBC3E"/>
                <w:sz w:val="18"/>
              </w:rPr>
              <w:t>2</w:t>
            </w:r>
          </w:p>
          <w:p>
            <w:pPr>
              <w:pStyle w:val="TableContents"/>
              <w:rPr>
                <w:caps w:val="false"/>
                <w:smallCaps w:val="false"/>
              </w:rPr>
            </w:pPr>
            <w:r>
              <w:rPr>
                <w:caps w:val="false"/>
                <w:smallCaps w:val="false"/>
              </w:rPr>
              <w:t> </w:t>
            </w:r>
          </w:p>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Other Public Directorships: </w:t>
            </w:r>
            <w:r>
              <w:rPr>
                <w:rFonts w:ascii="Arial;Helvetica;Sans-Serif" w:hAnsi="Arial;Helvetica;Sans-Serif"/>
                <w:b/>
                <w:i w:val="false"/>
                <w:caps w:val="false"/>
                <w:smallCaps w:val="false"/>
                <w:color w:val="7CBC3E"/>
                <w:sz w:val="18"/>
              </w:rPr>
              <w:t>2      </w:t>
            </w:r>
          </w:p>
        </w:tc>
        <w:tc>
          <w:tcPr>
            <w:tcW w:w="60" w:type="dxa"/>
            <w:tcBorders>
              <w:bottom w:val="single" w:sz="12" w:space="0" w:color="7CBC3E"/>
            </w:tcBorders>
            <w:shd w:fill="auto" w:val="clear"/>
            <w:tcMar>
              <w:bottom w:w="60" w:type="dxa"/>
            </w:tcMar>
            <w:vAlign w:val="center"/>
          </w:tcPr>
          <w:p>
            <w:pPr>
              <w:pStyle w:val="TableContents"/>
              <w:spacing w:before="0" w:after="283"/>
              <w:rPr/>
            </w:pPr>
            <w:r>
              <w:rPr/>
              <w:t> </w:t>
            </w:r>
          </w:p>
        </w:tc>
        <w:tc>
          <w:tcPr>
            <w:tcW w:w="7365" w:type="dxa"/>
            <w:tcBorders>
              <w:bottom w:val="single" w:sz="12" w:space="0" w:color="7CBC3E"/>
            </w:tcBorders>
            <w:shd w:fill="auto" w:val="clear"/>
            <w:tcMar>
              <w:bottom w:w="60" w:type="dxa"/>
            </w:tcMar>
            <w:vAlign w:val="center"/>
          </w:tcPr>
          <w:p>
            <w:pPr>
              <w:pStyle w:val="TableContents"/>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Welch is currently Executive Chairman of Incarda Therapeutics, Inc., a private biotechnology company, and Executive Chairman of Structure Therapeutics (formerly ShouTi Pharmaceuticals), a public biotechnology company, positions he has held since March 2019 and December 2020, respectively. He also currently serves on the boards of directors of Seagen Inc. and Nuvation Bio Inc., which are both publicly traded biotechnology companies. From January 2015 to January 2018, Mr. Welch was an Executive Partner at Sofinnova Ventures, a venture capital firm. Prior to his role at Sofinnova, Mr. Welch served as Chairman, Chief Executive Officer, and President of InterMune, Inc., a biotechnology company, from May 2008 to October 2014 and served as President and Chief Executive Officer of InterMune and a member of its board of directors from September 2003 to May 2008. From August 2002 to January 2003, Mr. Welch served as Chairman and Chief Executive Officer of Triangle Pharmaceuticals, Inc., a pharmaceutical company. From October 2000 to June 2002, Mr. Welch served as President of the Pharmaceutical Division of Elan Corporation, plc., a pharmaceutical company. In addition to his Executive Chairman roles as described above,. Mr. Welch previously served as chairman of the board of AveXis, Inc., a publicly traded biotechnology company, from January 2016 through its acquisition in May 2018, and on the board of Intercept Pharmaceuticals, Inc., a publicly traded biotechnology company, from November 2015 to June 2021. Mr. Welch holds a B.S. from the University of Miami and an M.B.A. from the University of North Carolina.</w:t>
            </w:r>
          </w:p>
          <w:p>
            <w:pPr>
              <w:pStyle w:val="TableContents"/>
              <w:jc w:val="both"/>
              <w:rPr>
                <w:caps w:val="false"/>
                <w:smallCaps w:val="false"/>
              </w:rPr>
            </w:pPr>
            <w:r>
              <w:rPr>
                <w:caps w:val="false"/>
                <w:smallCaps w:val="false"/>
              </w:rPr>
              <w:t> </w:t>
            </w:r>
          </w:p>
          <w:p>
            <w:pPr>
              <w:pStyle w:val="TableContents"/>
              <w:spacing w:before="0" w:after="60"/>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Skills and Qualifications specific to Ultragenyx:</w:t>
            </w:r>
          </w:p>
          <w:p>
            <w:pPr>
              <w:pStyle w:val="TableContents"/>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Mr. Welch is a strong operating executive with operational and strategic expertise in the global pharmaceutical market, whose experience contributes valuable insight to the Board.</w:t>
            </w:r>
          </w:p>
        </w:tc>
      </w:tr>
    </w:tbl>
    <w:p>
      <w:pPr>
        <w:pStyle w:val="TextBody"/>
        <w:rPr>
          <w:caps w:val="false"/>
          <w:smallCaps w:val="false"/>
        </w:rPr>
      </w:pPr>
      <w:r>
        <w:rPr>
          <w:caps w:val="false"/>
          <w:smallCaps w:val="false"/>
        </w:rPr>
        <w:t> </w:t>
      </w:r>
    </w:p>
    <w:p>
      <w:pPr>
        <w:pStyle w:val="Heading3"/>
        <w:rPr>
          <w:rFonts w:ascii="Arial;Helvetica;Sans-Serif" w:hAnsi="Arial;Helvetica;Sans-Serif"/>
          <w:b/>
          <w:i w:val="false"/>
          <w:caps w:val="false"/>
          <w:smallCaps w:val="false"/>
          <w:sz w:val="28"/>
        </w:rPr>
      </w:pPr>
      <w:bookmarkStart w:id="13" w:name="lrarea011"/>
      <w:bookmarkEnd w:id="13"/>
      <w:r>
        <w:rPr>
          <w:rFonts w:ascii="Arial;Helvetica;Sans-Serif" w:hAnsi="Arial;Helvetica;Sans-Serif"/>
          <w:b/>
          <w:i w:val="false"/>
          <w:caps w:val="false"/>
          <w:smallCaps w:val="false"/>
          <w:sz w:val="28"/>
        </w:rPr>
        <w:t>Class II Directors Continuing in Office Until 2024</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780"/>
        <w:gridCol w:w="60"/>
        <w:gridCol w:w="7365"/>
      </w:tblGrid>
      <w:tr>
        <w:trPr/>
        <w:tc>
          <w:tcPr>
            <w:tcW w:w="10205" w:type="dxa"/>
            <w:gridSpan w:val="3"/>
            <w:tcBorders/>
            <w:shd w:fill="auto" w:val="clear"/>
            <w:vAlign w:val="center"/>
          </w:tcPr>
          <w:p>
            <w:pPr>
              <w:pStyle w:val="TableContents"/>
              <w:spacing w:before="0" w:after="283"/>
              <w:rPr>
                <w:rFonts w:ascii="Arial;Helvetica;Sans-Serif" w:hAnsi="Arial;Helvetica;Sans-Serif"/>
                <w:b/>
                <w:i w:val="false"/>
                <w:caps w:val="false"/>
                <w:smallCaps w:val="false"/>
                <w:color w:val="7CBC3E"/>
                <w:sz w:val="20"/>
              </w:rPr>
            </w:pPr>
            <w:r>
              <w:rPr>
                <w:rFonts w:ascii="Arial;Helvetica;Sans-Serif" w:hAnsi="Arial;Helvetica;Sans-Serif"/>
                <w:b/>
                <w:i w:val="false"/>
                <w:caps w:val="false"/>
                <w:smallCaps w:val="false"/>
                <w:color w:val="7CBC3E"/>
                <w:sz w:val="20"/>
              </w:rPr>
              <w:t>Deborah Dunsire, M.D.</w:t>
            </w:r>
          </w:p>
        </w:tc>
      </w:tr>
      <w:tr>
        <w:trPr/>
        <w:tc>
          <w:tcPr>
            <w:tcW w:w="10205" w:type="dxa"/>
            <w:gridSpan w:val="3"/>
            <w:tcBorders>
              <w:bottom w:val="single" w:sz="12" w:space="0" w:color="7CBC3E"/>
            </w:tcBorders>
            <w:shd w:fill="auto" w:val="clear"/>
            <w:tcMar>
              <w:bottom w:w="28"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President and CEO of H. Lundbeck A/S</w:t>
            </w:r>
          </w:p>
        </w:tc>
      </w:tr>
      <w:tr>
        <w:trPr/>
        <w:tc>
          <w:tcPr>
            <w:tcW w:w="2780" w:type="dxa"/>
            <w:tcBorders>
              <w:bottom w:val="single" w:sz="12" w:space="0" w:color="7CBC3E"/>
            </w:tcBorders>
            <w:shd w:fill="F0FEE5" w:val="clear"/>
            <w:tcMar>
              <w:bottom w:w="60" w:type="dxa"/>
            </w:tcMar>
            <w:vAlign w:val="center"/>
          </w:tcPr>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Age: </w:t>
            </w:r>
            <w:r>
              <w:rPr>
                <w:rFonts w:ascii="Arial;Helvetica;Sans-Serif" w:hAnsi="Arial;Helvetica;Sans-Serif"/>
                <w:b/>
                <w:i w:val="false"/>
                <w:caps w:val="false"/>
                <w:smallCaps w:val="false"/>
                <w:color w:val="7CBC3E"/>
                <w:sz w:val="18"/>
              </w:rPr>
              <w:t>60</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Director since: </w:t>
            </w:r>
            <w:r>
              <w:rPr>
                <w:rFonts w:ascii="Arial;Helvetica;Sans-Serif" w:hAnsi="Arial;Helvetica;Sans-Serif"/>
                <w:b/>
                <w:i w:val="false"/>
                <w:caps w:val="false"/>
                <w:smallCaps w:val="false"/>
                <w:color w:val="7CBC3E"/>
                <w:sz w:val="18"/>
              </w:rPr>
              <w:t>2017</w:t>
            </w:r>
          </w:p>
          <w:p>
            <w:pPr>
              <w:pStyle w:val="TableContents"/>
              <w:rPr>
                <w:caps w:val="false"/>
                <w:smallCaps w:val="false"/>
                <w:color w:val="7CBC3E"/>
              </w:rPr>
            </w:pPr>
            <w:r>
              <w:rPr>
                <w:caps w:val="false"/>
                <w:smallCaps w:val="false"/>
                <w:color w:val="7CBC3E"/>
              </w:rPr>
              <w:t> </w:t>
            </w:r>
          </w:p>
          <w:p>
            <w:pPr>
              <w:pStyle w:val="TableContents"/>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INDEPENDENT</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Committees: </w:t>
            </w:r>
            <w:r>
              <w:rPr>
                <w:rFonts w:ascii="Arial;Helvetica;Sans-Serif" w:hAnsi="Arial;Helvetica;Sans-Serif"/>
                <w:b/>
                <w:i w:val="false"/>
                <w:caps w:val="false"/>
                <w:smallCaps w:val="false"/>
                <w:color w:val="7CBC3E"/>
                <w:sz w:val="18"/>
              </w:rPr>
              <w:t>1</w:t>
            </w:r>
          </w:p>
          <w:p>
            <w:pPr>
              <w:pStyle w:val="TableContents"/>
              <w:rPr>
                <w:caps w:val="false"/>
                <w:smallCaps w:val="false"/>
              </w:rPr>
            </w:pPr>
            <w:r>
              <w:rPr>
                <w:caps w:val="false"/>
                <w:smallCaps w:val="false"/>
              </w:rPr>
              <w:t> </w:t>
            </w:r>
          </w:p>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Other Public Directorships: </w:t>
            </w:r>
            <w:r>
              <w:rPr>
                <w:rFonts w:ascii="Arial;Helvetica;Sans-Serif" w:hAnsi="Arial;Helvetica;Sans-Serif"/>
                <w:b/>
                <w:i w:val="false"/>
                <w:caps w:val="false"/>
                <w:smallCaps w:val="false"/>
                <w:color w:val="7CBC3E"/>
                <w:sz w:val="18"/>
              </w:rPr>
              <w:t>1      </w:t>
            </w:r>
          </w:p>
        </w:tc>
        <w:tc>
          <w:tcPr>
            <w:tcW w:w="60" w:type="dxa"/>
            <w:tcBorders>
              <w:bottom w:val="single" w:sz="12" w:space="0" w:color="7CBC3E"/>
            </w:tcBorders>
            <w:shd w:fill="auto" w:val="clear"/>
            <w:tcMar>
              <w:bottom w:w="60" w:type="dxa"/>
            </w:tcMar>
            <w:vAlign w:val="center"/>
          </w:tcPr>
          <w:p>
            <w:pPr>
              <w:pStyle w:val="TableContents"/>
              <w:spacing w:before="0" w:after="283"/>
              <w:rPr/>
            </w:pPr>
            <w:r>
              <w:rPr/>
              <w:t> </w:t>
            </w:r>
          </w:p>
        </w:tc>
        <w:tc>
          <w:tcPr>
            <w:tcW w:w="7365" w:type="dxa"/>
            <w:tcBorders>
              <w:bottom w:val="single" w:sz="12" w:space="0" w:color="7CBC3E"/>
            </w:tcBorders>
            <w:shd w:fill="auto" w:val="clear"/>
            <w:tcMar>
              <w:bottom w:w="60" w:type="dxa"/>
            </w:tcMar>
            <w:vAlign w:val="center"/>
          </w:tcPr>
          <w:p>
            <w:pPr>
              <w:pStyle w:val="TableContents"/>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Dr. Dunsire has served as President and Chief Executive Officer of H. Lundbeck A/S, a pharmaceutical company, since September 2018. She previously served as President, Chief Executive Officer and director of Xtuit Pharmaceuticals, Inc., a biopharmaceutical company, from January 2017 to March 2018. Prior to her position at Xtuit, she served as President, Chief Executive Officer and director of FORUM Pharmaceuticals Inc., a pharmaceutical company, from July 2013 to May 2016. Prior to FORUM, Dr. Dunsire worked for Takeda Pharmaceutical Company Limited, a publicly traded pharmaceutical company, as a corporate officer from June 2010 to June 2011 and a director from June 2011 to June 2013. She served as President, Chief Executive Officer and director of Millennium Pharmaceuticals, Inc., a biopharmaceutical company, from 2005 to 2008, when it was acquired by Takeda, and then as President and Chief Executive Officer of Millenium: The Takeda Oncology Company after the acquisition from 2008 to 2013. Prior to Millenium, Dr. Dunsire held various roles of increasing responsibility at Novartis Pharma AG from 1988 to 2005. Dr. Dunsire currently serves as a director of Syros Pharmaceuticals, a public biotechnology company and previously served as a director of Allergan, Inc., a publicly traded pharmaceutical company, from December 2006 to April 2015 and as a director of Alexion Pharmaceuticals Inc., a public biopharmaceutical company, from January 2018 to July 2021. She obtained an MBBCh from the University of the Witwatersrand.</w:t>
            </w:r>
          </w:p>
          <w:p>
            <w:pPr>
              <w:pStyle w:val="TableContents"/>
              <w:jc w:val="both"/>
              <w:rPr>
                <w:caps w:val="false"/>
                <w:smallCaps w:val="false"/>
              </w:rPr>
            </w:pPr>
            <w:r>
              <w:rPr>
                <w:caps w:val="false"/>
                <w:smallCaps w:val="false"/>
              </w:rPr>
              <w:t> </w:t>
            </w:r>
          </w:p>
          <w:p>
            <w:pPr>
              <w:pStyle w:val="TableContents"/>
              <w:spacing w:before="0" w:after="60"/>
              <w:jc w:val="both"/>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Skills and Qualifications specific to Ultragenyx:</w:t>
            </w:r>
          </w:p>
          <w:p>
            <w:pPr>
              <w:pStyle w:val="TableContents"/>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Dr. Dunsire is qualified to serve on our Board due to her extensive experience in the biotechnology and pharmaceutical sectors, including service as the chief executive officer of various pharmaceutical companies, which gives her the skills to provide us with operational and strategic insights.</w:t>
            </w:r>
          </w:p>
        </w:tc>
      </w:tr>
    </w:tbl>
    <w:p>
      <w:pPr>
        <w:pStyle w:val="TextBody"/>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12</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2780"/>
        <w:gridCol w:w="60"/>
        <w:gridCol w:w="7365"/>
      </w:tblGrid>
      <w:tr>
        <w:trPr/>
        <w:tc>
          <w:tcPr>
            <w:tcW w:w="10205" w:type="dxa"/>
            <w:gridSpan w:val="3"/>
            <w:tcBorders/>
            <w:shd w:fill="auto" w:val="clear"/>
            <w:vAlign w:val="center"/>
          </w:tcPr>
          <w:p>
            <w:pPr>
              <w:pStyle w:val="TableContents"/>
              <w:spacing w:before="0" w:after="283"/>
              <w:rPr>
                <w:rFonts w:ascii="Arial;Helvetica;Sans-Serif" w:hAnsi="Arial;Helvetica;Sans-Serif"/>
                <w:b/>
                <w:i w:val="false"/>
                <w:caps w:val="false"/>
                <w:smallCaps w:val="false"/>
                <w:color w:val="7CBC3E"/>
                <w:sz w:val="20"/>
              </w:rPr>
            </w:pPr>
            <w:r>
              <w:rPr>
                <w:rFonts w:ascii="Arial;Helvetica;Sans-Serif" w:hAnsi="Arial;Helvetica;Sans-Serif"/>
                <w:b/>
                <w:i w:val="false"/>
                <w:caps w:val="false"/>
                <w:smallCaps w:val="false"/>
                <w:color w:val="7CBC3E"/>
                <w:sz w:val="20"/>
              </w:rPr>
              <w:t>Michael Narachi</w:t>
            </w:r>
          </w:p>
        </w:tc>
      </w:tr>
      <w:tr>
        <w:trPr/>
        <w:tc>
          <w:tcPr>
            <w:tcW w:w="10205" w:type="dxa"/>
            <w:gridSpan w:val="3"/>
            <w:tcBorders>
              <w:bottom w:val="single" w:sz="12" w:space="0" w:color="7CBC3E"/>
            </w:tcBorders>
            <w:shd w:fill="auto" w:val="clear"/>
            <w:tcMar>
              <w:bottom w:w="28"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Board member and advisor to various life science companies</w:t>
            </w:r>
          </w:p>
        </w:tc>
      </w:tr>
      <w:tr>
        <w:trPr/>
        <w:tc>
          <w:tcPr>
            <w:tcW w:w="2780" w:type="dxa"/>
            <w:tcBorders>
              <w:bottom w:val="single" w:sz="12" w:space="0" w:color="7CBC3E"/>
            </w:tcBorders>
            <w:shd w:fill="F0FEE5" w:val="clear"/>
            <w:tcMar>
              <w:bottom w:w="60" w:type="dxa"/>
            </w:tcMar>
            <w:vAlign w:val="center"/>
          </w:tcPr>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Age: </w:t>
            </w:r>
            <w:r>
              <w:rPr>
                <w:rFonts w:ascii="Arial;Helvetica;Sans-Serif" w:hAnsi="Arial;Helvetica;Sans-Serif"/>
                <w:b/>
                <w:i w:val="false"/>
                <w:caps w:val="false"/>
                <w:smallCaps w:val="false"/>
                <w:color w:val="7CBC3E"/>
                <w:sz w:val="18"/>
              </w:rPr>
              <w:t>63</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Director since: </w:t>
            </w:r>
            <w:r>
              <w:rPr>
                <w:rFonts w:ascii="Arial;Helvetica;Sans-Serif" w:hAnsi="Arial;Helvetica;Sans-Serif"/>
                <w:b/>
                <w:i w:val="false"/>
                <w:caps w:val="false"/>
                <w:smallCaps w:val="false"/>
                <w:color w:val="7CBC3E"/>
                <w:sz w:val="18"/>
              </w:rPr>
              <w:t>2015</w:t>
            </w:r>
          </w:p>
          <w:p>
            <w:pPr>
              <w:pStyle w:val="TableContents"/>
              <w:rPr>
                <w:caps w:val="false"/>
                <w:smallCaps w:val="false"/>
                <w:color w:val="7CBC3E"/>
              </w:rPr>
            </w:pPr>
            <w:r>
              <w:rPr>
                <w:caps w:val="false"/>
                <w:smallCaps w:val="false"/>
                <w:color w:val="7CBC3E"/>
              </w:rPr>
              <w:t> </w:t>
            </w:r>
          </w:p>
          <w:p>
            <w:pPr>
              <w:pStyle w:val="TableContents"/>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INDEPENDENT</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Committees: </w:t>
            </w:r>
            <w:r>
              <w:rPr>
                <w:rFonts w:ascii="Arial;Helvetica;Sans-Serif" w:hAnsi="Arial;Helvetica;Sans-Serif"/>
                <w:b/>
                <w:i w:val="false"/>
                <w:caps w:val="false"/>
                <w:smallCaps w:val="false"/>
                <w:color w:val="7CBC3E"/>
                <w:sz w:val="18"/>
              </w:rPr>
              <w:t>2</w:t>
            </w:r>
          </w:p>
          <w:p>
            <w:pPr>
              <w:pStyle w:val="TableContents"/>
              <w:rPr>
                <w:caps w:val="false"/>
                <w:smallCaps w:val="false"/>
              </w:rPr>
            </w:pPr>
            <w:r>
              <w:rPr>
                <w:caps w:val="false"/>
                <w:smallCaps w:val="false"/>
              </w:rPr>
              <w:t> </w:t>
            </w:r>
          </w:p>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Other Public Directorships: </w:t>
            </w:r>
            <w:r>
              <w:rPr>
                <w:rFonts w:ascii="Arial;Helvetica;Sans-Serif" w:hAnsi="Arial;Helvetica;Sans-Serif"/>
                <w:b/>
                <w:i w:val="false"/>
                <w:caps w:val="false"/>
                <w:smallCaps w:val="false"/>
                <w:color w:val="7CBC3E"/>
                <w:sz w:val="18"/>
              </w:rPr>
              <w:t>0      </w:t>
            </w:r>
          </w:p>
        </w:tc>
        <w:tc>
          <w:tcPr>
            <w:tcW w:w="60" w:type="dxa"/>
            <w:tcBorders>
              <w:bottom w:val="single" w:sz="12" w:space="0" w:color="7CBC3E"/>
            </w:tcBorders>
            <w:shd w:fill="auto" w:val="clear"/>
            <w:tcMar>
              <w:bottom w:w="60" w:type="dxa"/>
            </w:tcMar>
            <w:vAlign w:val="center"/>
          </w:tcPr>
          <w:p>
            <w:pPr>
              <w:pStyle w:val="TableContents"/>
              <w:spacing w:before="0" w:after="283"/>
              <w:jc w:val="both"/>
              <w:rPr/>
            </w:pPr>
            <w:r>
              <w:rPr/>
              <w:t> </w:t>
            </w:r>
          </w:p>
        </w:tc>
        <w:tc>
          <w:tcPr>
            <w:tcW w:w="7365" w:type="dxa"/>
            <w:tcBorders>
              <w:bottom w:val="single" w:sz="12" w:space="0" w:color="7CBC3E"/>
            </w:tcBorders>
            <w:shd w:fill="auto" w:val="clear"/>
            <w:tcMar>
              <w:bottom w:w="60" w:type="dxa"/>
            </w:tcMar>
            <w:vAlign w:val="center"/>
          </w:tcPr>
          <w:p>
            <w:pPr>
              <w:pStyle w:val="TableContents"/>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Narachi previously served as President and Chief Executive Officer of CODA Biotherapeutics, Inc., a private biotherapeutics company, from August 2018 through October 2022 and served as a director of CODA Biotherapeutics until the company’s sale in March 2023. Between March 2009 and July 2018, Mr. Narachi served as President, Chief Executive Officer and director of Orexigen Therapeutics, Inc., a biotechnology company. Orexigen filed for reorganization under Chapter 11 of the U.S. Bankruptcy Code in March 2018. Previously, Mr. Narachi served as Chairman, Chief Executive Officer, and President of Ren Pharmaceuticals, Inc., a private biotechnology company, from November 2006 to March 2009. In 2004, Mr. Narachi retired as an officer and Vice President of Amgen Inc., a leading therapeutics company, where he served as General Manager of Amgen’s Anemia Business from 1999 to 2003, until his retirement in 2004. Mr. Narachi joined Amgen in 1984 and held various senior positions throughout the organization over a 20-year career including global development leader for Neupogen/Neulasta, Vice President of development and representative director for Amgen Japan; head of corporate strategic planning; Chief Operations Officer of Amgen Colorado; and vice president, licensing and business development. Mr. Narachi previously served on the board of directors of BIO, the Biotechnology Innovation Organization, as a member of the board of directors of PhRMA, the Pharmaceutical Research and Manufacturers of America and as the chairman of the board of directors of Celladon Corporation, a publicly traded gene therapy company, from October 2013 to March 2016, and as a director of AMAG Pharmaceuticals, Inc., a publicly traded specialty pharmaceutical company, from November 2006 to April 2014. Mr. Narachi holds a B.S. in Biology and an M.A. in Biology and Genetics from the University of California at Davis. He also holds an M.B.A. from the Anderson Graduate School of Management at University of California, Los Angeles.</w:t>
            </w:r>
          </w:p>
          <w:p>
            <w:pPr>
              <w:pStyle w:val="TableContents"/>
              <w:rPr>
                <w:caps w:val="false"/>
                <w:smallCaps w:val="false"/>
              </w:rPr>
            </w:pPr>
            <w:r>
              <w:rPr>
                <w:caps w:val="false"/>
                <w:smallCaps w:val="false"/>
              </w:rPr>
              <w:t> </w:t>
            </w:r>
          </w:p>
          <w:p>
            <w:pPr>
              <w:pStyle w:val="TableContents"/>
              <w:spacing w:before="0" w:after="60"/>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Skills and Qualifications specific to Ultragenyx:</w:t>
            </w:r>
          </w:p>
          <w:p>
            <w:pPr>
              <w:pStyle w:val="TableContents"/>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Mr. Narachi is qualified to serve on our Board due to his extensive experience in the life sciences industry, his service as the chief executive officer of various biotechnology companies, and his membership on various boards of directors in the biotechnology and pharmaceutical sectors, all of which give him the skills to provide us with operational and strategic insights.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780"/>
        <w:gridCol w:w="60"/>
        <w:gridCol w:w="7365"/>
      </w:tblGrid>
      <w:tr>
        <w:trPr/>
        <w:tc>
          <w:tcPr>
            <w:tcW w:w="2840" w:type="dxa"/>
            <w:gridSpan w:val="2"/>
            <w:tcBorders/>
            <w:shd w:fill="auto" w:val="clear"/>
            <w:vAlign w:val="center"/>
          </w:tcPr>
          <w:p>
            <w:pPr>
              <w:pStyle w:val="TableContents"/>
              <w:spacing w:before="0" w:after="283"/>
              <w:rPr>
                <w:rFonts w:ascii="Arial;Helvetica;Sans-Serif" w:hAnsi="Arial;Helvetica;Sans-Serif"/>
                <w:b/>
                <w:color w:val="7CBC3E"/>
                <w:sz w:val="20"/>
              </w:rPr>
            </w:pPr>
            <w:r>
              <w:rPr>
                <w:rFonts w:ascii="Arial;Helvetica;Sans-Serif" w:hAnsi="Arial;Helvetica;Sans-Serif"/>
                <w:b/>
                <w:color w:val="7CBC3E"/>
                <w:sz w:val="20"/>
              </w:rPr>
              <w:t>Corsee D. Sanders, Ph.D.</w:t>
            </w:r>
          </w:p>
        </w:tc>
        <w:tc>
          <w:tcPr>
            <w:tcW w:w="7365" w:type="dxa"/>
            <w:tcBorders/>
            <w:shd w:fill="auto" w:val="clear"/>
            <w:vAlign w:val="center"/>
          </w:tcPr>
          <w:p>
            <w:pPr>
              <w:pStyle w:val="TableContents"/>
              <w:spacing w:before="0" w:after="283"/>
              <w:rPr/>
            </w:pPr>
            <w:r>
              <w:rPr/>
              <w:t> </w:t>
            </w:r>
          </w:p>
        </w:tc>
      </w:tr>
      <w:tr>
        <w:trPr/>
        <w:tc>
          <w:tcPr>
            <w:tcW w:w="10205" w:type="dxa"/>
            <w:gridSpan w:val="3"/>
            <w:tcBorders>
              <w:bottom w:val="single" w:sz="12" w:space="0" w:color="7CBC3E"/>
            </w:tcBorders>
            <w:shd w:fill="auto" w:val="clear"/>
            <w:tcMar>
              <w:bottom w:w="28"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Board member and adviser to various life science companies</w:t>
            </w:r>
          </w:p>
        </w:tc>
      </w:tr>
      <w:tr>
        <w:trPr/>
        <w:tc>
          <w:tcPr>
            <w:tcW w:w="2780" w:type="dxa"/>
            <w:tcBorders>
              <w:bottom w:val="single" w:sz="12" w:space="0" w:color="7CBC3E"/>
            </w:tcBorders>
            <w:shd w:fill="F0FEE5" w:val="clear"/>
            <w:tcMar>
              <w:bottom w:w="60" w:type="dxa"/>
            </w:tcMar>
            <w:vAlign w:val="center"/>
          </w:tcPr>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Age: </w:t>
            </w:r>
            <w:r>
              <w:rPr>
                <w:rFonts w:ascii="Arial;Helvetica;Sans-Serif" w:hAnsi="Arial;Helvetica;Sans-Serif"/>
                <w:b/>
                <w:i w:val="false"/>
                <w:caps w:val="false"/>
                <w:smallCaps w:val="false"/>
                <w:color w:val="7CBC3E"/>
                <w:sz w:val="18"/>
              </w:rPr>
              <w:t>66</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Director since: </w:t>
            </w:r>
            <w:r>
              <w:rPr>
                <w:rFonts w:ascii="Arial;Helvetica;Sans-Serif" w:hAnsi="Arial;Helvetica;Sans-Serif"/>
                <w:b/>
                <w:i w:val="false"/>
                <w:caps w:val="false"/>
                <w:smallCaps w:val="false"/>
                <w:color w:val="7CBC3E"/>
                <w:sz w:val="18"/>
              </w:rPr>
              <w:t>2021</w:t>
            </w:r>
          </w:p>
          <w:p>
            <w:pPr>
              <w:pStyle w:val="TableContents"/>
              <w:rPr>
                <w:caps w:val="false"/>
                <w:smallCaps w:val="false"/>
                <w:color w:val="7CBC3E"/>
              </w:rPr>
            </w:pPr>
            <w:r>
              <w:rPr>
                <w:caps w:val="false"/>
                <w:smallCaps w:val="false"/>
                <w:color w:val="7CBC3E"/>
              </w:rPr>
              <w:t> </w:t>
            </w:r>
          </w:p>
          <w:p>
            <w:pPr>
              <w:pStyle w:val="TableContents"/>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INDEPENDENT</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Committees: </w:t>
            </w:r>
            <w:r>
              <w:rPr>
                <w:rFonts w:ascii="Arial;Helvetica;Sans-Serif" w:hAnsi="Arial;Helvetica;Sans-Serif"/>
                <w:b/>
                <w:i w:val="false"/>
                <w:caps w:val="false"/>
                <w:smallCaps w:val="false"/>
                <w:color w:val="7CBC3E"/>
                <w:sz w:val="18"/>
              </w:rPr>
              <w:t>2</w:t>
            </w:r>
          </w:p>
          <w:p>
            <w:pPr>
              <w:pStyle w:val="TableContents"/>
              <w:rPr>
                <w:caps w:val="false"/>
                <w:smallCaps w:val="false"/>
              </w:rPr>
            </w:pPr>
            <w:r>
              <w:rPr>
                <w:caps w:val="false"/>
                <w:smallCaps w:val="false"/>
              </w:rPr>
              <w:t> </w:t>
            </w:r>
          </w:p>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Other Public Directorships: </w:t>
            </w:r>
            <w:r>
              <w:rPr>
                <w:rFonts w:ascii="Arial;Helvetica;Sans-Serif" w:hAnsi="Arial;Helvetica;Sans-Serif"/>
                <w:b/>
                <w:i w:val="false"/>
                <w:caps w:val="false"/>
                <w:smallCaps w:val="false"/>
                <w:color w:val="7CBC3E"/>
                <w:sz w:val="18"/>
              </w:rPr>
              <w:t>3      </w:t>
            </w:r>
          </w:p>
        </w:tc>
        <w:tc>
          <w:tcPr>
            <w:tcW w:w="60" w:type="dxa"/>
            <w:tcBorders>
              <w:bottom w:val="single" w:sz="12" w:space="0" w:color="7CBC3E"/>
            </w:tcBorders>
            <w:shd w:fill="auto" w:val="clear"/>
            <w:tcMar>
              <w:bottom w:w="60" w:type="dxa"/>
            </w:tcMar>
            <w:vAlign w:val="center"/>
          </w:tcPr>
          <w:p>
            <w:pPr>
              <w:pStyle w:val="TableContents"/>
              <w:spacing w:before="0" w:after="283"/>
              <w:rPr/>
            </w:pPr>
            <w:r>
              <w:rPr/>
              <w:t> </w:t>
            </w:r>
          </w:p>
        </w:tc>
        <w:tc>
          <w:tcPr>
            <w:tcW w:w="7365" w:type="dxa"/>
            <w:tcBorders>
              <w:bottom w:val="single" w:sz="12" w:space="0" w:color="7CBC3E"/>
            </w:tcBorders>
            <w:shd w:fill="auto" w:val="clear"/>
            <w:tcMar>
              <w:bottom w:w="60" w:type="dxa"/>
            </w:tcMar>
            <w:vAlign w:val="center"/>
          </w:tcPr>
          <w:p>
            <w:pPr>
              <w:pStyle w:val="TableContents"/>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Dr. Sanders currently serves as a board member and advisor to life science companies. Dr. Sanders currently serves as a member of the board of directors of Beigene Ltd., Molecular Templates Inc. and Legend Biotech Corporation, each a publicly traded biotechnology company, and AltruBio Inc., a private biopharmaceutical company. She currently serves as a co-chair of the Board of Advisors, and Chair of the Science and Technology Advisory Committee for the Fred Hutchinson Cancer Center. She most recently served as Executive Vice President at Juno Therapeutics, Inc., a biopharmaceutical company, from 2017 to 2018 and strategic advisor to the Chief Medical Officer of Celgene Corporation, a biopharmaceutical company, from 2018 to 2019 following Juno’s acquisition by Celgene. Following the acquisition of Celgene by Bristol Myers Squibb, Dr. Sanders served as Transition Advisor to the Clinical Development team at BMS from 2019 to 2020. Prior to her role at BMS, she held positions of increasing responsibility at Genentech/Roche, a biotechnology company, from 1994 to 2017, including serving as Senior Vice President, Global Head of Clinical Operations and Industry Collaboration, from 2012 to 2017. Dr. Sanders holds a B.S. and M.S. in Statistics, </w:t>
            </w:r>
            <w:r>
              <w:rPr>
                <w:rFonts w:ascii="Arial;Helvetica;Sans-Serif" w:hAnsi="Arial;Helvetica;Sans-Serif"/>
                <w:b w:val="false"/>
                <w:i/>
                <w:caps w:val="false"/>
                <w:smallCaps w:val="false"/>
                <w:sz w:val="18"/>
              </w:rPr>
              <w:t>magna cum laude</w:t>
            </w:r>
            <w:r>
              <w:rPr>
                <w:rFonts w:ascii="Arial;Helvetica;Sans-Serif" w:hAnsi="Arial;Helvetica;Sans-Serif"/>
                <w:b w:val="false"/>
                <w:i w:val="false"/>
                <w:caps w:val="false"/>
                <w:smallCaps w:val="false"/>
                <w:sz w:val="18"/>
              </w:rPr>
              <w:t>, from the University of the Philippines. She also holds an M.A. and Ph.D. in Statistics from the Wharton Doctoral Program at the University of Pennsylvania.</w:t>
            </w:r>
          </w:p>
          <w:p>
            <w:pPr>
              <w:pStyle w:val="TableContents"/>
              <w:jc w:val="both"/>
              <w:rPr>
                <w:caps w:val="false"/>
                <w:smallCaps w:val="false"/>
                <w:color w:val="7CBC3E"/>
              </w:rPr>
            </w:pPr>
            <w:r>
              <w:rPr>
                <w:caps w:val="false"/>
                <w:smallCaps w:val="false"/>
                <w:color w:val="7CBC3E"/>
              </w:rPr>
              <w:t> </w:t>
            </w:r>
          </w:p>
          <w:p>
            <w:pPr>
              <w:pStyle w:val="TableContents"/>
              <w:spacing w:before="0" w:after="60"/>
              <w:jc w:val="both"/>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Skills and Qualifications specific to Ultragenyx:</w:t>
            </w:r>
          </w:p>
          <w:p>
            <w:pPr>
              <w:pStyle w:val="TableContents"/>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Dr. Sanders is qualified to serve on our Board due to her established and extensive experience in global clinical development and her role as an advisor and director to various companies in the biotechnology and pharmaceutical sectors, all of which give her the skills to provide us with operational and strategic insights.</w:t>
            </w:r>
          </w:p>
        </w:tc>
      </w:tr>
    </w:tbl>
    <w:p>
      <w:pPr>
        <w:pStyle w:val="TextBody"/>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13</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rPr>
          <w:rFonts w:ascii="Arial;Helvetica;Sans-Serif" w:hAnsi="Arial;Helvetica;Sans-Serif"/>
          <w:b/>
          <w:i w:val="false"/>
          <w:caps w:val="false"/>
          <w:smallCaps w:val="false"/>
          <w:sz w:val="28"/>
        </w:rPr>
      </w:pPr>
      <w:bookmarkStart w:id="14" w:name="lrarea012"/>
      <w:bookmarkEnd w:id="14"/>
      <w:r>
        <w:rPr>
          <w:rFonts w:ascii="Arial;Helvetica;Sans-Serif" w:hAnsi="Arial;Helvetica;Sans-Serif"/>
          <w:b/>
          <w:i w:val="false"/>
          <w:caps w:val="false"/>
          <w:smallCaps w:val="false"/>
          <w:sz w:val="28"/>
        </w:rPr>
        <w:t>Class III Directors Continuing in Office Until 2025</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780"/>
        <w:gridCol w:w="60"/>
        <w:gridCol w:w="7365"/>
      </w:tblGrid>
      <w:tr>
        <w:trPr/>
        <w:tc>
          <w:tcPr>
            <w:tcW w:w="2780" w:type="dxa"/>
            <w:tcBorders/>
            <w:shd w:fill="auto" w:val="clear"/>
            <w:vAlign w:val="center"/>
          </w:tcPr>
          <w:p>
            <w:pPr>
              <w:pStyle w:val="TableContents"/>
              <w:spacing w:before="0" w:after="283"/>
              <w:ind w:left="0" w:right="0" w:firstLine="28"/>
              <w:rPr>
                <w:rFonts w:ascii="Arial;Helvetica;Sans-Serif" w:hAnsi="Arial;Helvetica;Sans-Serif"/>
                <w:b/>
                <w:i w:val="false"/>
                <w:caps w:val="false"/>
                <w:smallCaps w:val="false"/>
                <w:color w:val="7CBC3E"/>
                <w:sz w:val="20"/>
              </w:rPr>
            </w:pPr>
            <w:r>
              <w:rPr>
                <w:rFonts w:ascii="Arial;Helvetica;Sans-Serif" w:hAnsi="Arial;Helvetica;Sans-Serif"/>
                <w:b/>
                <w:i w:val="false"/>
                <w:caps w:val="false"/>
                <w:smallCaps w:val="false"/>
                <w:color w:val="7CBC3E"/>
                <w:sz w:val="20"/>
              </w:rPr>
              <w:t>Matthew Fust</w:t>
            </w:r>
          </w:p>
        </w:tc>
        <w:tc>
          <w:tcPr>
            <w:tcW w:w="60" w:type="dxa"/>
            <w:tcBorders/>
            <w:shd w:fill="auto" w:val="clear"/>
            <w:vAlign w:val="center"/>
          </w:tcPr>
          <w:p>
            <w:pPr>
              <w:pStyle w:val="TableContents"/>
              <w:spacing w:before="0" w:after="283"/>
              <w:rPr/>
            </w:pPr>
            <w:r>
              <w:rPr/>
              <w:t> </w:t>
            </w:r>
          </w:p>
        </w:tc>
        <w:tc>
          <w:tcPr>
            <w:tcW w:w="7365" w:type="dxa"/>
            <w:tcBorders/>
            <w:shd w:fill="auto" w:val="clear"/>
            <w:vAlign w:val="center"/>
          </w:tcPr>
          <w:p>
            <w:pPr>
              <w:pStyle w:val="TableContents"/>
              <w:spacing w:before="0" w:after="283"/>
              <w:ind w:left="0" w:right="0" w:firstLine="28"/>
              <w:rPr/>
            </w:pPr>
            <w:r>
              <w:rPr/>
              <w:t> </w:t>
            </w:r>
          </w:p>
        </w:tc>
      </w:tr>
      <w:tr>
        <w:trPr/>
        <w:tc>
          <w:tcPr>
            <w:tcW w:w="10205" w:type="dxa"/>
            <w:gridSpan w:val="3"/>
            <w:tcBorders>
              <w:bottom w:val="single" w:sz="12" w:space="0" w:color="7CBC3E"/>
            </w:tcBorders>
            <w:shd w:fill="auto" w:val="clear"/>
            <w:tcMar>
              <w:bottom w:w="28"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Board member and advisor to various life science companies</w:t>
            </w:r>
          </w:p>
        </w:tc>
      </w:tr>
      <w:tr>
        <w:trPr/>
        <w:tc>
          <w:tcPr>
            <w:tcW w:w="2780" w:type="dxa"/>
            <w:tcBorders>
              <w:bottom w:val="single" w:sz="12" w:space="0" w:color="7CBC3E"/>
            </w:tcBorders>
            <w:shd w:fill="F0FEE5" w:val="clear"/>
            <w:tcMar>
              <w:bottom w:w="60" w:type="dxa"/>
            </w:tcMar>
            <w:vAlign w:val="center"/>
          </w:tcPr>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Age:</w:t>
            </w:r>
            <w:r>
              <w:rPr>
                <w:rFonts w:ascii="Arial;Helvetica;Sans-Serif" w:hAnsi="Arial;Helvetica;Sans-Serif"/>
                <w:b/>
                <w:i w:val="false"/>
                <w:caps w:val="false"/>
                <w:smallCaps w:val="false"/>
                <w:color w:val="7CBC3E"/>
                <w:sz w:val="18"/>
              </w:rPr>
              <w:t>58</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Director since: </w:t>
            </w:r>
            <w:r>
              <w:rPr>
                <w:rFonts w:ascii="Arial;Helvetica;Sans-Serif" w:hAnsi="Arial;Helvetica;Sans-Serif"/>
                <w:b/>
                <w:i w:val="false"/>
                <w:caps w:val="false"/>
                <w:smallCaps w:val="false"/>
                <w:color w:val="7CBC3E"/>
                <w:sz w:val="18"/>
              </w:rPr>
              <w:t>2014</w:t>
            </w:r>
          </w:p>
          <w:p>
            <w:pPr>
              <w:pStyle w:val="TableContents"/>
              <w:rPr>
                <w:caps w:val="false"/>
                <w:smallCaps w:val="false"/>
                <w:color w:val="7CBC3E"/>
              </w:rPr>
            </w:pPr>
            <w:r>
              <w:rPr>
                <w:caps w:val="false"/>
                <w:smallCaps w:val="false"/>
                <w:color w:val="7CBC3E"/>
              </w:rPr>
              <w:t> </w:t>
            </w:r>
          </w:p>
          <w:p>
            <w:pPr>
              <w:pStyle w:val="TableContents"/>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INDEPENDENT</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Committees: </w:t>
            </w:r>
            <w:r>
              <w:rPr>
                <w:rFonts w:ascii="Arial;Helvetica;Sans-Serif" w:hAnsi="Arial;Helvetica;Sans-Serif"/>
                <w:b/>
                <w:i w:val="false"/>
                <w:caps w:val="false"/>
                <w:smallCaps w:val="false"/>
                <w:color w:val="7CBC3E"/>
                <w:sz w:val="18"/>
              </w:rPr>
              <w:t>2</w:t>
            </w:r>
          </w:p>
          <w:p>
            <w:pPr>
              <w:pStyle w:val="TableContents"/>
              <w:rPr>
                <w:caps w:val="false"/>
                <w:smallCaps w:val="false"/>
              </w:rPr>
            </w:pPr>
            <w:r>
              <w:rPr>
                <w:caps w:val="false"/>
                <w:smallCaps w:val="false"/>
              </w:rPr>
              <w:t> </w:t>
            </w:r>
          </w:p>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Other Public Directorships: </w:t>
            </w:r>
            <w:r>
              <w:rPr>
                <w:rFonts w:ascii="Arial;Helvetica;Sans-Serif" w:hAnsi="Arial;Helvetica;Sans-Serif"/>
                <w:b/>
                <w:i w:val="false"/>
                <w:caps w:val="false"/>
                <w:smallCaps w:val="false"/>
                <w:color w:val="7CBC3E"/>
                <w:sz w:val="18"/>
              </w:rPr>
              <w:t>2      </w:t>
            </w:r>
          </w:p>
        </w:tc>
        <w:tc>
          <w:tcPr>
            <w:tcW w:w="60" w:type="dxa"/>
            <w:tcBorders>
              <w:bottom w:val="single" w:sz="12" w:space="0" w:color="7CBC3E"/>
            </w:tcBorders>
            <w:shd w:fill="auto" w:val="clear"/>
            <w:tcMar>
              <w:bottom w:w="60" w:type="dxa"/>
            </w:tcMar>
            <w:vAlign w:val="center"/>
          </w:tcPr>
          <w:p>
            <w:pPr>
              <w:pStyle w:val="TableContents"/>
              <w:spacing w:before="0" w:after="283"/>
              <w:rPr/>
            </w:pPr>
            <w:r>
              <w:rPr/>
              <w:t> </w:t>
            </w:r>
          </w:p>
        </w:tc>
        <w:tc>
          <w:tcPr>
            <w:tcW w:w="7365" w:type="dxa"/>
            <w:tcBorders>
              <w:bottom w:val="single" w:sz="12" w:space="0" w:color="7CBC3E"/>
            </w:tcBorders>
            <w:shd w:fill="auto" w:val="clear"/>
            <w:tcMar>
              <w:bottom w:w="60" w:type="dxa"/>
            </w:tcMar>
            <w:vAlign w:val="center"/>
          </w:tcPr>
          <w:p>
            <w:pPr>
              <w:pStyle w:val="TableContents"/>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Fust is a board member and advisor to life sciences companies. Mr. Fust currently serves on the board of directors of Atara Biotherapeutics, Inc. and Crinetics Pharmaceuticals, Inc., which are publicly traded biopharmaceutical companies. Mr. Fust also previously served on the board of directors of Sunesis Pharmaceuticals, Inc., a biotechnology company, from May 2005 to May 2017, the board of Dermira, Inc., a biopharmaceutical company, from August 2014 to February 2020 and the board of MacroGenics, Inc., a biotechnology company, from March 2014 to May 2020. He retired as Executive Vice President of Onyx Pharmaceuticals, Inc., a biopharmaceutical company, where he served from January 2009 to January 2014. From May 2003 to December 2008, Mr. Fust served as Chief Financial Officer at Jazz Pharmaceuticals, Inc., a specialty pharmaceutical company. From 2002 to 2003, Mr. Fust served as Chief Financial Officer at Perlegen Sciences, Inc., a biopharmaceutical company. Previously, he was Senior Vice President and Chief Financial Officer at ALZA Corporation, a pharmaceutical company, where he was an executive from 1996 to 2002. From 1991 to1996, Mr. Fust was a manager in the healthcare strategy practice at Andersen Consulting, a consulting company. Mr. Fust holds a B.A. in Accounting from the University of Minnesota and an M.B.A. from the Stanford Graduate School of Business.</w:t>
            </w:r>
          </w:p>
          <w:p>
            <w:pPr>
              <w:pStyle w:val="TableContents"/>
              <w:rPr>
                <w:caps w:val="false"/>
                <w:smallCaps w:val="false"/>
                <w:color w:val="7CBC3E"/>
              </w:rPr>
            </w:pPr>
            <w:r>
              <w:rPr>
                <w:caps w:val="false"/>
                <w:smallCaps w:val="false"/>
                <w:color w:val="7CBC3E"/>
              </w:rPr>
              <w:t> </w:t>
            </w:r>
          </w:p>
          <w:p>
            <w:pPr>
              <w:pStyle w:val="TableContents"/>
              <w:spacing w:before="0" w:after="60"/>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Skills and Qualifications specific to Ultragenyx:</w:t>
            </w:r>
          </w:p>
          <w:p>
            <w:pPr>
              <w:pStyle w:val="TableContents"/>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Mr. Fust is qualified to serve on our Board due to his extensive experience in the life sciences industry, his financial experience and ability to be our “audit committee financial expert,” and his service as a director of other public biopharmaceutical companies.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780"/>
        <w:gridCol w:w="60"/>
        <w:gridCol w:w="7365"/>
      </w:tblGrid>
      <w:tr>
        <w:trPr/>
        <w:tc>
          <w:tcPr>
            <w:tcW w:w="2780" w:type="dxa"/>
            <w:tcBorders/>
            <w:shd w:fill="auto" w:val="clear"/>
            <w:vAlign w:val="center"/>
          </w:tcPr>
          <w:p>
            <w:pPr>
              <w:pStyle w:val="TableContents"/>
              <w:spacing w:before="0" w:after="283"/>
              <w:rPr>
                <w:rFonts w:ascii="Arial;Helvetica;Sans-Serif" w:hAnsi="Arial;Helvetica;Sans-Serif"/>
                <w:b/>
                <w:i w:val="false"/>
                <w:caps w:val="false"/>
                <w:smallCaps w:val="false"/>
                <w:color w:val="7CBC3E"/>
                <w:sz w:val="20"/>
              </w:rPr>
            </w:pPr>
            <w:r>
              <w:rPr>
                <w:rFonts w:ascii="Arial;Helvetica;Sans-Serif" w:hAnsi="Arial;Helvetica;Sans-Serif"/>
                <w:b/>
                <w:i w:val="false"/>
                <w:caps w:val="false"/>
                <w:smallCaps w:val="false"/>
                <w:color w:val="7CBC3E"/>
                <w:sz w:val="20"/>
              </w:rPr>
              <w:t>Amrit Ray, M.D.</w:t>
            </w:r>
          </w:p>
        </w:tc>
        <w:tc>
          <w:tcPr>
            <w:tcW w:w="60" w:type="dxa"/>
            <w:tcBorders/>
            <w:shd w:fill="auto" w:val="clear"/>
            <w:vAlign w:val="center"/>
          </w:tcPr>
          <w:p>
            <w:pPr>
              <w:pStyle w:val="TableContents"/>
              <w:spacing w:before="0" w:after="283"/>
              <w:rPr/>
            </w:pPr>
            <w:r>
              <w:rPr/>
              <w:t> </w:t>
            </w:r>
          </w:p>
        </w:tc>
        <w:tc>
          <w:tcPr>
            <w:tcW w:w="7365" w:type="dxa"/>
            <w:tcBorders/>
            <w:shd w:fill="auto" w:val="clear"/>
            <w:vAlign w:val="center"/>
          </w:tcPr>
          <w:p>
            <w:pPr>
              <w:pStyle w:val="TableContents"/>
              <w:spacing w:before="0" w:after="283"/>
              <w:rPr/>
            </w:pPr>
            <w:r>
              <w:rPr/>
              <w:t> </w:t>
            </w:r>
          </w:p>
        </w:tc>
      </w:tr>
      <w:tr>
        <w:trPr/>
        <w:tc>
          <w:tcPr>
            <w:tcW w:w="10205" w:type="dxa"/>
            <w:gridSpan w:val="3"/>
            <w:tcBorders>
              <w:bottom w:val="single" w:sz="12" w:space="0" w:color="7CBC3E"/>
            </w:tcBorders>
            <w:shd w:fill="auto" w:val="clear"/>
            <w:tcMar>
              <w:bottom w:w="28"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Board member and advisor to various life science companies</w:t>
            </w:r>
          </w:p>
        </w:tc>
      </w:tr>
      <w:tr>
        <w:trPr/>
        <w:tc>
          <w:tcPr>
            <w:tcW w:w="2780" w:type="dxa"/>
            <w:tcBorders>
              <w:bottom w:val="single" w:sz="12" w:space="0" w:color="7CBC3E"/>
            </w:tcBorders>
            <w:shd w:fill="F0FEE5" w:val="clear"/>
            <w:tcMar>
              <w:bottom w:w="60" w:type="dxa"/>
            </w:tcMar>
            <w:vAlign w:val="center"/>
          </w:tcPr>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Age: </w:t>
            </w:r>
            <w:r>
              <w:rPr>
                <w:rFonts w:ascii="Arial;Helvetica;Sans-Serif" w:hAnsi="Arial;Helvetica;Sans-Serif"/>
                <w:b/>
                <w:i w:val="false"/>
                <w:caps w:val="false"/>
                <w:smallCaps w:val="false"/>
                <w:color w:val="7CBC3E"/>
                <w:sz w:val="18"/>
              </w:rPr>
              <w:t>50</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Director since: </w:t>
            </w:r>
            <w:r>
              <w:rPr>
                <w:rFonts w:ascii="Arial;Helvetica;Sans-Serif" w:hAnsi="Arial;Helvetica;Sans-Serif"/>
                <w:b/>
                <w:i w:val="false"/>
                <w:caps w:val="false"/>
                <w:smallCaps w:val="false"/>
                <w:color w:val="7CBC3E"/>
                <w:sz w:val="18"/>
              </w:rPr>
              <w:t>2022</w:t>
            </w:r>
          </w:p>
          <w:p>
            <w:pPr>
              <w:pStyle w:val="TableContents"/>
              <w:rPr>
                <w:caps w:val="false"/>
                <w:smallCaps w:val="false"/>
                <w:color w:val="7CBC3E"/>
              </w:rPr>
            </w:pPr>
            <w:r>
              <w:rPr>
                <w:caps w:val="false"/>
                <w:smallCaps w:val="false"/>
                <w:color w:val="7CBC3E"/>
              </w:rPr>
              <w:t> </w:t>
            </w:r>
          </w:p>
          <w:p>
            <w:pPr>
              <w:pStyle w:val="TableContents"/>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INDEPENDENT</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Committees: </w:t>
            </w:r>
            <w:r>
              <w:rPr>
                <w:rFonts w:ascii="Arial;Helvetica;Sans-Serif" w:hAnsi="Arial;Helvetica;Sans-Serif"/>
                <w:b/>
                <w:i w:val="false"/>
                <w:caps w:val="false"/>
                <w:smallCaps w:val="false"/>
                <w:color w:val="7CBC3E"/>
                <w:sz w:val="18"/>
              </w:rPr>
              <w:t>1</w:t>
            </w:r>
          </w:p>
          <w:p>
            <w:pPr>
              <w:pStyle w:val="TableContents"/>
              <w:rPr>
                <w:caps w:val="false"/>
                <w:smallCaps w:val="false"/>
              </w:rPr>
            </w:pPr>
            <w:r>
              <w:rPr>
                <w:caps w:val="false"/>
                <w:smallCaps w:val="false"/>
              </w:rPr>
              <w:t> </w:t>
            </w:r>
          </w:p>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Other Public Directorships: </w:t>
            </w:r>
            <w:r>
              <w:rPr>
                <w:rFonts w:ascii="Arial;Helvetica;Sans-Serif" w:hAnsi="Arial;Helvetica;Sans-Serif"/>
                <w:b/>
                <w:i w:val="false"/>
                <w:caps w:val="false"/>
                <w:smallCaps w:val="false"/>
                <w:color w:val="7CBC3E"/>
                <w:sz w:val="18"/>
              </w:rPr>
              <w:t>0      </w:t>
            </w:r>
          </w:p>
        </w:tc>
        <w:tc>
          <w:tcPr>
            <w:tcW w:w="60" w:type="dxa"/>
            <w:tcBorders>
              <w:bottom w:val="single" w:sz="12" w:space="0" w:color="7CBC3E"/>
            </w:tcBorders>
            <w:shd w:fill="auto" w:val="clear"/>
            <w:tcMar>
              <w:bottom w:w="60" w:type="dxa"/>
            </w:tcMar>
            <w:vAlign w:val="center"/>
          </w:tcPr>
          <w:p>
            <w:pPr>
              <w:pStyle w:val="TableContents"/>
              <w:spacing w:before="0" w:after="283"/>
              <w:rPr/>
            </w:pPr>
            <w:r>
              <w:rPr/>
              <w:t> </w:t>
            </w:r>
          </w:p>
        </w:tc>
        <w:tc>
          <w:tcPr>
            <w:tcW w:w="7365" w:type="dxa"/>
            <w:tcBorders>
              <w:bottom w:val="single" w:sz="12" w:space="0" w:color="7CBC3E"/>
            </w:tcBorders>
            <w:shd w:fill="auto" w:val="clear"/>
            <w:tcMar>
              <w:bottom w:w="60" w:type="dxa"/>
            </w:tcMar>
            <w:vAlign w:val="center"/>
          </w:tcPr>
          <w:p>
            <w:pPr>
              <w:pStyle w:val="TableContents"/>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Dr. Ray currently serves as a board member and advisor to life science companies. He previously served as Chief Patient Officer at Biohaven Pharmaceuticals, a public biopharmaceutical company, from March 2022 until Biohaven’s acquisition by Pfizer in December 2022. Prior to his role at Biohaven, he served as Senior Adviser to Bain Capital Life Sciences, an investment company, from February 2021 to March 2022. Prior to Bain Capital, Dr. Ray served as Global President, Head of R&amp;D and Medical at Pfizer Upjohn, a division of Pfizer, Inc., a public pharmaceutical company, from January 2019 to January 2021 and as Global President, Head of R&amp;D of Pfizer’s Essential Health division from 2017 to January 2019. Prior to his roles at Pfizer, he held positions of increasing responsibility at Johnson &amp; Johnson, a public pharmaceutical company, including serving as Senior Vice President, External Affairs (Science and Medicine) in 2017, Senior Vice President, Chief Medical Officer of Janssen from 2012 to 2017 and Senior Vice President, Chief Safety Officer from 2009 to 2012. Dr. Ray currently serves as a Visiting Professor of Practice, Faculty of Medical Sciences at Newcastle University in the United Kingdom and as a member of the board of directors of CorEvitas, LLC, a private company providing specialized patient registries and curated data sources. He is also currently a member of the board of directors at EveryLife Foundation for Rare Diseases, a member of the board of directors at The Hastings Center, a non-profit ethics research institute and a member of the board of directors of Norgine, a private specialty pharmaceutical copany. Dr. Ray holds a B.S., with Honours, in Immunology and a M.D. (M.B., Ch.B.) from the University of Edinburgh. He also holds an M.B.A. from the Tuck School of Business at Dartmouth College.</w:t>
            </w:r>
          </w:p>
          <w:p>
            <w:pPr>
              <w:pStyle w:val="TableContents"/>
              <w:rPr>
                <w:caps w:val="false"/>
                <w:smallCaps w:val="false"/>
              </w:rPr>
            </w:pPr>
            <w:r>
              <w:rPr>
                <w:caps w:val="false"/>
                <w:smallCaps w:val="false"/>
              </w:rPr>
              <w:t> </w:t>
            </w:r>
          </w:p>
          <w:p>
            <w:pPr>
              <w:pStyle w:val="TableContents"/>
              <w:spacing w:before="0" w:after="60"/>
              <w:jc w:val="left"/>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Skills and Qualifications specific to Ultragenyx:</w:t>
            </w:r>
          </w:p>
          <w:p>
            <w:pPr>
              <w:pStyle w:val="TableContents"/>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Dr. Ray is qualified to serve on our Board due to his extensive experience in the life sciences industry, and particularly his research and development expertise.</w:t>
            </w:r>
          </w:p>
        </w:tc>
      </w:tr>
    </w:tbl>
    <w:p>
      <w:pPr>
        <w:pStyle w:val="TextBody"/>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14</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rPr>
          <w:rFonts w:ascii="Arial;Helvetica;Sans-Serif" w:hAnsi="Arial;Helvetica;Sans-Serif"/>
          <w:b/>
          <w:i w:val="false"/>
          <w:caps w:val="false"/>
          <w:smallCaps w:val="false"/>
          <w:sz w:val="28"/>
        </w:rPr>
      </w:pPr>
      <w:bookmarkStart w:id="15" w:name="lrarea013"/>
      <w:bookmarkEnd w:id="15"/>
      <w:r>
        <w:rPr>
          <w:rFonts w:ascii="Arial;Helvetica;Sans-Serif" w:hAnsi="Arial;Helvetica;Sans-Serif"/>
          <w:b/>
          <w:i w:val="false"/>
          <w:caps w:val="false"/>
          <w:smallCaps w:val="false"/>
          <w:sz w:val="28"/>
        </w:rPr>
        <w:t>Class III Director Retiring from the Board</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780"/>
        <w:gridCol w:w="60"/>
        <w:gridCol w:w="7365"/>
      </w:tblGrid>
      <w:tr>
        <w:trPr/>
        <w:tc>
          <w:tcPr>
            <w:tcW w:w="2780" w:type="dxa"/>
            <w:tcBorders/>
            <w:shd w:fill="auto" w:val="clear"/>
            <w:vAlign w:val="center"/>
          </w:tcPr>
          <w:p>
            <w:pPr>
              <w:pStyle w:val="TableContents"/>
              <w:spacing w:before="0" w:after="283"/>
              <w:ind w:left="0" w:right="0" w:firstLine="28"/>
              <w:rPr>
                <w:rFonts w:ascii="Arial;Helvetica;Sans-Serif" w:hAnsi="Arial;Helvetica;Sans-Serif"/>
                <w:b/>
                <w:i w:val="false"/>
                <w:caps w:val="false"/>
                <w:smallCaps w:val="false"/>
                <w:color w:val="7CBC3E"/>
                <w:sz w:val="20"/>
              </w:rPr>
            </w:pPr>
            <w:r>
              <w:rPr>
                <w:rFonts w:ascii="Arial;Helvetica;Sans-Serif" w:hAnsi="Arial;Helvetica;Sans-Serif"/>
                <w:b/>
                <w:i w:val="false"/>
                <w:caps w:val="false"/>
                <w:smallCaps w:val="false"/>
                <w:color w:val="7CBC3E"/>
                <w:sz w:val="20"/>
              </w:rPr>
              <w:t>Lars Ekman, M.D., Ph.D.</w:t>
            </w:r>
          </w:p>
        </w:tc>
        <w:tc>
          <w:tcPr>
            <w:tcW w:w="60" w:type="dxa"/>
            <w:tcBorders/>
            <w:shd w:fill="auto" w:val="clear"/>
            <w:vAlign w:val="center"/>
          </w:tcPr>
          <w:p>
            <w:pPr>
              <w:pStyle w:val="TableContents"/>
              <w:spacing w:before="0" w:after="283"/>
              <w:rPr/>
            </w:pPr>
            <w:r>
              <w:rPr/>
              <w:t> </w:t>
            </w:r>
          </w:p>
        </w:tc>
        <w:tc>
          <w:tcPr>
            <w:tcW w:w="7365" w:type="dxa"/>
            <w:tcBorders/>
            <w:shd w:fill="auto" w:val="clear"/>
            <w:vAlign w:val="center"/>
          </w:tcPr>
          <w:p>
            <w:pPr>
              <w:pStyle w:val="TableContents"/>
              <w:spacing w:before="0" w:after="283"/>
              <w:ind w:left="0" w:right="0" w:firstLine="28"/>
              <w:rPr/>
            </w:pPr>
            <w:r>
              <w:rPr/>
              <w:t> </w:t>
            </w:r>
          </w:p>
        </w:tc>
      </w:tr>
      <w:tr>
        <w:trPr/>
        <w:tc>
          <w:tcPr>
            <w:tcW w:w="2780" w:type="dxa"/>
            <w:tcBorders>
              <w:bottom w:val="single" w:sz="12" w:space="0" w:color="7CBC3E"/>
            </w:tcBorders>
            <w:shd w:fill="auto" w:val="clear"/>
            <w:tcMar>
              <w:bottom w:w="28"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Executive Partner at Sofinnova</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7365" w:type="dxa"/>
            <w:tcBorders>
              <w:bottom w:val="single" w:sz="12" w:space="0" w:color="7CBC3E"/>
            </w:tcBorders>
            <w:shd w:fill="auto" w:val="clear"/>
            <w:tcMar>
              <w:bottom w:w="28" w:type="dxa"/>
            </w:tcMar>
            <w:vAlign w:val="center"/>
          </w:tcPr>
          <w:p>
            <w:pPr>
              <w:pStyle w:val="TableContents"/>
              <w:spacing w:before="0" w:after="283"/>
              <w:rPr/>
            </w:pPr>
            <w:r>
              <w:rPr/>
              <w:t> </w:t>
            </w:r>
          </w:p>
        </w:tc>
      </w:tr>
      <w:tr>
        <w:trPr/>
        <w:tc>
          <w:tcPr>
            <w:tcW w:w="2780" w:type="dxa"/>
            <w:tcBorders>
              <w:bottom w:val="single" w:sz="12" w:space="0" w:color="7CBC3E"/>
            </w:tcBorders>
            <w:shd w:fill="F0FEE5" w:val="clear"/>
            <w:tcMar>
              <w:bottom w:w="60" w:type="dxa"/>
            </w:tcMar>
            <w:vAlign w:val="center"/>
          </w:tcPr>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Age: </w:t>
            </w:r>
            <w:r>
              <w:rPr>
                <w:rFonts w:ascii="Arial;Helvetica;Sans-Serif" w:hAnsi="Arial;Helvetica;Sans-Serif"/>
                <w:b/>
                <w:i w:val="false"/>
                <w:caps w:val="false"/>
                <w:smallCaps w:val="false"/>
                <w:color w:val="7CBC3E"/>
                <w:sz w:val="18"/>
              </w:rPr>
              <w:t>73</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Director since: </w:t>
            </w:r>
            <w:r>
              <w:rPr>
                <w:rFonts w:ascii="Arial;Helvetica;Sans-Serif" w:hAnsi="Arial;Helvetica;Sans-Serif"/>
                <w:b/>
                <w:i w:val="false"/>
                <w:caps w:val="false"/>
                <w:smallCaps w:val="false"/>
                <w:color w:val="7CBC3E"/>
                <w:sz w:val="18"/>
              </w:rPr>
              <w:t>2016</w:t>
            </w:r>
          </w:p>
          <w:p>
            <w:pPr>
              <w:pStyle w:val="TableContents"/>
              <w:rPr>
                <w:caps w:val="false"/>
                <w:smallCaps w:val="false"/>
                <w:color w:val="7CBC3E"/>
              </w:rPr>
            </w:pPr>
            <w:r>
              <w:rPr>
                <w:caps w:val="false"/>
                <w:smallCaps w:val="false"/>
                <w:color w:val="7CBC3E"/>
              </w:rPr>
              <w:t> </w:t>
            </w:r>
          </w:p>
          <w:p>
            <w:pPr>
              <w:pStyle w:val="TableContents"/>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INDEPENDENT</w:t>
            </w:r>
          </w:p>
          <w:p>
            <w:pPr>
              <w:pStyle w:val="TableContents"/>
              <w:rPr>
                <w:caps w:val="false"/>
                <w:smallCaps w:val="false"/>
              </w:rPr>
            </w:pPr>
            <w:r>
              <w:rPr>
                <w:caps w:val="false"/>
                <w:smallCaps w:val="false"/>
              </w:rPr>
              <w:t> </w:t>
            </w:r>
          </w:p>
          <w:p>
            <w:pPr>
              <w:pStyle w:val="TableContents"/>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Committees: </w:t>
            </w:r>
            <w:r>
              <w:rPr>
                <w:rFonts w:ascii="Arial;Helvetica;Sans-Serif" w:hAnsi="Arial;Helvetica;Sans-Serif"/>
                <w:b/>
                <w:i w:val="false"/>
                <w:caps w:val="false"/>
                <w:smallCaps w:val="false"/>
                <w:color w:val="7CBC3E"/>
                <w:sz w:val="18"/>
              </w:rPr>
              <w:t>1</w:t>
            </w:r>
          </w:p>
          <w:p>
            <w:pPr>
              <w:pStyle w:val="TableContents"/>
              <w:rPr>
                <w:caps w:val="false"/>
                <w:smallCaps w:val="false"/>
              </w:rPr>
            </w:pPr>
            <w:r>
              <w:rPr>
                <w:caps w:val="false"/>
                <w:smallCaps w:val="false"/>
              </w:rPr>
              <w:t> </w:t>
            </w:r>
          </w:p>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Other Public Directorships: </w:t>
            </w:r>
            <w:r>
              <w:rPr>
                <w:rFonts w:ascii="Arial;Helvetica;Sans-Serif" w:hAnsi="Arial;Helvetica;Sans-Serif"/>
                <w:b/>
                <w:i w:val="false"/>
                <w:caps w:val="false"/>
                <w:smallCaps w:val="false"/>
                <w:color w:val="7CBC3E"/>
                <w:sz w:val="18"/>
              </w:rPr>
              <w:t>1      </w:t>
            </w:r>
          </w:p>
        </w:tc>
        <w:tc>
          <w:tcPr>
            <w:tcW w:w="60" w:type="dxa"/>
            <w:tcBorders>
              <w:bottom w:val="single" w:sz="12" w:space="0" w:color="7CBC3E"/>
            </w:tcBorders>
            <w:shd w:fill="auto" w:val="clear"/>
            <w:tcMar>
              <w:bottom w:w="60" w:type="dxa"/>
            </w:tcMar>
            <w:vAlign w:val="center"/>
          </w:tcPr>
          <w:p>
            <w:pPr>
              <w:pStyle w:val="TableContents"/>
              <w:spacing w:before="0" w:after="283"/>
              <w:rPr/>
            </w:pPr>
            <w:r>
              <w:rPr/>
              <w:t> </w:t>
            </w:r>
          </w:p>
        </w:tc>
        <w:tc>
          <w:tcPr>
            <w:tcW w:w="7365" w:type="dxa"/>
            <w:tcBorders>
              <w:bottom w:val="single" w:sz="12" w:space="0" w:color="7CBC3E"/>
            </w:tcBorders>
            <w:shd w:fill="auto" w:val="clear"/>
            <w:tcMar>
              <w:bottom w:w="60" w:type="dxa"/>
            </w:tcMar>
            <w:vAlign w:val="center"/>
          </w:tcPr>
          <w:p>
            <w:pPr>
              <w:pStyle w:val="TableContents"/>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Dr. Ekman has more than 30 years of experience in the pharmaceutical industry and is currently an executive partner at Sofinnova, a venture capital firm, where Dr. Ekman has served as executive partner since March 2008. He currently serves as Chairman of the Board of Prothena Corporation plc, a public neuroscience company. Dr. Ekman previously served on the boards of Spark Therapeutics, Inc. from 2015 until December 2019, Elan Corporation plc from 2007 through 2013, InterMune Inc. from 2006 through 2013, Ocera Therapeutics, Inc. from 2009 through 2015, Sophiris Bio, Inc. from 2010 to September 2020 and Amarin Corporation from 2008 to December 2022. From October 2008 to 2011, he served as Co-Founder and Chief Executive Officer of Cebix Inc., a C-peptide replacement therapy company. He was Executive Vice President and President of Global Research and Development at Elan Corporation plc, from January 2001 to December 2007. Prior to joining Elan, he was Executive Vice President, Research and Development at Schwarz Pharma AG, a pharmaceutical company, from February 1997 to December 2000, and prior to that was employed in a variety of senior scientific and clinical functions at Pharmacia, now Pfizer Inc. Dr. Ekman is a board-certified surgeon with a Ph.D. in experimental biology and has held several clinical and academic positions in both the United States and Europe. He holds a Ph.D. and M.D. from the University of Gothenburg, Sweden.</w:t>
            </w:r>
          </w:p>
          <w:p>
            <w:pPr>
              <w:pStyle w:val="TableContents"/>
              <w:rPr>
                <w:caps w:val="false"/>
                <w:smallCaps w:val="false"/>
                <w:color w:val="7CBC3E"/>
              </w:rPr>
            </w:pPr>
            <w:r>
              <w:rPr>
                <w:caps w:val="false"/>
                <w:smallCaps w:val="false"/>
                <w:color w:val="7CBC3E"/>
              </w:rPr>
              <w:t> </w:t>
            </w:r>
          </w:p>
          <w:p>
            <w:pPr>
              <w:pStyle w:val="TableContents"/>
              <w:spacing w:before="0" w:after="60"/>
              <w:rPr>
                <w:rFonts w:ascii="Arial;Helvetica;Sans-Serif" w:hAnsi="Arial;Helvetica;Sans-Serif"/>
                <w:b w:val="false"/>
                <w:i w:val="false"/>
                <w:caps w:val="false"/>
                <w:smallCaps w:val="false"/>
                <w:color w:val="7CBC3E"/>
                <w:sz w:val="18"/>
              </w:rPr>
            </w:pPr>
            <w:r>
              <w:rPr>
                <w:rFonts w:ascii="Arial;Helvetica;Sans-Serif" w:hAnsi="Arial;Helvetica;Sans-Serif"/>
                <w:b w:val="false"/>
                <w:i w:val="false"/>
                <w:caps w:val="false"/>
                <w:smallCaps w:val="false"/>
                <w:color w:val="7CBC3E"/>
                <w:sz w:val="18"/>
              </w:rPr>
              <w:t>Skills and Qualifications specific to Ultragenyx:</w:t>
            </w:r>
          </w:p>
          <w:p>
            <w:pPr>
              <w:pStyle w:val="TableContents"/>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Dr. Ekman is qualified to serve on our Board due to his extensive experience in the life sciences industry, and particularly his research and development expertise, as well as his membership on various boards of directors in the biotechnology industry.</w:t>
            </w:r>
          </w:p>
        </w:tc>
      </w:tr>
    </w:tbl>
    <w:p>
      <w:pPr>
        <w:pStyle w:val="TextBody"/>
        <w:rPr>
          <w:caps w:val="false"/>
          <w:smallCaps w:val="false"/>
        </w:rPr>
      </w:pPr>
      <w:r>
        <w:rPr>
          <w:caps w:val="false"/>
          <w:smallCaps w:val="false"/>
        </w:rPr>
        <w:t> </w:t>
      </w:r>
    </w:p>
    <w:p>
      <w:pPr>
        <w:pStyle w:val="Heading3"/>
        <w:rPr>
          <w:rFonts w:ascii="Arial;Helvetica;Sans-Serif" w:hAnsi="Arial;Helvetica;Sans-Serif"/>
          <w:b/>
          <w:i w:val="false"/>
          <w:caps w:val="false"/>
          <w:smallCaps w:val="false"/>
          <w:sz w:val="28"/>
        </w:rPr>
      </w:pPr>
      <w:bookmarkStart w:id="16" w:name="lrarea014"/>
      <w:bookmarkEnd w:id="16"/>
      <w:r>
        <w:rPr>
          <w:rFonts w:ascii="Arial;Helvetica;Sans-Serif" w:hAnsi="Arial;Helvetica;Sans-Serif"/>
          <w:b/>
          <w:i w:val="false"/>
          <w:caps w:val="false"/>
          <w:smallCaps w:val="false"/>
          <w:sz w:val="28"/>
        </w:rPr>
        <w:t>Vote Required</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three nominees who receive the greatest number of affirmative votes will be elected as Class I directors. Shares as to which a stockholder withholds voting authority and broker non-votes, if any, are not considered votes cast and therefore will have no effect on the vote outcome.</w:t>
      </w:r>
    </w:p>
    <w:p>
      <w:pPr>
        <w:pStyle w:val="TextBody"/>
        <w:rPr>
          <w:caps w:val="false"/>
          <w:smallCaps w:val="false"/>
        </w:rPr>
      </w:pPr>
      <w:r>
        <w:rPr>
          <w:caps w:val="false"/>
          <w:smallCaps w:val="false"/>
        </w:rPr>
        <w:t> </w:t>
      </w:r>
    </w:p>
    <w:p>
      <w:pPr>
        <w:pStyle w:val="Heading3"/>
        <w:rPr>
          <w:rFonts w:ascii="Arial;Helvetica;Sans-Serif" w:hAnsi="Arial;Helvetica;Sans-Serif"/>
          <w:b/>
          <w:i w:val="false"/>
          <w:caps w:val="false"/>
          <w:smallCaps w:val="false"/>
          <w:sz w:val="28"/>
        </w:rPr>
      </w:pPr>
      <w:bookmarkStart w:id="17" w:name="lrarea015"/>
      <w:bookmarkEnd w:id="17"/>
      <w:r>
        <w:rPr>
          <w:rFonts w:ascii="Arial;Helvetica;Sans-Serif" w:hAnsi="Arial;Helvetica;Sans-Serif"/>
          <w:b/>
          <w:i w:val="false"/>
          <w:caps w:val="false"/>
          <w:smallCaps w:val="false"/>
          <w:sz w:val="28"/>
        </w:rPr>
        <w:t>Director Resignation Policy</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have a Director Resignation Policy, which is set forth in our Corporate Governance Guidelines, a copy of which is available on our website at in the “Corporate Governance” subsection of the “Investors” tab. The policy establishes that any director nominee who receives more “withhold” votes than “for” votes in an uncontested election of directors is required to tender his or her resignation promptly following the certification of the election results. Abstentions and broker non-votes, if any, are not counted as either a “withhold” or “for” vote.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Nominating and Corporate Governance Committee will promptly consider the tendered resignation and make a recommendation to the Board. The Board will act on the recommendation of the Nominating and Corporate Governance Committee no later than 90 days following the certification of the election results. The Board will promptly publicly disclose its decision and, if applicable, the reasons for rejecting the tendered resignation.</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60"/>
        <w:gridCol w:w="9845"/>
      </w:tblGrid>
      <w:tr>
        <w:trPr/>
        <w:tc>
          <w:tcPr>
            <w:tcW w:w="360" w:type="dxa"/>
            <w:tcBorders/>
            <w:shd w:fill="EFF6EA" w:val="clear"/>
            <w:vAlign w:val="center"/>
          </w:tcPr>
          <w:p>
            <w:pPr>
              <w:pStyle w:val="TableContents"/>
              <w:spacing w:before="0" w:after="283"/>
              <w:rPr/>
            </w:pPr>
            <w:r>
              <w:rPr/>
              <w:t> </w:t>
            </w:r>
            <w:r>
              <w:rPr/>
              <w:drawing>
                <wp:inline distT="0" distB="0" distL="0" distR="0">
                  <wp:extent cx="180975" cy="1809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47"/>
                          <a:stretch>
                            <a:fillRect/>
                          </a:stretch>
                        </pic:blipFill>
                        <pic:spPr bwMode="auto">
                          <a:xfrm>
                            <a:off x="0" y="0"/>
                            <a:ext cx="180975" cy="180975"/>
                          </a:xfrm>
                          <a:prstGeom prst="rect">
                            <a:avLst/>
                          </a:prstGeom>
                        </pic:spPr>
                      </pic:pic>
                    </a:graphicData>
                  </a:graphic>
                </wp:inline>
              </w:drawing>
            </w:r>
          </w:p>
        </w:tc>
        <w:tc>
          <w:tcPr>
            <w:tcW w:w="9845" w:type="dxa"/>
            <w:tcBorders/>
            <w:shd w:fill="EFF6EA" w:val="clear"/>
            <w:vAlign w:val="center"/>
          </w:tcPr>
          <w:p>
            <w:pPr>
              <w:pStyle w:val="TableContents"/>
              <w:spacing w:before="0" w:after="283"/>
              <w:jc w:val="left"/>
              <w:rPr>
                <w:b/>
              </w:rPr>
            </w:pPr>
            <w:r>
              <w:rPr>
                <w:b/>
              </w:rPr>
              <w:t>THE BOARD OF DIRECTORS RECOMMENDS A VOTE “</w:t>
            </w:r>
            <w:r>
              <w:rPr>
                <w:b/>
                <w:color w:val="7CBC3E"/>
              </w:rPr>
              <w:t>FOR</w:t>
            </w:r>
            <w:r>
              <w:rPr>
                <w:b/>
              </w:rPr>
              <w:t>” EACH OF THE DIRECTOR NOMINEES IDENTIFIED ABOVE.</w:t>
            </w:r>
          </w:p>
        </w:tc>
      </w:tr>
    </w:tbl>
    <w:p>
      <w:pPr>
        <w:pStyle w:val="TextBody"/>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15</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rFonts w:ascii="Arial;Helvetica;Sans-Serif" w:hAnsi="Arial;Helvetica;Sans-Serif"/>
          <w:b/>
          <w:i w:val="false"/>
          <w:caps w:val="false"/>
          <w:smallCaps w:val="false"/>
          <w:color w:val="743F7B"/>
          <w:sz w:val="28"/>
        </w:rPr>
      </w:pPr>
      <w:bookmarkStart w:id="18" w:name="lrarea016"/>
      <w:bookmarkEnd w:id="18"/>
      <w:r>
        <w:rPr>
          <w:rFonts w:ascii="Arial;Helvetica;Sans-Serif" w:hAnsi="Arial;Helvetica;Sans-Serif"/>
          <w:b/>
          <w:i w:val="false"/>
          <w:caps w:val="false"/>
          <w:smallCaps w:val="false"/>
          <w:color w:val="743F7B"/>
          <w:sz w:val="28"/>
        </w:rPr>
        <w:t>PROPOSAL 2</w:t>
      </w:r>
    </w:p>
    <w:p>
      <w:pPr>
        <w:pStyle w:val="Heading2"/>
        <w:spacing w:before="0" w:after="0"/>
        <w:ind w:left="0" w:right="0" w:hanging="0"/>
        <w:rPr>
          <w:rFonts w:ascii="Arial;Helvetica;Sans-Serif" w:hAnsi="Arial;Helvetica;Sans-Serif"/>
          <w:b/>
          <w:i w:val="false"/>
          <w:caps w:val="false"/>
          <w:smallCaps w:val="false"/>
          <w:color w:val="7CBC3E"/>
          <w:sz w:val="40"/>
        </w:rPr>
      </w:pPr>
      <w:r>
        <w:rPr>
          <w:rFonts w:ascii="Arial;Helvetica;Sans-Serif" w:hAnsi="Arial;Helvetica;Sans-Serif"/>
          <w:b/>
          <w:i w:val="false"/>
          <w:caps w:val="false"/>
          <w:smallCaps w:val="false"/>
          <w:color w:val="7CBC3E"/>
          <w:sz w:val="40"/>
        </w:rPr>
        <w:t>Approval of the Ultragenyx Pharmaceutical Inc. 2023 Incentive Plan</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On April 20, 2023, the Board approved the Ultragenyx Pharmaceutical Inc. 2023 Incentive Plan (2023 Plan) to replace our 2014 Incentive Plan, as amended (2014 Plan), subject to stockholder approval at the Annual Meeting. We believe that our equity compensation policies enable us to attract and retain a highly-skilled team of executives and aligns our executives’ interests with those of our stockholders by rewarding short-term and long-term performance and tying compensation to increases in stockholder value. If the 2023 Plan is approved by our stockholders, it will become effective on June 7, 2023 (Effective Date), and no further awards will be granted under the 2014 Plan or the 2011 Incentive Plan (2011 Plan and together with the 2014 Plan, the Prior Plans) after the Effective Date. If the 2023 Plan is approved by our stockholders, we intend to file a Form S-8 with the SEC following the Annual Meeting that covers the shares reserved for issuance under the 2023 Plan.</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color w:val="211D1E"/>
          <w:sz w:val="28"/>
        </w:rPr>
      </w:pPr>
      <w:bookmarkStart w:id="19" w:name="lrarea017"/>
      <w:bookmarkEnd w:id="19"/>
      <w:r>
        <w:rPr>
          <w:rFonts w:ascii="Arial;Helvetica;Sans-Serif" w:hAnsi="Arial;Helvetica;Sans-Serif"/>
          <w:b/>
          <w:i w:val="false"/>
          <w:caps w:val="false"/>
          <w:smallCaps w:val="false"/>
          <w:color w:val="211D1E"/>
          <w:sz w:val="28"/>
        </w:rPr>
        <w:t>Share Reserve Under the 2023 Plan</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The maximum number of shares of our common stock authorized for issuance under the 2023 Plan is (i) 4,500,000 shares plus (ii) the number of shares subject to any award outstanding under the Prior Plans as of the Effective Date that after the Effective Date are not issued because such award is forfeited, canceled, terminates, expires or otherwise lapses without being exercised, or is settled in cash. Based on the recent range of our stock price, our current compensation practices, our anticipated future awards, as well as our three-year burn rate, we believe the 2023 Plan share reserve will be sufficient for us to grant equity awards for approximately one year based on our stock price and compensation philosophy and policies.</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As part of the Compensation Committee’s recommendation to the Board to approve the 2023, including the total number of shares available for issuance under the 2023 Plan, the Compensation Committee considered the 2024 expiration date of the 2014 Plan and advice from Aon, its independent compensation consultant. The Compensation Committee also carefully analyzed our historical burn rate, anticipated future equity award needs to help drive our long-term strategic plan, and the dilutive impact of the 2023 Plan’s share reserve.</w:t>
      </w:r>
    </w:p>
    <w:p>
      <w:pPr>
        <w:pStyle w:val="TextBody"/>
        <w:spacing w:before="0" w:after="0"/>
        <w:ind w:left="0" w:right="0" w:hanging="0"/>
        <w:jc w:val="both"/>
        <w:rPr>
          <w:caps w:val="false"/>
          <w:smallCaps w:val="false"/>
          <w:color w:val="211D1E"/>
        </w:rPr>
      </w:pPr>
      <w:r>
        <w:rPr>
          <w:caps w:val="false"/>
          <w:smallCaps w:val="false"/>
          <w:color w:val="211D1E"/>
        </w:rPr>
        <w:t> </w:t>
      </w:r>
    </w:p>
    <w:p>
      <w:pPr>
        <w:pStyle w:val="Heading3"/>
        <w:spacing w:before="0" w:after="0"/>
        <w:ind w:left="0" w:right="0" w:hanging="0"/>
        <w:jc w:val="both"/>
        <w:rPr>
          <w:rFonts w:ascii="Arial;Helvetica;Sans-Serif" w:hAnsi="Arial;Helvetica;Sans-Serif"/>
          <w:b/>
          <w:i w:val="false"/>
          <w:caps w:val="false"/>
          <w:smallCaps w:val="false"/>
          <w:color w:val="211D1E"/>
          <w:sz w:val="28"/>
        </w:rPr>
      </w:pPr>
      <w:bookmarkStart w:id="20" w:name="lrarea018"/>
      <w:bookmarkEnd w:id="20"/>
      <w:r>
        <w:rPr>
          <w:rFonts w:ascii="Arial;Helvetica;Sans-Serif" w:hAnsi="Arial;Helvetica;Sans-Serif"/>
          <w:b/>
          <w:i w:val="false"/>
          <w:caps w:val="false"/>
          <w:smallCaps w:val="false"/>
          <w:color w:val="211D1E"/>
          <w:sz w:val="28"/>
        </w:rPr>
        <w:t>Reasons for Seeking Stockholder Approval</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We believe the following are important considerations for stockholders in determining whether to approve the 2023 Plan:</w:t>
      </w:r>
    </w:p>
    <w:p>
      <w:pPr>
        <w:pStyle w:val="TextBody"/>
        <w:spacing w:before="0" w:after="0"/>
        <w:ind w:left="0" w:right="0" w:hanging="0"/>
        <w:jc w:val="both"/>
        <w:rPr>
          <w:caps w:val="false"/>
          <w:smallCaps w:val="false"/>
          <w:color w:val="211D1E"/>
        </w:rPr>
      </w:pPr>
      <w:r>
        <w:rPr>
          <w:caps w:val="false"/>
          <w:smallCaps w:val="false"/>
          <w:color w:val="211D1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ABD3E"/>
              </w:rPr>
            </w:pPr>
            <w:r>
              <w:rPr>
                <w:color w:val="7ABD3E"/>
              </w:rPr>
              <w:t>•</w:t>
            </w:r>
          </w:p>
        </w:tc>
        <w:tc>
          <w:tcPr>
            <w:tcW w:w="10058" w:type="dxa"/>
            <w:tcBorders/>
            <w:shd w:fill="auto" w:val="clear"/>
            <w:vAlign w:val="center"/>
          </w:tcPr>
          <w:p>
            <w:pPr>
              <w:pStyle w:val="TableContents"/>
              <w:spacing w:before="0" w:after="283"/>
              <w:jc w:val="both"/>
              <w:rPr>
                <w:color w:val="211D1E"/>
              </w:rPr>
            </w:pPr>
            <w:r>
              <w:rPr>
                <w:b/>
                <w:color w:val="211D1E"/>
              </w:rPr>
              <w:t xml:space="preserve">Equity Awards are Essential to Talent Acquisition and Retention: </w:t>
            </w:r>
            <w:r>
              <w:rPr>
                <w:color w:val="211D1E"/>
              </w:rPr>
              <w:t xml:space="preserve">Equity awards, similar to those typically offered by our competitors are, and we believe will continue to be, an integral component of our overall compensation program, enabling us to attract qualified and skilled employees and directors, retain our existing employees, including our experienced management team, and provide incentives for our employees to exert maximum efforts for our success, ultimately contributing to the creation of shareholder value. If the 2023 Plan is not approved by our stockholders at the Annual Meeting, we will not have adequate shares to continue to grant equity awards to all our employees and directors in 2024.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ABD3E"/>
              </w:rPr>
            </w:pPr>
            <w:r>
              <w:rPr>
                <w:color w:val="7ABD3E"/>
              </w:rPr>
              <w:t>•</w:t>
            </w:r>
          </w:p>
        </w:tc>
        <w:tc>
          <w:tcPr>
            <w:tcW w:w="10058" w:type="dxa"/>
            <w:tcBorders/>
            <w:shd w:fill="auto" w:val="clear"/>
            <w:vAlign w:val="center"/>
          </w:tcPr>
          <w:p>
            <w:pPr>
              <w:pStyle w:val="TableContents"/>
              <w:spacing w:before="0" w:after="283"/>
              <w:jc w:val="both"/>
              <w:rPr>
                <w:color w:val="211D1E"/>
              </w:rPr>
            </w:pPr>
            <w:r>
              <w:rPr>
                <w:b/>
                <w:color w:val="211D1E"/>
              </w:rPr>
              <w:t xml:space="preserve">We are committed to executing on our strategic priorities: </w:t>
            </w:r>
            <w:r>
              <w:rPr>
                <w:color w:val="211D1E"/>
              </w:rPr>
              <w:t xml:space="preserve">The use of equity awards assists us and will continue to assist us in ensuring that our executives and employees are focused on long term value creation for our stockholders and in enabling us to attract and retain the talent needed to execute on our strategic priorities while managing our cash flow. We believe that the approval of the 2023 Plan as described in this proposal is instrumental to our ongoing success and our ability to provide increased value to our stockholders.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ABD3E"/>
              </w:rPr>
            </w:pPr>
            <w:r>
              <w:rPr>
                <w:color w:val="7ABD3E"/>
              </w:rPr>
              <w:t>•</w:t>
            </w:r>
          </w:p>
        </w:tc>
        <w:tc>
          <w:tcPr>
            <w:tcW w:w="10058" w:type="dxa"/>
            <w:tcBorders/>
            <w:shd w:fill="auto" w:val="clear"/>
            <w:vAlign w:val="center"/>
          </w:tcPr>
          <w:p>
            <w:pPr>
              <w:pStyle w:val="TableContents"/>
              <w:spacing w:before="0" w:after="283"/>
              <w:jc w:val="both"/>
              <w:rPr>
                <w:color w:val="211D1E"/>
              </w:rPr>
            </w:pPr>
            <w:r>
              <w:rPr>
                <w:b/>
                <w:color w:val="211D1E"/>
              </w:rPr>
              <w:t xml:space="preserve">We are Managing our Annual Burn Rate: </w:t>
            </w:r>
            <w:r>
              <w:rPr>
                <w:color w:val="211D1E"/>
              </w:rPr>
              <w:t xml:space="preserve">We carefully and thoughtfully manage our equity award use, balancing attraction, retention and incentivization of our employees against dilution and burn rate considerations.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ABD3E"/>
              </w:rPr>
            </w:pPr>
            <w:r>
              <w:rPr>
                <w:color w:val="7ABD3E"/>
              </w:rPr>
              <w:t>•</w:t>
            </w:r>
          </w:p>
        </w:tc>
        <w:tc>
          <w:tcPr>
            <w:tcW w:w="10058" w:type="dxa"/>
            <w:tcBorders/>
            <w:shd w:fill="auto" w:val="clear"/>
            <w:vAlign w:val="center"/>
          </w:tcPr>
          <w:p>
            <w:pPr>
              <w:pStyle w:val="TableContents"/>
              <w:spacing w:before="0" w:after="283"/>
              <w:jc w:val="both"/>
              <w:rPr>
                <w:color w:val="211D1E"/>
              </w:rPr>
            </w:pPr>
            <w:r>
              <w:rPr>
                <w:b/>
                <w:color w:val="211D1E"/>
              </w:rPr>
              <w:t xml:space="preserve">Our Equity Program is Performance-Based: </w:t>
            </w:r>
            <w:r>
              <w:rPr>
                <w:color w:val="211D1E"/>
              </w:rPr>
              <w:t xml:space="preserve">The Compensation Committee believes that performance stock units (PSUs) aligns the objectives of management with those of our stockholders with respect to long-term performance and success of the Company. For 2021 and 2022, the equity grants to our executive officers reflected a 33%/33%/33% value split among option, RSUs and PSUs. For 2023, the equity grants to our executive officers, other than our Chief Executive Officer, continued to reflect a 33%/33%/33% value split among options, RSUs and PSUs. For 2023, to further align our Chief Executive Officer’s compensation with stockholder interests and to increase the portion of compensation tied to Company performance measures, the Compensation Committee changed the equity award value split for our Chief Executive Officer from 33%/33%/33% value split among options, RSUs and PSUs to 20% options, 20% RSUs and 60% PSUs. </w:t>
            </w:r>
          </w:p>
        </w:tc>
      </w:tr>
    </w:tbl>
    <w:p>
      <w:pPr>
        <w:pStyle w:val="TextBody"/>
        <w:spacing w:before="0" w:after="0"/>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16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ind w:left="0" w:right="0" w:hanging="0"/>
        <w:jc w:val="both"/>
        <w:rPr>
          <w:rFonts w:ascii="Arial;Helvetica;Sans-Serif" w:hAnsi="Arial;Helvetica;Sans-Serif"/>
          <w:b/>
          <w:i w:val="false"/>
          <w:caps w:val="false"/>
          <w:smallCaps w:val="false"/>
          <w:sz w:val="28"/>
        </w:rPr>
      </w:pPr>
      <w:bookmarkStart w:id="21" w:name="lrarea019"/>
      <w:bookmarkEnd w:id="21"/>
      <w:r>
        <w:rPr>
          <w:rFonts w:ascii="Arial;Helvetica;Sans-Serif" w:hAnsi="Arial;Helvetica;Sans-Serif"/>
          <w:b/>
          <w:i w:val="false"/>
          <w:caps w:val="false"/>
          <w:smallCaps w:val="false"/>
          <w:sz w:val="28"/>
        </w:rPr>
        <w:t>Key Features and Governance Best Practices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We have incorporated a number of provisions in the 2023 Plan to protect stockholders and reflect corporate governance best practices, including the following:</w:t>
      </w:r>
    </w:p>
    <w:p>
      <w:pPr>
        <w:pStyle w:val="TextBody"/>
        <w:spacing w:before="0" w:after="0"/>
        <w:ind w:left="0" w:right="0" w:hanging="0"/>
        <w:jc w:val="both"/>
        <w:rPr>
          <w:caps w:val="false"/>
          <w:smallCaps w:val="false"/>
          <w:color w:val="211D1E"/>
        </w:rPr>
      </w:pPr>
      <w:r>
        <w:rPr>
          <w:caps w:val="false"/>
          <w:smallCaps w:val="false"/>
          <w:color w:val="211D1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ABD3E"/>
              </w:rPr>
            </w:pPr>
            <w:r>
              <w:rPr>
                <w:color w:val="7ABD3E"/>
              </w:rPr>
              <w:t>•</w:t>
            </w:r>
          </w:p>
        </w:tc>
        <w:tc>
          <w:tcPr>
            <w:tcW w:w="10058" w:type="dxa"/>
            <w:tcBorders/>
            <w:shd w:fill="auto" w:val="clear"/>
            <w:vAlign w:val="center"/>
          </w:tcPr>
          <w:p>
            <w:pPr>
              <w:pStyle w:val="TableContents"/>
              <w:spacing w:before="0" w:after="283"/>
              <w:jc w:val="both"/>
              <w:rPr>
                <w:color w:val="211D1E"/>
              </w:rPr>
            </w:pPr>
            <w:r>
              <w:rPr>
                <w:b/>
                <w:color w:val="211D1E"/>
              </w:rPr>
              <w:t xml:space="preserve">No Evergreen: </w:t>
            </w:r>
            <w:r>
              <w:rPr>
                <w:color w:val="211D1E"/>
              </w:rPr>
              <w:t xml:space="preserve">The Compensation Committee explicitly removed the automatic share reload or “evergreen” provision from the 2023 Plan.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ABD3E"/>
              </w:rPr>
            </w:pPr>
            <w:r>
              <w:rPr>
                <w:color w:val="7ABD3E"/>
              </w:rPr>
              <w:t>•</w:t>
            </w:r>
          </w:p>
        </w:tc>
        <w:tc>
          <w:tcPr>
            <w:tcW w:w="10058" w:type="dxa"/>
            <w:tcBorders/>
            <w:shd w:fill="auto" w:val="clear"/>
            <w:vAlign w:val="center"/>
          </w:tcPr>
          <w:p>
            <w:pPr>
              <w:pStyle w:val="TableContents"/>
              <w:spacing w:before="0" w:after="283"/>
              <w:jc w:val="both"/>
              <w:rPr>
                <w:color w:val="211D1E"/>
              </w:rPr>
            </w:pPr>
            <w:r>
              <w:rPr>
                <w:b/>
                <w:color w:val="211D1E"/>
              </w:rPr>
              <w:t xml:space="preserve">No Repricing and No Reload Options: </w:t>
            </w:r>
            <w:r>
              <w:rPr>
                <w:color w:val="211D1E"/>
              </w:rPr>
              <w:t xml:space="preserve">The 2023 Plan prohibits the repricing of stock options and SARs (defined below) without stockholder approval, the exchange or substitution of one award for another award that has the effect of reducing the exercise or purchase price, and the cancellation or exchange of underwater awards for cash, another award or other property, except in the event of a change in our capitalization or a covered transaction (described below). Reload options are not permitted under the 2023 Plan.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ABD3E"/>
              </w:rPr>
            </w:pPr>
            <w:r>
              <w:rPr>
                <w:color w:val="7ABD3E"/>
              </w:rPr>
              <w:t>•</w:t>
            </w:r>
          </w:p>
        </w:tc>
        <w:tc>
          <w:tcPr>
            <w:tcW w:w="10058" w:type="dxa"/>
            <w:tcBorders/>
            <w:shd w:fill="auto" w:val="clear"/>
            <w:vAlign w:val="center"/>
          </w:tcPr>
          <w:p>
            <w:pPr>
              <w:pStyle w:val="TableContents"/>
              <w:spacing w:before="0" w:after="283"/>
              <w:jc w:val="both"/>
              <w:rPr>
                <w:color w:val="211D1E"/>
              </w:rPr>
            </w:pPr>
            <w:r>
              <w:rPr>
                <w:b/>
                <w:color w:val="211D1E"/>
              </w:rPr>
              <w:t xml:space="preserve">No Dividends on Unvested Awards: </w:t>
            </w:r>
            <w:r>
              <w:rPr>
                <w:color w:val="211D1E"/>
              </w:rPr>
              <w:t xml:space="preserve">The 2023 Plan provides that dividends and dividend equivalent rights may never be paid on any unvested award.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0"/>
        <w:gridCol w:w="146"/>
        <w:gridCol w:w="10009"/>
      </w:tblGrid>
      <w:tr>
        <w:trPr/>
        <w:tc>
          <w:tcPr>
            <w:tcW w:w="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color w:val="7ABD3E"/>
              </w:rPr>
            </w:pPr>
            <w:r>
              <w:rPr>
                <w:color w:val="7ABD3E"/>
              </w:rPr>
              <w:t>•</w:t>
            </w:r>
          </w:p>
        </w:tc>
        <w:tc>
          <w:tcPr>
            <w:tcW w:w="10009" w:type="dxa"/>
            <w:tcBorders/>
            <w:shd w:fill="auto" w:val="clear"/>
            <w:vAlign w:val="center"/>
          </w:tcPr>
          <w:p>
            <w:pPr>
              <w:pStyle w:val="TableContents"/>
              <w:spacing w:before="0" w:after="283"/>
              <w:jc w:val="both"/>
              <w:rPr>
                <w:color w:val="211D1E"/>
              </w:rPr>
            </w:pPr>
            <w:r>
              <w:rPr>
                <w:b/>
                <w:color w:val="211D1E"/>
              </w:rPr>
              <w:t xml:space="preserve">No Liberal Share Recycling: </w:t>
            </w:r>
            <w:r>
              <w:rPr>
                <w:color w:val="211D1E"/>
              </w:rPr>
              <w:t xml:space="preserve">The 2023 Plan prohibits liberal share recycling.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ABD3E"/>
              </w:rPr>
            </w:pPr>
            <w:r>
              <w:rPr>
                <w:color w:val="7ABD3E"/>
              </w:rPr>
              <w:t>•</w:t>
            </w:r>
          </w:p>
        </w:tc>
        <w:tc>
          <w:tcPr>
            <w:tcW w:w="10058" w:type="dxa"/>
            <w:tcBorders/>
            <w:shd w:fill="auto" w:val="clear"/>
            <w:vAlign w:val="center"/>
          </w:tcPr>
          <w:p>
            <w:pPr>
              <w:pStyle w:val="TableContents"/>
              <w:spacing w:before="0" w:after="283"/>
              <w:jc w:val="both"/>
              <w:rPr>
                <w:color w:val="211D1E"/>
              </w:rPr>
            </w:pPr>
            <w:r>
              <w:rPr>
                <w:b/>
                <w:color w:val="211D1E"/>
              </w:rPr>
              <w:t xml:space="preserve">Limit on Non-Employee Director Compensation: </w:t>
            </w:r>
            <w:r>
              <w:rPr>
                <w:color w:val="211D1E"/>
              </w:rPr>
              <w:t xml:space="preserve">The 2023 Plan contains an annual limit on cash and equity-based compensation that may be paid or granted, whether under the 2023 Plan or otherwise, to our non-employee directors of $900,000 (or $1,500,000 in the calendar year that the non-employee director first joins the Board or if the non-employee director is serving as chairman or lead director of the Board).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ABD3E"/>
              </w:rPr>
            </w:pPr>
            <w:r>
              <w:rPr>
                <w:color w:val="7ABD3E"/>
              </w:rPr>
              <w:t>•</w:t>
            </w:r>
          </w:p>
        </w:tc>
        <w:tc>
          <w:tcPr>
            <w:tcW w:w="10058" w:type="dxa"/>
            <w:tcBorders/>
            <w:shd w:fill="auto" w:val="clear"/>
            <w:vAlign w:val="center"/>
          </w:tcPr>
          <w:p>
            <w:pPr>
              <w:pStyle w:val="TableContents"/>
              <w:spacing w:before="0" w:after="283"/>
              <w:jc w:val="both"/>
              <w:rPr>
                <w:color w:val="211D1E"/>
              </w:rPr>
            </w:pPr>
            <w:r>
              <w:rPr>
                <w:b/>
                <w:color w:val="211D1E"/>
              </w:rPr>
              <w:t xml:space="preserve">Clawback Provision: </w:t>
            </w:r>
            <w:r>
              <w:rPr>
                <w:color w:val="211D1E"/>
              </w:rPr>
              <w:t xml:space="preserve">Awards under the 2023 Plan are subject to our current clawback policy and to any future clawback policies that we may adopt. Our current clawback policy permits us to recover any incentive based compensation (including performance based cash and equity compensation tied to performance objectives) that we pay to our current or former executive officers during the one-year period preceding the date on which we are required to prepare an accounting restatement if the Board determines that an act or omission of such executive officers contributed to the circumstances requiring the restatement and such act or omission involved fraud or intentional misconduct by the officer.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ABD3E"/>
              </w:rPr>
            </w:pPr>
            <w:r>
              <w:rPr>
                <w:color w:val="7ABD3E"/>
              </w:rPr>
              <w:t>•</w:t>
            </w:r>
          </w:p>
        </w:tc>
        <w:tc>
          <w:tcPr>
            <w:tcW w:w="10058" w:type="dxa"/>
            <w:tcBorders/>
            <w:shd w:fill="auto" w:val="clear"/>
            <w:vAlign w:val="center"/>
          </w:tcPr>
          <w:p>
            <w:pPr>
              <w:pStyle w:val="TableContents"/>
              <w:spacing w:before="0" w:after="283"/>
              <w:jc w:val="both"/>
              <w:rPr>
                <w:color w:val="211D1E"/>
              </w:rPr>
            </w:pPr>
            <w:r>
              <w:rPr>
                <w:b/>
                <w:color w:val="211D1E"/>
              </w:rPr>
              <w:t xml:space="preserve">No Automatic Single Trigger Acceleration: </w:t>
            </w:r>
            <w:r>
              <w:rPr>
                <w:color w:val="211D1E"/>
              </w:rPr>
              <w:t xml:space="preserve">In the event of a covered transaction, the 2023 Plan does not provide for automatic single trigger acceleration.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ABD3E"/>
              </w:rPr>
            </w:pPr>
            <w:r>
              <w:rPr>
                <w:color w:val="7ABD3E"/>
              </w:rPr>
              <w:t>•</w:t>
            </w:r>
          </w:p>
        </w:tc>
        <w:tc>
          <w:tcPr>
            <w:tcW w:w="10058" w:type="dxa"/>
            <w:tcBorders/>
            <w:shd w:fill="auto" w:val="clear"/>
            <w:vAlign w:val="center"/>
          </w:tcPr>
          <w:p>
            <w:pPr>
              <w:pStyle w:val="TableContents"/>
              <w:spacing w:before="0" w:after="283"/>
              <w:jc w:val="both"/>
              <w:rPr>
                <w:color w:val="211D1E"/>
              </w:rPr>
            </w:pPr>
            <w:r>
              <w:rPr>
                <w:b/>
                <w:color w:val="211D1E"/>
              </w:rPr>
              <w:t xml:space="preserve">Term and Exercise Price Limits on Options and SARs: </w:t>
            </w:r>
            <w:r>
              <w:rPr>
                <w:color w:val="211D1E"/>
              </w:rPr>
              <w:t xml:space="preserve">Options and SARs granted under the 2023 Plan are subject to a maximum term of 10 years and may not be granted at a discount to the fair market value of our common stock on the grant date. </w:t>
            </w:r>
          </w:p>
        </w:tc>
      </w:tr>
    </w:tbl>
    <w:p>
      <w:pPr>
        <w:pStyle w:val="TextBody"/>
        <w:spacing w:before="0" w:after="0"/>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color w:val="211D1E"/>
          <w:sz w:val="28"/>
        </w:rPr>
      </w:pPr>
      <w:bookmarkStart w:id="22" w:name="lrarea020"/>
      <w:bookmarkEnd w:id="22"/>
      <w:r>
        <w:rPr>
          <w:rFonts w:ascii="Arial;Helvetica;Sans-Serif" w:hAnsi="Arial;Helvetica;Sans-Serif"/>
          <w:b/>
          <w:i w:val="false"/>
          <w:caps w:val="false"/>
          <w:smallCaps w:val="false"/>
          <w:color w:val="211D1E"/>
          <w:sz w:val="28"/>
        </w:rPr>
        <w:t>Shares Remaining Under the Prior Plans</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As of April 3, 2023, a total of 70,661,491 shares of our common stock were outstanding and the fair market value of our common stock was $40.48 based on the closing sale price of our common stock on the Nasdaq Global Select Market. The following table sets forth information regarding outstanding equity awards and shares available for future equity awards under the Prior Plans, our Employment Inducement Plan (the “Inducement Plan), the Dimension Therapeutics, Inc. 2015 Stock Option and Incentive Plan (the “DT 2015 Plan) and the Dimension Therapeutics, Inc. 2013 Stock Plan (the “DT 2013 Plan”) as of April 3, 2023 (without giving effect to approval of the 2023 Plan). In addition, 5,405,257 shares of our common stock remained available for issuance under the ESPP (without giving effect to approval of the A&amp;R ESPP), as described in more detail under Proposal No. 3.</w:t>
      </w:r>
    </w:p>
    <w:p>
      <w:pPr>
        <w:pStyle w:val="TextBody"/>
        <w:spacing w:before="0" w:after="0"/>
        <w:ind w:left="0" w:right="0" w:hanging="0"/>
        <w:jc w:val="both"/>
        <w:rPr>
          <w:caps w:val="false"/>
          <w:smallCaps w:val="false"/>
          <w:color w:val="211D1E"/>
        </w:rPr>
      </w:pPr>
      <w:r>
        <w:rPr>
          <w:caps w:val="false"/>
          <w:smallCaps w:val="false"/>
          <w:color w:val="211D1E"/>
        </w:rPr>
        <w:t> </w:t>
      </w:r>
    </w:p>
    <w:tbl>
      <w:tblPr>
        <w:tblW w:w="10205" w:type="dxa"/>
        <w:jc w:val="left"/>
        <w:tblInd w:w="0" w:type="dxa"/>
        <w:tblCellMar>
          <w:top w:w="0" w:type="dxa"/>
          <w:left w:w="0" w:type="dxa"/>
          <w:bottom w:w="28" w:type="dxa"/>
          <w:right w:w="0" w:type="dxa"/>
        </w:tblCellMar>
      </w:tblPr>
      <w:tblGrid>
        <w:gridCol w:w="3560"/>
        <w:gridCol w:w="60"/>
        <w:gridCol w:w="1100"/>
        <w:gridCol w:w="60"/>
        <w:gridCol w:w="1025"/>
        <w:gridCol w:w="60"/>
        <w:gridCol w:w="905"/>
        <w:gridCol w:w="60"/>
        <w:gridCol w:w="905"/>
        <w:gridCol w:w="60"/>
        <w:gridCol w:w="1235"/>
        <w:gridCol w:w="60"/>
        <w:gridCol w:w="1115"/>
      </w:tblGrid>
      <w:tr>
        <w:trPr/>
        <w:tc>
          <w:tcPr>
            <w:tcW w:w="3560" w:type="dxa"/>
            <w:tcBorders>
              <w:bottom w:val="single" w:sz="12" w:space="0" w:color="7BBC3E"/>
            </w:tcBorders>
            <w:shd w:fill="FFFFFF" w:val="clear"/>
            <w:vAlign w:val="center"/>
          </w:tcPr>
          <w:p>
            <w:pPr>
              <w:pStyle w:val="TableContents"/>
              <w:spacing w:before="0" w:after="283"/>
              <w:jc w:val="center"/>
              <w:rPr/>
            </w:pPr>
            <w:r>
              <w:rPr/>
              <w:t> </w:t>
            </w:r>
          </w:p>
        </w:tc>
        <w:tc>
          <w:tcPr>
            <w:tcW w:w="60" w:type="dxa"/>
            <w:tcBorders>
              <w:bottom w:val="single" w:sz="12" w:space="0" w:color="7BBC3E"/>
            </w:tcBorders>
            <w:shd w:fill="FFFFFF" w:val="clear"/>
            <w:vAlign w:val="center"/>
          </w:tcPr>
          <w:p>
            <w:pPr>
              <w:pStyle w:val="TableContents"/>
              <w:spacing w:before="0" w:after="283"/>
              <w:jc w:val="center"/>
              <w:rPr/>
            </w:pPr>
            <w:r>
              <w:rPr/>
              <w:t> </w:t>
            </w:r>
          </w:p>
        </w:tc>
        <w:tc>
          <w:tcPr>
            <w:tcW w:w="1100" w:type="dxa"/>
            <w:tcBorders>
              <w:bottom w:val="single" w:sz="12" w:space="0" w:color="7BBC3E"/>
            </w:tcBorders>
            <w:shd w:fill="FFFFFF" w:val="clear"/>
            <w:vAlign w:val="center"/>
          </w:tcPr>
          <w:p>
            <w:pPr>
              <w:pStyle w:val="TableContents"/>
              <w:spacing w:before="0" w:after="283"/>
              <w:jc w:val="center"/>
              <w:rPr>
                <w:b/>
              </w:rPr>
            </w:pPr>
            <w:r>
              <w:rPr>
                <w:b/>
              </w:rPr>
              <w:t>2014 Plan</w:t>
            </w:r>
          </w:p>
        </w:tc>
        <w:tc>
          <w:tcPr>
            <w:tcW w:w="60" w:type="dxa"/>
            <w:tcBorders>
              <w:bottom w:val="single" w:sz="12" w:space="0" w:color="7BBC3E"/>
            </w:tcBorders>
            <w:shd w:fill="FFFFFF" w:val="clear"/>
            <w:vAlign w:val="center"/>
          </w:tcPr>
          <w:p>
            <w:pPr>
              <w:pStyle w:val="TableContents"/>
              <w:spacing w:before="0" w:after="283"/>
              <w:jc w:val="center"/>
              <w:rPr/>
            </w:pPr>
            <w:r>
              <w:rPr/>
              <w:t> </w:t>
            </w:r>
          </w:p>
        </w:tc>
        <w:tc>
          <w:tcPr>
            <w:tcW w:w="1025" w:type="dxa"/>
            <w:tcBorders>
              <w:bottom w:val="single" w:sz="12" w:space="0" w:color="7BBC3E"/>
            </w:tcBorders>
            <w:shd w:fill="FFFFFF" w:val="clear"/>
            <w:vAlign w:val="center"/>
          </w:tcPr>
          <w:p>
            <w:pPr>
              <w:pStyle w:val="TableContents"/>
              <w:spacing w:before="0" w:after="283"/>
              <w:jc w:val="center"/>
              <w:rPr>
                <w:b/>
              </w:rPr>
            </w:pPr>
            <w:r>
              <w:rPr>
                <w:b/>
              </w:rPr>
              <w:t>2011 Plan</w:t>
            </w:r>
          </w:p>
        </w:tc>
        <w:tc>
          <w:tcPr>
            <w:tcW w:w="60" w:type="dxa"/>
            <w:tcBorders>
              <w:bottom w:val="single" w:sz="12" w:space="0" w:color="7BBC3E"/>
            </w:tcBorders>
            <w:shd w:fill="FFFFFF" w:val="clear"/>
            <w:vAlign w:val="center"/>
          </w:tcPr>
          <w:p>
            <w:pPr>
              <w:pStyle w:val="TableContents"/>
              <w:spacing w:before="0" w:after="283"/>
              <w:jc w:val="center"/>
              <w:rPr/>
            </w:pPr>
            <w:r>
              <w:rPr/>
              <w:t> </w:t>
            </w:r>
          </w:p>
        </w:tc>
        <w:tc>
          <w:tcPr>
            <w:tcW w:w="905" w:type="dxa"/>
            <w:tcBorders>
              <w:bottom w:val="single" w:sz="12" w:space="0" w:color="7BBC3E"/>
            </w:tcBorders>
            <w:shd w:fill="FFFFFF" w:val="clear"/>
            <w:vAlign w:val="center"/>
          </w:tcPr>
          <w:p>
            <w:pPr>
              <w:pStyle w:val="TableContents"/>
              <w:spacing w:before="0" w:after="283"/>
              <w:jc w:val="center"/>
              <w:rPr>
                <w:b/>
              </w:rPr>
            </w:pPr>
            <w:r>
              <w:rPr>
                <w:b/>
              </w:rPr>
              <w:t>DT 2015</w:t>
              <w:br/>
              <w:t>Plan</w:t>
            </w:r>
          </w:p>
        </w:tc>
        <w:tc>
          <w:tcPr>
            <w:tcW w:w="60" w:type="dxa"/>
            <w:tcBorders>
              <w:bottom w:val="single" w:sz="12" w:space="0" w:color="7BBC3E"/>
            </w:tcBorders>
            <w:shd w:fill="FFFFFF" w:val="clear"/>
            <w:vAlign w:val="center"/>
          </w:tcPr>
          <w:p>
            <w:pPr>
              <w:pStyle w:val="TableContents"/>
              <w:spacing w:before="0" w:after="283"/>
              <w:jc w:val="center"/>
              <w:rPr/>
            </w:pPr>
            <w:r>
              <w:rPr/>
              <w:t> </w:t>
            </w:r>
          </w:p>
        </w:tc>
        <w:tc>
          <w:tcPr>
            <w:tcW w:w="905" w:type="dxa"/>
            <w:tcBorders>
              <w:bottom w:val="single" w:sz="12" w:space="0" w:color="7BBC3E"/>
            </w:tcBorders>
            <w:shd w:fill="FFFFFF" w:val="clear"/>
            <w:vAlign w:val="center"/>
          </w:tcPr>
          <w:p>
            <w:pPr>
              <w:pStyle w:val="TableContents"/>
              <w:spacing w:before="0" w:after="283"/>
              <w:jc w:val="center"/>
              <w:rPr>
                <w:b/>
              </w:rPr>
            </w:pPr>
            <w:r>
              <w:rPr>
                <w:b/>
              </w:rPr>
              <w:t>DT 2013</w:t>
              <w:br/>
              <w:t>Plan</w:t>
            </w:r>
          </w:p>
        </w:tc>
        <w:tc>
          <w:tcPr>
            <w:tcW w:w="60" w:type="dxa"/>
            <w:tcBorders>
              <w:bottom w:val="single" w:sz="12" w:space="0" w:color="7BBC3E"/>
            </w:tcBorders>
            <w:shd w:fill="FFFFFF" w:val="clear"/>
            <w:vAlign w:val="center"/>
          </w:tcPr>
          <w:p>
            <w:pPr>
              <w:pStyle w:val="TableContents"/>
              <w:spacing w:before="0" w:after="283"/>
              <w:jc w:val="center"/>
              <w:rPr/>
            </w:pPr>
            <w:r>
              <w:rPr/>
              <w:t> </w:t>
            </w:r>
          </w:p>
        </w:tc>
        <w:tc>
          <w:tcPr>
            <w:tcW w:w="1235" w:type="dxa"/>
            <w:tcBorders>
              <w:bottom w:val="single" w:sz="12" w:space="0" w:color="7BBC3E"/>
            </w:tcBorders>
            <w:shd w:fill="FFFFFF" w:val="clear"/>
            <w:vAlign w:val="center"/>
          </w:tcPr>
          <w:p>
            <w:pPr>
              <w:pStyle w:val="TableContents"/>
              <w:spacing w:before="0" w:after="283"/>
              <w:jc w:val="center"/>
              <w:rPr>
                <w:b/>
              </w:rPr>
            </w:pPr>
            <w:r>
              <w:rPr>
                <w:b/>
              </w:rPr>
              <w:t>Inducement</w:t>
              <w:br/>
              <w:t>Plan</w:t>
            </w:r>
          </w:p>
        </w:tc>
        <w:tc>
          <w:tcPr>
            <w:tcW w:w="60" w:type="dxa"/>
            <w:tcBorders>
              <w:bottom w:val="single" w:sz="12" w:space="0" w:color="7BBC3E"/>
            </w:tcBorders>
            <w:shd w:fill="FFFFFF" w:val="clear"/>
            <w:vAlign w:val="center"/>
          </w:tcPr>
          <w:p>
            <w:pPr>
              <w:pStyle w:val="TableContents"/>
              <w:spacing w:before="0" w:after="283"/>
              <w:jc w:val="center"/>
              <w:rPr/>
            </w:pPr>
            <w:r>
              <w:rPr/>
              <w:t> </w:t>
            </w:r>
          </w:p>
        </w:tc>
        <w:tc>
          <w:tcPr>
            <w:tcW w:w="1115" w:type="dxa"/>
            <w:tcBorders>
              <w:bottom w:val="single" w:sz="12" w:space="0" w:color="7BBC3E"/>
            </w:tcBorders>
            <w:shd w:fill="FFFFFF" w:val="clear"/>
            <w:vAlign w:val="center"/>
          </w:tcPr>
          <w:p>
            <w:pPr>
              <w:pStyle w:val="TableContents"/>
              <w:spacing w:before="0" w:after="283"/>
              <w:jc w:val="center"/>
              <w:rPr>
                <w:b/>
              </w:rPr>
            </w:pPr>
            <w:r>
              <w:rPr>
                <w:b/>
              </w:rPr>
              <w:t>Aggregate</w:t>
              <w:br/>
              <w:t>Under All</w:t>
              <w:br/>
              <w:t>Plans</w:t>
            </w:r>
          </w:p>
        </w:tc>
      </w:tr>
      <w:tr>
        <w:trPr/>
        <w:tc>
          <w:tcPr>
            <w:tcW w:w="3560" w:type="dxa"/>
            <w:tcBorders/>
            <w:shd w:fill="FFFFFF" w:val="clear"/>
            <w:tcMar>
              <w:bottom w:w="0" w:type="dxa"/>
            </w:tcMar>
            <w:vAlign w:val="center"/>
          </w:tcPr>
          <w:p>
            <w:pPr>
              <w:pStyle w:val="TableContents"/>
              <w:spacing w:before="0" w:after="283"/>
              <w:jc w:val="left"/>
              <w:rPr/>
            </w:pPr>
            <w:r>
              <w:rPr/>
              <w:t>Total shares underlying outstanding stock options</w:t>
            </w:r>
          </w:p>
        </w:tc>
        <w:tc>
          <w:tcPr>
            <w:tcW w:w="60" w:type="dxa"/>
            <w:tcBorders/>
            <w:shd w:fill="FFFFFF" w:val="clear"/>
            <w:tcMar>
              <w:bottom w:w="0" w:type="dxa"/>
            </w:tcMar>
            <w:vAlign w:val="center"/>
          </w:tcPr>
          <w:p>
            <w:pPr>
              <w:pStyle w:val="TableContents"/>
              <w:spacing w:before="0" w:after="283"/>
              <w:rPr/>
            </w:pPr>
            <w:r>
              <w:rPr/>
              <w:t> </w:t>
            </w:r>
          </w:p>
        </w:tc>
        <w:tc>
          <w:tcPr>
            <w:tcW w:w="1100" w:type="dxa"/>
            <w:tcBorders/>
            <w:shd w:fill="FFFFFF" w:val="clear"/>
            <w:tcMar>
              <w:bottom w:w="0" w:type="dxa"/>
            </w:tcMar>
            <w:vAlign w:val="center"/>
          </w:tcPr>
          <w:p>
            <w:pPr>
              <w:pStyle w:val="TableContents"/>
              <w:spacing w:before="0" w:after="283"/>
              <w:jc w:val="center"/>
              <w:rPr/>
            </w:pPr>
            <w:r>
              <w:rPr/>
              <w:t>10,670,817</w:t>
            </w:r>
          </w:p>
        </w:tc>
        <w:tc>
          <w:tcPr>
            <w:tcW w:w="60" w:type="dxa"/>
            <w:tcBorders/>
            <w:shd w:fill="FFFFFF" w:val="clear"/>
            <w:tcMar>
              <w:bottom w:w="0" w:type="dxa"/>
            </w:tcMar>
            <w:vAlign w:val="center"/>
          </w:tcPr>
          <w:p>
            <w:pPr>
              <w:pStyle w:val="TableContents"/>
              <w:spacing w:before="0" w:after="283"/>
              <w:rPr/>
            </w:pPr>
            <w:r>
              <w:rPr/>
              <w:t> </w:t>
            </w:r>
          </w:p>
        </w:tc>
        <w:tc>
          <w:tcPr>
            <w:tcW w:w="1025" w:type="dxa"/>
            <w:tcBorders/>
            <w:shd w:fill="FFFFFF" w:val="clear"/>
            <w:tcMar>
              <w:bottom w:w="0" w:type="dxa"/>
            </w:tcMar>
            <w:vAlign w:val="center"/>
          </w:tcPr>
          <w:p>
            <w:pPr>
              <w:pStyle w:val="TableContents"/>
              <w:spacing w:before="0" w:after="283"/>
              <w:jc w:val="center"/>
              <w:rPr/>
            </w:pPr>
            <w:r>
              <w:rPr/>
              <w:t>171,314</w:t>
            </w:r>
          </w:p>
        </w:tc>
        <w:tc>
          <w:tcPr>
            <w:tcW w:w="60" w:type="dxa"/>
            <w:tcBorders/>
            <w:shd w:fill="FFFFFF" w:val="clear"/>
            <w:tcMar>
              <w:bottom w:w="0" w:type="dxa"/>
            </w:tcMar>
            <w:vAlign w:val="center"/>
          </w:tcPr>
          <w:p>
            <w:pPr>
              <w:pStyle w:val="TableContents"/>
              <w:spacing w:before="0" w:after="283"/>
              <w:rPr/>
            </w:pPr>
            <w:r>
              <w:rPr/>
              <w:t> </w:t>
            </w:r>
          </w:p>
        </w:tc>
        <w:tc>
          <w:tcPr>
            <w:tcW w:w="905" w:type="dxa"/>
            <w:tcBorders/>
            <w:shd w:fill="FFFFFF" w:val="clear"/>
            <w:tcMar>
              <w:bottom w:w="0" w:type="dxa"/>
            </w:tcMar>
            <w:vAlign w:val="center"/>
          </w:tcPr>
          <w:p>
            <w:pPr>
              <w:pStyle w:val="TableContents"/>
              <w:spacing w:before="0" w:after="283"/>
              <w:jc w:val="center"/>
              <w:rPr/>
            </w:pPr>
            <w:r>
              <w:rPr/>
              <w:t>23,680</w:t>
            </w:r>
          </w:p>
        </w:tc>
        <w:tc>
          <w:tcPr>
            <w:tcW w:w="60" w:type="dxa"/>
            <w:tcBorders/>
            <w:shd w:fill="FFFFFF" w:val="clear"/>
            <w:tcMar>
              <w:bottom w:w="0" w:type="dxa"/>
            </w:tcMar>
            <w:vAlign w:val="center"/>
          </w:tcPr>
          <w:p>
            <w:pPr>
              <w:pStyle w:val="TableContents"/>
              <w:spacing w:before="0" w:after="283"/>
              <w:rPr/>
            </w:pPr>
            <w:r>
              <w:rPr/>
              <w:t> </w:t>
            </w:r>
          </w:p>
        </w:tc>
        <w:tc>
          <w:tcPr>
            <w:tcW w:w="905" w:type="dxa"/>
            <w:tcBorders/>
            <w:shd w:fill="FFFFFF" w:val="clear"/>
            <w:tcMar>
              <w:bottom w:w="0" w:type="dxa"/>
            </w:tcMar>
            <w:vAlign w:val="center"/>
          </w:tcPr>
          <w:p>
            <w:pPr>
              <w:pStyle w:val="TableContents"/>
              <w:spacing w:before="0" w:after="283"/>
              <w:jc w:val="center"/>
              <w:rPr/>
            </w:pPr>
            <w:r>
              <w:rPr/>
              <w:t>3,454</w:t>
            </w:r>
          </w:p>
        </w:tc>
        <w:tc>
          <w:tcPr>
            <w:tcW w:w="60" w:type="dxa"/>
            <w:tcBorders/>
            <w:shd w:fill="FFFFFF" w:val="clear"/>
            <w:tcMar>
              <w:bottom w:w="0" w:type="dxa"/>
            </w:tcMar>
            <w:vAlign w:val="center"/>
          </w:tcPr>
          <w:p>
            <w:pPr>
              <w:pStyle w:val="TableContents"/>
              <w:spacing w:before="0" w:after="283"/>
              <w:rPr/>
            </w:pPr>
            <w:r>
              <w:rPr/>
              <w:t> </w:t>
            </w:r>
          </w:p>
        </w:tc>
        <w:tc>
          <w:tcPr>
            <w:tcW w:w="1235" w:type="dxa"/>
            <w:tcBorders/>
            <w:shd w:fill="FFFFFF" w:val="clear"/>
            <w:tcMar>
              <w:bottom w:w="0" w:type="dxa"/>
            </w:tcMar>
            <w:vAlign w:val="center"/>
          </w:tcPr>
          <w:p>
            <w:pPr>
              <w:pStyle w:val="TableContents"/>
              <w:spacing w:before="0" w:after="283"/>
              <w:jc w:val="center"/>
              <w:rPr/>
            </w:pPr>
            <w:r>
              <w:rPr/>
              <w:t>161,337</w:t>
            </w:r>
          </w:p>
        </w:tc>
        <w:tc>
          <w:tcPr>
            <w:tcW w:w="60" w:type="dxa"/>
            <w:tcBorders/>
            <w:shd w:fill="FFFFFF" w:val="clear"/>
            <w:tcMar>
              <w:bottom w:w="0" w:type="dxa"/>
            </w:tcMar>
            <w:vAlign w:val="center"/>
          </w:tcPr>
          <w:p>
            <w:pPr>
              <w:pStyle w:val="TableContents"/>
              <w:spacing w:before="0" w:after="283"/>
              <w:rPr/>
            </w:pPr>
            <w:r>
              <w:rPr/>
              <w:t> </w:t>
            </w:r>
          </w:p>
        </w:tc>
        <w:tc>
          <w:tcPr>
            <w:tcW w:w="1115" w:type="dxa"/>
            <w:tcBorders/>
            <w:shd w:fill="FFFFFF" w:val="clear"/>
            <w:tcMar>
              <w:bottom w:w="0" w:type="dxa"/>
            </w:tcMar>
            <w:vAlign w:val="center"/>
          </w:tcPr>
          <w:p>
            <w:pPr>
              <w:pStyle w:val="TableContents"/>
              <w:spacing w:before="0" w:after="283"/>
              <w:jc w:val="center"/>
              <w:rPr/>
            </w:pPr>
            <w:r>
              <w:rPr/>
              <w:t>11,030,602</w:t>
            </w:r>
          </w:p>
        </w:tc>
      </w:tr>
      <w:tr>
        <w:trPr/>
        <w:tc>
          <w:tcPr>
            <w:tcW w:w="3560" w:type="dxa"/>
            <w:tcBorders/>
            <w:shd w:fill="EFF6EA" w:val="clear"/>
            <w:tcMar>
              <w:bottom w:w="0" w:type="dxa"/>
            </w:tcMar>
            <w:vAlign w:val="center"/>
          </w:tcPr>
          <w:p>
            <w:pPr>
              <w:pStyle w:val="TableContents"/>
              <w:spacing w:before="0" w:after="283"/>
              <w:jc w:val="left"/>
              <w:rPr/>
            </w:pPr>
            <w:r>
              <w:rPr/>
              <w:t>Weighted average exercise price of outstanding stock options</w:t>
            </w:r>
          </w:p>
        </w:tc>
        <w:tc>
          <w:tcPr>
            <w:tcW w:w="60" w:type="dxa"/>
            <w:tcBorders/>
            <w:shd w:fill="EFF6EA" w:val="clear"/>
            <w:tcMar>
              <w:bottom w:w="0" w:type="dxa"/>
            </w:tcMar>
            <w:vAlign w:val="center"/>
          </w:tcPr>
          <w:p>
            <w:pPr>
              <w:pStyle w:val="TableContents"/>
              <w:spacing w:before="0" w:after="283"/>
              <w:jc w:val="right"/>
              <w:rPr/>
            </w:pPr>
            <w:r>
              <w:rPr/>
              <w:t> </w:t>
            </w:r>
          </w:p>
        </w:tc>
        <w:tc>
          <w:tcPr>
            <w:tcW w:w="1100" w:type="dxa"/>
            <w:tcBorders/>
            <w:shd w:fill="EFF6EA" w:val="clear"/>
            <w:tcMar>
              <w:bottom w:w="0" w:type="dxa"/>
            </w:tcMar>
            <w:vAlign w:val="center"/>
          </w:tcPr>
          <w:p>
            <w:pPr>
              <w:pStyle w:val="TableContents"/>
              <w:spacing w:before="0" w:after="283"/>
              <w:jc w:val="center"/>
              <w:rPr/>
            </w:pPr>
            <w:r>
              <w:rPr/>
              <w:t>68.19</w:t>
            </w:r>
          </w:p>
        </w:tc>
        <w:tc>
          <w:tcPr>
            <w:tcW w:w="60" w:type="dxa"/>
            <w:tcBorders/>
            <w:shd w:fill="EFF6EA" w:val="clear"/>
            <w:tcMar>
              <w:bottom w:w="0" w:type="dxa"/>
            </w:tcMar>
            <w:vAlign w:val="center"/>
          </w:tcPr>
          <w:p>
            <w:pPr>
              <w:pStyle w:val="TableContents"/>
              <w:spacing w:before="0" w:after="283"/>
              <w:jc w:val="right"/>
              <w:rPr/>
            </w:pPr>
            <w:r>
              <w:rPr/>
              <w:t> </w:t>
            </w:r>
          </w:p>
        </w:tc>
        <w:tc>
          <w:tcPr>
            <w:tcW w:w="1025" w:type="dxa"/>
            <w:tcBorders/>
            <w:shd w:fill="EFF6EA" w:val="clear"/>
            <w:tcMar>
              <w:bottom w:w="0" w:type="dxa"/>
            </w:tcMar>
            <w:vAlign w:val="center"/>
          </w:tcPr>
          <w:p>
            <w:pPr>
              <w:pStyle w:val="TableContents"/>
              <w:spacing w:before="0" w:after="283"/>
              <w:jc w:val="center"/>
              <w:rPr/>
            </w:pPr>
            <w:r>
              <w:rPr/>
              <w:t>7.07</w:t>
            </w:r>
          </w:p>
        </w:tc>
        <w:tc>
          <w:tcPr>
            <w:tcW w:w="60" w:type="dxa"/>
            <w:tcBorders/>
            <w:shd w:fill="EFF6EA" w:val="clear"/>
            <w:tcMar>
              <w:bottom w:w="0" w:type="dxa"/>
            </w:tcMar>
            <w:vAlign w:val="center"/>
          </w:tcPr>
          <w:p>
            <w:pPr>
              <w:pStyle w:val="TableContents"/>
              <w:spacing w:before="0" w:after="283"/>
              <w:jc w:val="right"/>
              <w:rPr/>
            </w:pPr>
            <w:r>
              <w:rPr/>
              <w:t> </w:t>
            </w:r>
          </w:p>
        </w:tc>
        <w:tc>
          <w:tcPr>
            <w:tcW w:w="905" w:type="dxa"/>
            <w:tcBorders/>
            <w:shd w:fill="EFF6EA" w:val="clear"/>
            <w:tcMar>
              <w:bottom w:w="0" w:type="dxa"/>
            </w:tcMar>
            <w:vAlign w:val="center"/>
          </w:tcPr>
          <w:p>
            <w:pPr>
              <w:pStyle w:val="TableContents"/>
              <w:spacing w:before="0" w:after="283"/>
              <w:jc w:val="center"/>
              <w:rPr/>
            </w:pPr>
            <w:r>
              <w:rPr/>
              <w:t>47.88</w:t>
            </w:r>
          </w:p>
        </w:tc>
        <w:tc>
          <w:tcPr>
            <w:tcW w:w="60" w:type="dxa"/>
            <w:tcBorders/>
            <w:shd w:fill="EFF6EA" w:val="clear"/>
            <w:tcMar>
              <w:bottom w:w="0" w:type="dxa"/>
            </w:tcMar>
            <w:vAlign w:val="center"/>
          </w:tcPr>
          <w:p>
            <w:pPr>
              <w:pStyle w:val="TableContents"/>
              <w:spacing w:before="0" w:after="283"/>
              <w:jc w:val="right"/>
              <w:rPr/>
            </w:pPr>
            <w:r>
              <w:rPr/>
              <w:t> </w:t>
            </w:r>
          </w:p>
        </w:tc>
        <w:tc>
          <w:tcPr>
            <w:tcW w:w="905" w:type="dxa"/>
            <w:tcBorders/>
            <w:shd w:fill="EFF6EA" w:val="clear"/>
            <w:tcMar>
              <w:bottom w:w="0" w:type="dxa"/>
            </w:tcMar>
            <w:vAlign w:val="center"/>
          </w:tcPr>
          <w:p>
            <w:pPr>
              <w:pStyle w:val="TableContents"/>
              <w:spacing w:before="0" w:after="283"/>
              <w:jc w:val="center"/>
              <w:rPr/>
            </w:pPr>
            <w:r>
              <w:rPr/>
              <w:t>25.11</w:t>
            </w:r>
          </w:p>
        </w:tc>
        <w:tc>
          <w:tcPr>
            <w:tcW w:w="60" w:type="dxa"/>
            <w:tcBorders/>
            <w:shd w:fill="EFF6EA" w:val="clear"/>
            <w:tcMar>
              <w:bottom w:w="0" w:type="dxa"/>
            </w:tcMar>
            <w:vAlign w:val="center"/>
          </w:tcPr>
          <w:p>
            <w:pPr>
              <w:pStyle w:val="TableContents"/>
              <w:spacing w:before="0" w:after="283"/>
              <w:jc w:val="right"/>
              <w:rPr/>
            </w:pPr>
            <w:r>
              <w:rPr/>
              <w:t> </w:t>
            </w:r>
          </w:p>
        </w:tc>
        <w:tc>
          <w:tcPr>
            <w:tcW w:w="1235" w:type="dxa"/>
            <w:tcBorders/>
            <w:shd w:fill="EFF6EA" w:val="clear"/>
            <w:tcMar>
              <w:bottom w:w="0" w:type="dxa"/>
            </w:tcMar>
            <w:vAlign w:val="center"/>
          </w:tcPr>
          <w:p>
            <w:pPr>
              <w:pStyle w:val="TableContents"/>
              <w:spacing w:before="0" w:after="283"/>
              <w:jc w:val="center"/>
              <w:rPr/>
            </w:pPr>
            <w:r>
              <w:rPr/>
              <w:t>59.08</w:t>
            </w:r>
          </w:p>
        </w:tc>
        <w:tc>
          <w:tcPr>
            <w:tcW w:w="60" w:type="dxa"/>
            <w:tcBorders/>
            <w:shd w:fill="EFF6EA" w:val="clear"/>
            <w:tcMar>
              <w:bottom w:w="0" w:type="dxa"/>
            </w:tcMar>
            <w:vAlign w:val="center"/>
          </w:tcPr>
          <w:p>
            <w:pPr>
              <w:pStyle w:val="TableContents"/>
              <w:spacing w:before="0" w:after="283"/>
              <w:jc w:val="right"/>
              <w:rPr/>
            </w:pPr>
            <w:r>
              <w:rPr/>
              <w:t> </w:t>
            </w:r>
          </w:p>
        </w:tc>
        <w:tc>
          <w:tcPr>
            <w:tcW w:w="1115" w:type="dxa"/>
            <w:tcBorders/>
            <w:shd w:fill="EFF6EA" w:val="clear"/>
            <w:tcMar>
              <w:bottom w:w="0" w:type="dxa"/>
            </w:tcMar>
            <w:vAlign w:val="center"/>
          </w:tcPr>
          <w:p>
            <w:pPr>
              <w:pStyle w:val="TableContents"/>
              <w:spacing w:before="0" w:after="283"/>
              <w:jc w:val="center"/>
              <w:rPr/>
            </w:pPr>
            <w:r>
              <w:rPr/>
              <w:t>67.05</w:t>
            </w:r>
          </w:p>
        </w:tc>
      </w:tr>
      <w:tr>
        <w:trPr/>
        <w:tc>
          <w:tcPr>
            <w:tcW w:w="3560" w:type="dxa"/>
            <w:tcBorders/>
            <w:shd w:fill="FFFFFF" w:val="clear"/>
            <w:tcMar>
              <w:bottom w:w="0" w:type="dxa"/>
            </w:tcMar>
            <w:vAlign w:val="center"/>
          </w:tcPr>
          <w:p>
            <w:pPr>
              <w:pStyle w:val="TableContents"/>
              <w:spacing w:before="0" w:after="283"/>
              <w:jc w:val="left"/>
              <w:rPr/>
            </w:pPr>
            <w:r>
              <w:rPr/>
              <w:t>Weighted average remaining life of outstanding stock options</w:t>
            </w:r>
          </w:p>
        </w:tc>
        <w:tc>
          <w:tcPr>
            <w:tcW w:w="60" w:type="dxa"/>
            <w:tcBorders/>
            <w:shd w:fill="FFFFFF" w:val="clear"/>
            <w:tcMar>
              <w:bottom w:w="0" w:type="dxa"/>
            </w:tcMar>
            <w:vAlign w:val="center"/>
          </w:tcPr>
          <w:p>
            <w:pPr>
              <w:pStyle w:val="TableContents"/>
              <w:spacing w:before="0" w:after="283"/>
              <w:jc w:val="right"/>
              <w:rPr/>
            </w:pPr>
            <w:r>
              <w:rPr/>
              <w:t> </w:t>
            </w:r>
          </w:p>
        </w:tc>
        <w:tc>
          <w:tcPr>
            <w:tcW w:w="1100" w:type="dxa"/>
            <w:tcBorders/>
            <w:shd w:fill="FFFFFF" w:val="clear"/>
            <w:tcMar>
              <w:bottom w:w="0" w:type="dxa"/>
            </w:tcMar>
            <w:vAlign w:val="center"/>
          </w:tcPr>
          <w:p>
            <w:pPr>
              <w:pStyle w:val="TableContents"/>
              <w:spacing w:before="0" w:after="283"/>
              <w:jc w:val="center"/>
              <w:rPr/>
            </w:pPr>
            <w:r>
              <w:rPr/>
              <w:t>6.67</w:t>
            </w:r>
          </w:p>
        </w:tc>
        <w:tc>
          <w:tcPr>
            <w:tcW w:w="60" w:type="dxa"/>
            <w:tcBorders/>
            <w:shd w:fill="FFFFFF" w:val="clear"/>
            <w:tcMar>
              <w:bottom w:w="0" w:type="dxa"/>
            </w:tcMar>
            <w:vAlign w:val="center"/>
          </w:tcPr>
          <w:p>
            <w:pPr>
              <w:pStyle w:val="TableContents"/>
              <w:spacing w:before="0" w:after="283"/>
              <w:jc w:val="right"/>
              <w:rPr/>
            </w:pPr>
            <w:r>
              <w:rPr/>
              <w:t> </w:t>
            </w:r>
          </w:p>
        </w:tc>
        <w:tc>
          <w:tcPr>
            <w:tcW w:w="1025" w:type="dxa"/>
            <w:tcBorders/>
            <w:shd w:fill="FFFFFF" w:val="clear"/>
            <w:tcMar>
              <w:bottom w:w="0" w:type="dxa"/>
            </w:tcMar>
            <w:vAlign w:val="center"/>
          </w:tcPr>
          <w:p>
            <w:pPr>
              <w:pStyle w:val="TableContents"/>
              <w:spacing w:before="0" w:after="283"/>
              <w:jc w:val="center"/>
              <w:rPr/>
            </w:pPr>
            <w:r>
              <w:rPr/>
              <w:t>0.55</w:t>
            </w:r>
          </w:p>
        </w:tc>
        <w:tc>
          <w:tcPr>
            <w:tcW w:w="60" w:type="dxa"/>
            <w:tcBorders/>
            <w:shd w:fill="FFFFFF" w:val="clear"/>
            <w:tcMar>
              <w:bottom w:w="0" w:type="dxa"/>
            </w:tcMar>
            <w:vAlign w:val="center"/>
          </w:tcPr>
          <w:p>
            <w:pPr>
              <w:pStyle w:val="TableContents"/>
              <w:spacing w:before="0" w:after="283"/>
              <w:jc w:val="right"/>
              <w:rPr/>
            </w:pPr>
            <w:r>
              <w:rPr/>
              <w:t> </w:t>
            </w:r>
          </w:p>
        </w:tc>
        <w:tc>
          <w:tcPr>
            <w:tcW w:w="905" w:type="dxa"/>
            <w:tcBorders/>
            <w:shd w:fill="FFFFFF" w:val="clear"/>
            <w:tcMar>
              <w:bottom w:w="0" w:type="dxa"/>
            </w:tcMar>
            <w:vAlign w:val="center"/>
          </w:tcPr>
          <w:p>
            <w:pPr>
              <w:pStyle w:val="TableContents"/>
              <w:spacing w:before="0" w:after="283"/>
              <w:jc w:val="center"/>
              <w:rPr/>
            </w:pPr>
            <w:r>
              <w:rPr/>
              <w:t>3.29</w:t>
            </w:r>
          </w:p>
        </w:tc>
        <w:tc>
          <w:tcPr>
            <w:tcW w:w="60" w:type="dxa"/>
            <w:tcBorders/>
            <w:shd w:fill="FFFFFF" w:val="clear"/>
            <w:tcMar>
              <w:bottom w:w="0" w:type="dxa"/>
            </w:tcMar>
            <w:vAlign w:val="center"/>
          </w:tcPr>
          <w:p>
            <w:pPr>
              <w:pStyle w:val="TableContents"/>
              <w:spacing w:before="0" w:after="283"/>
              <w:jc w:val="right"/>
              <w:rPr/>
            </w:pPr>
            <w:r>
              <w:rPr/>
              <w:t> </w:t>
            </w:r>
          </w:p>
        </w:tc>
        <w:tc>
          <w:tcPr>
            <w:tcW w:w="905" w:type="dxa"/>
            <w:tcBorders/>
            <w:shd w:fill="FFFFFF" w:val="clear"/>
            <w:tcMar>
              <w:bottom w:w="0" w:type="dxa"/>
            </w:tcMar>
            <w:vAlign w:val="center"/>
          </w:tcPr>
          <w:p>
            <w:pPr>
              <w:pStyle w:val="TableContents"/>
              <w:spacing w:before="0" w:after="283"/>
              <w:jc w:val="center"/>
              <w:rPr/>
            </w:pPr>
            <w:r>
              <w:rPr/>
              <w:t>2.01</w:t>
            </w:r>
          </w:p>
        </w:tc>
        <w:tc>
          <w:tcPr>
            <w:tcW w:w="60" w:type="dxa"/>
            <w:tcBorders/>
            <w:shd w:fill="FFFFFF" w:val="clear"/>
            <w:tcMar>
              <w:bottom w:w="0" w:type="dxa"/>
            </w:tcMar>
            <w:vAlign w:val="center"/>
          </w:tcPr>
          <w:p>
            <w:pPr>
              <w:pStyle w:val="TableContents"/>
              <w:spacing w:before="0" w:after="283"/>
              <w:jc w:val="right"/>
              <w:rPr/>
            </w:pPr>
            <w:r>
              <w:rPr/>
              <w:t> </w:t>
            </w:r>
          </w:p>
        </w:tc>
        <w:tc>
          <w:tcPr>
            <w:tcW w:w="1235" w:type="dxa"/>
            <w:tcBorders/>
            <w:shd w:fill="FFFFFF" w:val="clear"/>
            <w:tcMar>
              <w:bottom w:w="0" w:type="dxa"/>
            </w:tcMar>
            <w:vAlign w:val="center"/>
          </w:tcPr>
          <w:p>
            <w:pPr>
              <w:pStyle w:val="TableContents"/>
              <w:spacing w:before="0" w:after="283"/>
              <w:jc w:val="center"/>
              <w:rPr/>
            </w:pPr>
            <w:r>
              <w:rPr/>
              <w:t>9.22</w:t>
            </w:r>
          </w:p>
        </w:tc>
        <w:tc>
          <w:tcPr>
            <w:tcW w:w="60" w:type="dxa"/>
            <w:tcBorders/>
            <w:shd w:fill="FFFFFF" w:val="clear"/>
            <w:tcMar>
              <w:bottom w:w="0" w:type="dxa"/>
            </w:tcMar>
            <w:vAlign w:val="center"/>
          </w:tcPr>
          <w:p>
            <w:pPr>
              <w:pStyle w:val="TableContents"/>
              <w:spacing w:before="0" w:after="283"/>
              <w:jc w:val="right"/>
              <w:rPr/>
            </w:pPr>
            <w:r>
              <w:rPr/>
              <w:t> </w:t>
            </w:r>
          </w:p>
        </w:tc>
        <w:tc>
          <w:tcPr>
            <w:tcW w:w="1115" w:type="dxa"/>
            <w:tcBorders/>
            <w:shd w:fill="FFFFFF" w:val="clear"/>
            <w:tcMar>
              <w:bottom w:w="0" w:type="dxa"/>
            </w:tcMar>
            <w:vAlign w:val="center"/>
          </w:tcPr>
          <w:p>
            <w:pPr>
              <w:pStyle w:val="TableContents"/>
              <w:spacing w:before="0" w:after="283"/>
              <w:jc w:val="center"/>
              <w:rPr/>
            </w:pPr>
            <w:r>
              <w:rPr/>
              <w:t>6.61</w:t>
            </w:r>
          </w:p>
        </w:tc>
      </w:tr>
      <w:tr>
        <w:trPr/>
        <w:tc>
          <w:tcPr>
            <w:tcW w:w="3560" w:type="dxa"/>
            <w:tcBorders/>
            <w:shd w:fill="EFF6EA" w:val="clear"/>
            <w:tcMar>
              <w:bottom w:w="0" w:type="dxa"/>
            </w:tcMar>
            <w:vAlign w:val="center"/>
          </w:tcPr>
          <w:p>
            <w:pPr>
              <w:pStyle w:val="TableContents"/>
              <w:spacing w:before="0" w:after="283"/>
              <w:jc w:val="left"/>
              <w:rPr/>
            </w:pPr>
            <w:r>
              <w:rPr/>
              <w:t>Total shares underlying outstanding restricted stock units (“RSUs”)</w:t>
            </w:r>
          </w:p>
        </w:tc>
        <w:tc>
          <w:tcPr>
            <w:tcW w:w="60" w:type="dxa"/>
            <w:tcBorders/>
            <w:shd w:fill="EFF6EA" w:val="clear"/>
            <w:tcMar>
              <w:bottom w:w="0" w:type="dxa"/>
            </w:tcMar>
            <w:vAlign w:val="center"/>
          </w:tcPr>
          <w:p>
            <w:pPr>
              <w:pStyle w:val="TableContents"/>
              <w:spacing w:before="0" w:after="283"/>
              <w:rPr/>
            </w:pPr>
            <w:r>
              <w:rPr/>
              <w:t> </w:t>
            </w:r>
          </w:p>
        </w:tc>
        <w:tc>
          <w:tcPr>
            <w:tcW w:w="1100" w:type="dxa"/>
            <w:tcBorders/>
            <w:shd w:fill="EFF6EA" w:val="clear"/>
            <w:tcMar>
              <w:bottom w:w="0" w:type="dxa"/>
            </w:tcMar>
            <w:vAlign w:val="center"/>
          </w:tcPr>
          <w:p>
            <w:pPr>
              <w:pStyle w:val="TableContents"/>
              <w:spacing w:before="0" w:after="283"/>
              <w:jc w:val="center"/>
              <w:rPr/>
            </w:pPr>
            <w:r>
              <w:rPr/>
              <w:t>3,507,715</w:t>
            </w:r>
          </w:p>
        </w:tc>
        <w:tc>
          <w:tcPr>
            <w:tcW w:w="60" w:type="dxa"/>
            <w:tcBorders/>
            <w:shd w:fill="EFF6EA" w:val="clear"/>
            <w:tcMar>
              <w:bottom w:w="0" w:type="dxa"/>
            </w:tcMar>
            <w:vAlign w:val="center"/>
          </w:tcPr>
          <w:p>
            <w:pPr>
              <w:pStyle w:val="TableContents"/>
              <w:spacing w:before="0" w:after="283"/>
              <w:rPr/>
            </w:pPr>
            <w:r>
              <w:rPr/>
              <w:t> </w:t>
            </w:r>
          </w:p>
        </w:tc>
        <w:tc>
          <w:tcPr>
            <w:tcW w:w="1025" w:type="dxa"/>
            <w:tcBorders/>
            <w:shd w:fill="EFF6EA" w:val="clear"/>
            <w:tcMar>
              <w:bottom w:w="0" w:type="dxa"/>
            </w:tcMar>
            <w:vAlign w:val="center"/>
          </w:tcPr>
          <w:p>
            <w:pPr>
              <w:pStyle w:val="TableContents"/>
              <w:spacing w:before="0" w:after="283"/>
              <w:jc w:val="center"/>
              <w:rPr/>
            </w:pPr>
            <w:r>
              <w:rPr/>
              <w:t>—</w:t>
            </w:r>
          </w:p>
        </w:tc>
        <w:tc>
          <w:tcPr>
            <w:tcW w:w="60" w:type="dxa"/>
            <w:tcBorders/>
            <w:shd w:fill="EFF6EA" w:val="clear"/>
            <w:tcMar>
              <w:bottom w:w="0" w:type="dxa"/>
            </w:tcMar>
            <w:vAlign w:val="center"/>
          </w:tcPr>
          <w:p>
            <w:pPr>
              <w:pStyle w:val="TableContents"/>
              <w:spacing w:before="0" w:after="283"/>
              <w:rPr/>
            </w:pPr>
            <w:r>
              <w:rPr/>
              <w:t> </w:t>
            </w:r>
          </w:p>
        </w:tc>
        <w:tc>
          <w:tcPr>
            <w:tcW w:w="905" w:type="dxa"/>
            <w:tcBorders/>
            <w:shd w:fill="EFF6EA" w:val="clear"/>
            <w:tcMar>
              <w:bottom w:w="0" w:type="dxa"/>
            </w:tcMar>
            <w:vAlign w:val="center"/>
          </w:tcPr>
          <w:p>
            <w:pPr>
              <w:pStyle w:val="TableContents"/>
              <w:spacing w:before="0" w:after="283"/>
              <w:jc w:val="center"/>
              <w:rPr/>
            </w:pPr>
            <w:r>
              <w:rPr/>
              <w:t>—</w:t>
            </w:r>
          </w:p>
        </w:tc>
        <w:tc>
          <w:tcPr>
            <w:tcW w:w="60" w:type="dxa"/>
            <w:tcBorders/>
            <w:shd w:fill="EFF6EA" w:val="clear"/>
            <w:tcMar>
              <w:bottom w:w="0" w:type="dxa"/>
            </w:tcMar>
            <w:vAlign w:val="center"/>
          </w:tcPr>
          <w:p>
            <w:pPr>
              <w:pStyle w:val="TableContents"/>
              <w:spacing w:before="0" w:after="283"/>
              <w:rPr/>
            </w:pPr>
            <w:r>
              <w:rPr/>
              <w:t> </w:t>
            </w:r>
          </w:p>
        </w:tc>
        <w:tc>
          <w:tcPr>
            <w:tcW w:w="905" w:type="dxa"/>
            <w:tcBorders/>
            <w:shd w:fill="EFF6EA" w:val="clear"/>
            <w:tcMar>
              <w:bottom w:w="0" w:type="dxa"/>
            </w:tcMar>
            <w:vAlign w:val="center"/>
          </w:tcPr>
          <w:p>
            <w:pPr>
              <w:pStyle w:val="TableContents"/>
              <w:spacing w:before="0" w:after="283"/>
              <w:jc w:val="center"/>
              <w:rPr/>
            </w:pPr>
            <w:r>
              <w:rPr/>
              <w:t>—</w:t>
            </w:r>
          </w:p>
        </w:tc>
        <w:tc>
          <w:tcPr>
            <w:tcW w:w="60" w:type="dxa"/>
            <w:tcBorders/>
            <w:shd w:fill="EFF6EA" w:val="clear"/>
            <w:tcMar>
              <w:bottom w:w="0" w:type="dxa"/>
            </w:tcMar>
            <w:vAlign w:val="center"/>
          </w:tcPr>
          <w:p>
            <w:pPr>
              <w:pStyle w:val="TableContents"/>
              <w:spacing w:before="0" w:after="283"/>
              <w:rPr/>
            </w:pPr>
            <w:r>
              <w:rPr/>
              <w:t> </w:t>
            </w:r>
          </w:p>
        </w:tc>
        <w:tc>
          <w:tcPr>
            <w:tcW w:w="1235" w:type="dxa"/>
            <w:tcBorders/>
            <w:shd w:fill="EFF6EA" w:val="clear"/>
            <w:tcMar>
              <w:bottom w:w="0" w:type="dxa"/>
            </w:tcMar>
            <w:vAlign w:val="center"/>
          </w:tcPr>
          <w:p>
            <w:pPr>
              <w:pStyle w:val="TableContents"/>
              <w:spacing w:before="0" w:after="283"/>
              <w:jc w:val="center"/>
              <w:rPr/>
            </w:pPr>
            <w:r>
              <w:rPr/>
              <w:t>86,257</w:t>
            </w:r>
          </w:p>
        </w:tc>
        <w:tc>
          <w:tcPr>
            <w:tcW w:w="60" w:type="dxa"/>
            <w:tcBorders/>
            <w:shd w:fill="EFF6EA" w:val="clear"/>
            <w:tcMar>
              <w:bottom w:w="0" w:type="dxa"/>
            </w:tcMar>
            <w:vAlign w:val="center"/>
          </w:tcPr>
          <w:p>
            <w:pPr>
              <w:pStyle w:val="TableContents"/>
              <w:spacing w:before="0" w:after="283"/>
              <w:rPr/>
            </w:pPr>
            <w:r>
              <w:rPr/>
              <w:t> </w:t>
            </w:r>
          </w:p>
        </w:tc>
        <w:tc>
          <w:tcPr>
            <w:tcW w:w="1115" w:type="dxa"/>
            <w:tcBorders/>
            <w:shd w:fill="EFF6EA" w:val="clear"/>
            <w:tcMar>
              <w:bottom w:w="0" w:type="dxa"/>
            </w:tcMar>
            <w:vAlign w:val="center"/>
          </w:tcPr>
          <w:p>
            <w:pPr>
              <w:pStyle w:val="TableContents"/>
              <w:spacing w:before="0" w:after="283"/>
              <w:jc w:val="center"/>
              <w:rPr/>
            </w:pPr>
            <w:r>
              <w:rPr/>
              <w:t>3,593,972</w:t>
            </w:r>
          </w:p>
        </w:tc>
      </w:tr>
      <w:tr>
        <w:trPr/>
        <w:tc>
          <w:tcPr>
            <w:tcW w:w="3560" w:type="dxa"/>
            <w:tcBorders/>
            <w:shd w:fill="FFFFFF" w:val="clear"/>
            <w:tcMar>
              <w:bottom w:w="0" w:type="dxa"/>
            </w:tcMar>
            <w:vAlign w:val="center"/>
          </w:tcPr>
          <w:p>
            <w:pPr>
              <w:pStyle w:val="TableContents"/>
              <w:spacing w:before="0" w:after="283"/>
              <w:jc w:val="left"/>
              <w:rPr/>
            </w:pPr>
            <w:r>
              <w:rPr/>
              <w:t>Total shares underlying outstanding performance stock units (“PSUs”) (assuming target performance)</w:t>
            </w:r>
          </w:p>
        </w:tc>
        <w:tc>
          <w:tcPr>
            <w:tcW w:w="60" w:type="dxa"/>
            <w:tcBorders/>
            <w:shd w:fill="FFFFFF" w:val="clear"/>
            <w:tcMar>
              <w:bottom w:w="0" w:type="dxa"/>
            </w:tcMar>
            <w:vAlign w:val="center"/>
          </w:tcPr>
          <w:p>
            <w:pPr>
              <w:pStyle w:val="TableContents"/>
              <w:spacing w:before="0" w:after="283"/>
              <w:rPr/>
            </w:pPr>
            <w:r>
              <w:rPr/>
              <w:t> </w:t>
            </w:r>
          </w:p>
        </w:tc>
        <w:tc>
          <w:tcPr>
            <w:tcW w:w="1100" w:type="dxa"/>
            <w:tcBorders/>
            <w:shd w:fill="FFFFFF" w:val="clear"/>
            <w:tcMar>
              <w:bottom w:w="0" w:type="dxa"/>
            </w:tcMar>
            <w:vAlign w:val="center"/>
          </w:tcPr>
          <w:p>
            <w:pPr>
              <w:pStyle w:val="TableContents"/>
              <w:spacing w:before="0" w:after="283"/>
              <w:jc w:val="center"/>
              <w:rPr/>
            </w:pPr>
            <w:r>
              <w:rPr/>
              <w:t>434,730</w:t>
            </w:r>
          </w:p>
        </w:tc>
        <w:tc>
          <w:tcPr>
            <w:tcW w:w="60" w:type="dxa"/>
            <w:tcBorders/>
            <w:shd w:fill="FFFFFF" w:val="clear"/>
            <w:tcMar>
              <w:bottom w:w="0" w:type="dxa"/>
            </w:tcMar>
            <w:vAlign w:val="center"/>
          </w:tcPr>
          <w:p>
            <w:pPr>
              <w:pStyle w:val="TableContents"/>
              <w:spacing w:before="0" w:after="283"/>
              <w:rPr/>
            </w:pPr>
            <w:r>
              <w:rPr/>
              <w:t> </w:t>
            </w:r>
          </w:p>
        </w:tc>
        <w:tc>
          <w:tcPr>
            <w:tcW w:w="1025" w:type="dxa"/>
            <w:tcBorders/>
            <w:shd w:fill="FFFFFF" w:val="clear"/>
            <w:tcMar>
              <w:bottom w:w="0" w:type="dxa"/>
            </w:tcMar>
            <w:vAlign w:val="center"/>
          </w:tcPr>
          <w:p>
            <w:pPr>
              <w:pStyle w:val="TableContents"/>
              <w:spacing w:before="0" w:after="283"/>
              <w:jc w:val="center"/>
              <w:rPr/>
            </w:pPr>
            <w:r>
              <w:rPr/>
              <w:t>—</w:t>
            </w:r>
          </w:p>
        </w:tc>
        <w:tc>
          <w:tcPr>
            <w:tcW w:w="60" w:type="dxa"/>
            <w:tcBorders/>
            <w:shd w:fill="FFFFFF" w:val="clear"/>
            <w:tcMar>
              <w:bottom w:w="0" w:type="dxa"/>
            </w:tcMar>
            <w:vAlign w:val="center"/>
          </w:tcPr>
          <w:p>
            <w:pPr>
              <w:pStyle w:val="TableContents"/>
              <w:spacing w:before="0" w:after="283"/>
              <w:rPr/>
            </w:pPr>
            <w:r>
              <w:rPr/>
              <w:t> </w:t>
            </w:r>
          </w:p>
        </w:tc>
        <w:tc>
          <w:tcPr>
            <w:tcW w:w="905" w:type="dxa"/>
            <w:tcBorders/>
            <w:shd w:fill="FFFFFF" w:val="clear"/>
            <w:tcMar>
              <w:bottom w:w="0" w:type="dxa"/>
            </w:tcMar>
            <w:vAlign w:val="center"/>
          </w:tcPr>
          <w:p>
            <w:pPr>
              <w:pStyle w:val="TableContents"/>
              <w:spacing w:before="0" w:after="283"/>
              <w:jc w:val="center"/>
              <w:rPr/>
            </w:pPr>
            <w:r>
              <w:rPr/>
              <w:t>—</w:t>
            </w:r>
          </w:p>
        </w:tc>
        <w:tc>
          <w:tcPr>
            <w:tcW w:w="60" w:type="dxa"/>
            <w:tcBorders/>
            <w:shd w:fill="FFFFFF" w:val="clear"/>
            <w:tcMar>
              <w:bottom w:w="0" w:type="dxa"/>
            </w:tcMar>
            <w:vAlign w:val="center"/>
          </w:tcPr>
          <w:p>
            <w:pPr>
              <w:pStyle w:val="TableContents"/>
              <w:spacing w:before="0" w:after="283"/>
              <w:rPr/>
            </w:pPr>
            <w:r>
              <w:rPr/>
              <w:t> </w:t>
            </w:r>
          </w:p>
        </w:tc>
        <w:tc>
          <w:tcPr>
            <w:tcW w:w="905" w:type="dxa"/>
            <w:tcBorders/>
            <w:shd w:fill="FFFFFF" w:val="clear"/>
            <w:tcMar>
              <w:bottom w:w="0" w:type="dxa"/>
            </w:tcMar>
            <w:vAlign w:val="center"/>
          </w:tcPr>
          <w:p>
            <w:pPr>
              <w:pStyle w:val="TableContents"/>
              <w:spacing w:before="0" w:after="283"/>
              <w:jc w:val="center"/>
              <w:rPr/>
            </w:pPr>
            <w:r>
              <w:rPr/>
              <w:t>—</w:t>
            </w:r>
          </w:p>
        </w:tc>
        <w:tc>
          <w:tcPr>
            <w:tcW w:w="60" w:type="dxa"/>
            <w:tcBorders/>
            <w:shd w:fill="FFFFFF" w:val="clear"/>
            <w:tcMar>
              <w:bottom w:w="0" w:type="dxa"/>
            </w:tcMar>
            <w:vAlign w:val="center"/>
          </w:tcPr>
          <w:p>
            <w:pPr>
              <w:pStyle w:val="TableContents"/>
              <w:spacing w:before="0" w:after="283"/>
              <w:rPr/>
            </w:pPr>
            <w:r>
              <w:rPr/>
              <w:t> </w:t>
            </w:r>
          </w:p>
        </w:tc>
        <w:tc>
          <w:tcPr>
            <w:tcW w:w="1235" w:type="dxa"/>
            <w:tcBorders/>
            <w:shd w:fill="FFFFFF" w:val="clear"/>
            <w:tcMar>
              <w:bottom w:w="0" w:type="dxa"/>
            </w:tcMar>
            <w:vAlign w:val="center"/>
          </w:tcPr>
          <w:p>
            <w:pPr>
              <w:pStyle w:val="TableContents"/>
              <w:spacing w:before="0" w:after="283"/>
              <w:jc w:val="center"/>
              <w:rPr/>
            </w:pPr>
            <w:r>
              <w:rPr/>
              <w:t>—</w:t>
            </w:r>
          </w:p>
        </w:tc>
        <w:tc>
          <w:tcPr>
            <w:tcW w:w="60" w:type="dxa"/>
            <w:tcBorders/>
            <w:shd w:fill="FFFFFF" w:val="clear"/>
            <w:tcMar>
              <w:bottom w:w="0" w:type="dxa"/>
            </w:tcMar>
            <w:vAlign w:val="center"/>
          </w:tcPr>
          <w:p>
            <w:pPr>
              <w:pStyle w:val="TableContents"/>
              <w:spacing w:before="0" w:after="283"/>
              <w:rPr/>
            </w:pPr>
            <w:r>
              <w:rPr/>
              <w:t> </w:t>
            </w:r>
          </w:p>
        </w:tc>
        <w:tc>
          <w:tcPr>
            <w:tcW w:w="1115" w:type="dxa"/>
            <w:tcBorders/>
            <w:shd w:fill="FFFFFF" w:val="clear"/>
            <w:tcMar>
              <w:bottom w:w="0" w:type="dxa"/>
            </w:tcMar>
            <w:vAlign w:val="center"/>
          </w:tcPr>
          <w:p>
            <w:pPr>
              <w:pStyle w:val="TableContents"/>
              <w:spacing w:before="0" w:after="283"/>
              <w:jc w:val="center"/>
              <w:rPr/>
            </w:pPr>
            <w:r>
              <w:rPr/>
              <w:t>434,730</w:t>
            </w:r>
          </w:p>
        </w:tc>
      </w:tr>
      <w:tr>
        <w:trPr/>
        <w:tc>
          <w:tcPr>
            <w:tcW w:w="3560" w:type="dxa"/>
            <w:tcBorders>
              <w:bottom w:val="single" w:sz="12" w:space="0" w:color="7CBC3E"/>
            </w:tcBorders>
            <w:shd w:fill="EFF6EA" w:val="clear"/>
            <w:vAlign w:val="center"/>
          </w:tcPr>
          <w:p>
            <w:pPr>
              <w:pStyle w:val="TableContents"/>
              <w:spacing w:before="0" w:after="283"/>
              <w:jc w:val="left"/>
              <w:rPr/>
            </w:pPr>
            <w:r>
              <w:rPr/>
              <w:t>Total shares available for issuance (assuming outstanding PSUs vest at maximum performance)</w:t>
            </w:r>
          </w:p>
        </w:tc>
        <w:tc>
          <w:tcPr>
            <w:tcW w:w="60" w:type="dxa"/>
            <w:tcBorders>
              <w:bottom w:val="single" w:sz="12" w:space="0" w:color="7CBC3E"/>
            </w:tcBorders>
            <w:shd w:fill="EFF6EA" w:val="clear"/>
            <w:vAlign w:val="center"/>
          </w:tcPr>
          <w:p>
            <w:pPr>
              <w:pStyle w:val="TableContents"/>
              <w:spacing w:before="0" w:after="283"/>
              <w:rPr/>
            </w:pPr>
            <w:r>
              <w:rPr/>
              <w:t> </w:t>
            </w:r>
          </w:p>
        </w:tc>
        <w:tc>
          <w:tcPr>
            <w:tcW w:w="1100" w:type="dxa"/>
            <w:tcBorders>
              <w:bottom w:val="single" w:sz="12" w:space="0" w:color="7CBC3E"/>
            </w:tcBorders>
            <w:shd w:fill="EFF6EA" w:val="clear"/>
            <w:vAlign w:val="center"/>
          </w:tcPr>
          <w:p>
            <w:pPr>
              <w:pStyle w:val="TableContents"/>
              <w:spacing w:before="0" w:after="283"/>
              <w:jc w:val="center"/>
              <w:rPr/>
            </w:pPr>
            <w:r>
              <w:rPr/>
              <w:t>686,136</w:t>
            </w:r>
          </w:p>
        </w:tc>
        <w:tc>
          <w:tcPr>
            <w:tcW w:w="60" w:type="dxa"/>
            <w:tcBorders>
              <w:bottom w:val="single" w:sz="12" w:space="0" w:color="7CBC3E"/>
            </w:tcBorders>
            <w:shd w:fill="EFF6EA" w:val="clear"/>
            <w:vAlign w:val="center"/>
          </w:tcPr>
          <w:p>
            <w:pPr>
              <w:pStyle w:val="TableContents"/>
              <w:spacing w:before="0" w:after="283"/>
              <w:rPr/>
            </w:pPr>
            <w:r>
              <w:rPr/>
              <w:t> </w:t>
            </w:r>
          </w:p>
        </w:tc>
        <w:tc>
          <w:tcPr>
            <w:tcW w:w="1025" w:type="dxa"/>
            <w:tcBorders>
              <w:bottom w:val="single" w:sz="12" w:space="0" w:color="7CBC3E"/>
            </w:tcBorders>
            <w:shd w:fill="EFF6EA" w:val="clear"/>
            <w:vAlign w:val="center"/>
          </w:tcPr>
          <w:p>
            <w:pPr>
              <w:pStyle w:val="TableContents"/>
              <w:spacing w:before="0" w:after="283"/>
              <w:jc w:val="center"/>
              <w:rPr/>
            </w:pPr>
            <w:r>
              <w:rPr/>
              <w:t>—</w:t>
            </w:r>
          </w:p>
        </w:tc>
        <w:tc>
          <w:tcPr>
            <w:tcW w:w="60" w:type="dxa"/>
            <w:tcBorders>
              <w:bottom w:val="single" w:sz="12" w:space="0" w:color="7CBC3E"/>
            </w:tcBorders>
            <w:shd w:fill="EFF6EA" w:val="clear"/>
            <w:vAlign w:val="center"/>
          </w:tcPr>
          <w:p>
            <w:pPr>
              <w:pStyle w:val="TableContents"/>
              <w:spacing w:before="0" w:after="283"/>
              <w:rPr/>
            </w:pPr>
            <w:r>
              <w:rPr/>
              <w:t> </w:t>
            </w:r>
          </w:p>
        </w:tc>
        <w:tc>
          <w:tcPr>
            <w:tcW w:w="905" w:type="dxa"/>
            <w:tcBorders>
              <w:bottom w:val="single" w:sz="12" w:space="0" w:color="7CBC3E"/>
            </w:tcBorders>
            <w:shd w:fill="EFF6EA" w:val="clear"/>
            <w:vAlign w:val="center"/>
          </w:tcPr>
          <w:p>
            <w:pPr>
              <w:pStyle w:val="TableContents"/>
              <w:spacing w:before="0" w:after="283"/>
              <w:jc w:val="center"/>
              <w:rPr/>
            </w:pPr>
            <w:r>
              <w:rPr/>
              <w:t>—</w:t>
            </w:r>
          </w:p>
        </w:tc>
        <w:tc>
          <w:tcPr>
            <w:tcW w:w="60" w:type="dxa"/>
            <w:tcBorders>
              <w:bottom w:val="single" w:sz="12" w:space="0" w:color="7CBC3E"/>
            </w:tcBorders>
            <w:shd w:fill="EFF6EA" w:val="clear"/>
            <w:vAlign w:val="center"/>
          </w:tcPr>
          <w:p>
            <w:pPr>
              <w:pStyle w:val="TableContents"/>
              <w:spacing w:before="0" w:after="283"/>
              <w:rPr/>
            </w:pPr>
            <w:r>
              <w:rPr/>
              <w:t> </w:t>
            </w:r>
          </w:p>
        </w:tc>
        <w:tc>
          <w:tcPr>
            <w:tcW w:w="905" w:type="dxa"/>
            <w:tcBorders>
              <w:bottom w:val="single" w:sz="12" w:space="0" w:color="7CBC3E"/>
            </w:tcBorders>
            <w:shd w:fill="EFF6EA" w:val="clear"/>
            <w:vAlign w:val="center"/>
          </w:tcPr>
          <w:p>
            <w:pPr>
              <w:pStyle w:val="TableContents"/>
              <w:spacing w:before="0" w:after="283"/>
              <w:jc w:val="center"/>
              <w:rPr/>
            </w:pPr>
            <w:r>
              <w:rPr/>
              <w:t>—</w:t>
            </w:r>
          </w:p>
        </w:tc>
        <w:tc>
          <w:tcPr>
            <w:tcW w:w="60" w:type="dxa"/>
            <w:tcBorders>
              <w:bottom w:val="single" w:sz="12" w:space="0" w:color="7CBC3E"/>
            </w:tcBorders>
            <w:shd w:fill="EFF6EA" w:val="clear"/>
            <w:vAlign w:val="center"/>
          </w:tcPr>
          <w:p>
            <w:pPr>
              <w:pStyle w:val="TableContents"/>
              <w:spacing w:before="0" w:after="283"/>
              <w:rPr/>
            </w:pPr>
            <w:r>
              <w:rPr/>
              <w:t> </w:t>
            </w:r>
          </w:p>
        </w:tc>
        <w:tc>
          <w:tcPr>
            <w:tcW w:w="1235" w:type="dxa"/>
            <w:tcBorders>
              <w:bottom w:val="single" w:sz="12" w:space="0" w:color="7CBC3E"/>
            </w:tcBorders>
            <w:shd w:fill="EFF6EA" w:val="clear"/>
            <w:vAlign w:val="center"/>
          </w:tcPr>
          <w:p>
            <w:pPr>
              <w:pStyle w:val="TableContents"/>
              <w:spacing w:before="0" w:after="283"/>
              <w:jc w:val="center"/>
              <w:rPr/>
            </w:pPr>
            <w:r>
              <w:rPr/>
              <w:t>—</w:t>
            </w:r>
          </w:p>
        </w:tc>
        <w:tc>
          <w:tcPr>
            <w:tcW w:w="60" w:type="dxa"/>
            <w:tcBorders>
              <w:bottom w:val="single" w:sz="12" w:space="0" w:color="7CBC3E"/>
            </w:tcBorders>
            <w:shd w:fill="EFF6EA" w:val="clear"/>
            <w:vAlign w:val="center"/>
          </w:tcPr>
          <w:p>
            <w:pPr>
              <w:pStyle w:val="TableContents"/>
              <w:spacing w:before="0" w:after="283"/>
              <w:rPr/>
            </w:pPr>
            <w:r>
              <w:rPr/>
              <w:t> </w:t>
            </w:r>
          </w:p>
        </w:tc>
        <w:tc>
          <w:tcPr>
            <w:tcW w:w="1115" w:type="dxa"/>
            <w:tcBorders>
              <w:bottom w:val="single" w:sz="12" w:space="0" w:color="7CBC3E"/>
            </w:tcBorders>
            <w:shd w:fill="EFF6EA" w:val="clear"/>
            <w:vAlign w:val="center"/>
          </w:tcPr>
          <w:p>
            <w:pPr>
              <w:pStyle w:val="TableContents"/>
              <w:spacing w:before="0" w:after="283"/>
              <w:jc w:val="center"/>
              <w:rPr/>
            </w:pPr>
            <w:r>
              <w:rPr/>
              <w:t>686,136</w:t>
            </w:r>
          </w:p>
        </w:tc>
      </w:tr>
    </w:tbl>
    <w:p>
      <w:pPr>
        <w:pStyle w:val="TextBody"/>
        <w:spacing w:before="0" w:after="0"/>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17</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ind w:left="0" w:right="0" w:hanging="0"/>
        <w:jc w:val="both"/>
        <w:rPr>
          <w:rFonts w:ascii="Arial;Helvetica;Sans-Serif" w:hAnsi="Arial;Helvetica;Sans-Serif"/>
          <w:b/>
          <w:i w:val="false"/>
          <w:caps w:val="false"/>
          <w:smallCaps w:val="false"/>
          <w:sz w:val="28"/>
        </w:rPr>
      </w:pPr>
      <w:bookmarkStart w:id="23" w:name="lrarea021"/>
      <w:bookmarkEnd w:id="23"/>
      <w:r>
        <w:rPr>
          <w:rFonts w:ascii="Arial;Helvetica;Sans-Serif" w:hAnsi="Arial;Helvetica;Sans-Serif"/>
          <w:b/>
          <w:i w:val="false"/>
          <w:caps w:val="false"/>
          <w:smallCaps w:val="false"/>
          <w:sz w:val="28"/>
        </w:rPr>
        <w:t>Dilution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Dilution is commonly measured by “overhang,” which generally refers to the total number of equity awards outstanding plus the total number of shares available for grant under our equity plans, divided by the sum of the total common stock outstanding, the number of equity awards outstanding and the total number of shares available for grant under our equity plans. If the 2023 Plan is approved, our overhang will be approximately 23% as of April 3, 2023. Of the 11,030,602 stock options outstanding, many relate to underwater stock options. As shown above, we had approximately 11,030,602 stock options outstanding, with a weighted average exercise price of $67.05. That included 5,138,982 options currently exercisable, with a weighted average exercise price of $70.91, and 5,891,620 options not yet vested, with a weighted average exercise price of $88.71. That compares to a closing stock price on April 3, 2023, of $40.48. The 10,764,301 stock options currently underwater account for 12% of our overhang if the 2023 Plan is approved.</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24" w:name="lrarea022"/>
      <w:bookmarkEnd w:id="24"/>
      <w:r>
        <w:rPr>
          <w:rFonts w:ascii="Arial;Helvetica;Sans-Serif" w:hAnsi="Arial;Helvetica;Sans-Serif"/>
          <w:b/>
          <w:i w:val="false"/>
          <w:caps w:val="false"/>
          <w:smallCaps w:val="false"/>
          <w:sz w:val="28"/>
        </w:rPr>
        <w:t>Historical Burn Rate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equity plan share usage over 2020, 2021 and 2022 represented a three-year average burn rate of 4.45%, as described in the table below.</w:t>
      </w:r>
    </w:p>
    <w:p>
      <w:pPr>
        <w:pStyle w:val="TextBody"/>
        <w:spacing w:before="0" w:after="0"/>
        <w:ind w:left="0" w:right="0" w:hanging="0"/>
        <w:jc w:val="both"/>
        <w:rPr>
          <w:caps w:val="false"/>
          <w:smallCaps w:val="false"/>
        </w:rPr>
      </w:pPr>
      <w:r>
        <w:rPr>
          <w:caps w:val="false"/>
          <w:smallCaps w:val="false"/>
        </w:rPr>
        <w:t> </w:t>
      </w:r>
    </w:p>
    <w:tbl>
      <w:tblPr>
        <w:tblW w:w="11970" w:type="dxa"/>
        <w:jc w:val="left"/>
        <w:tblInd w:w="0" w:type="dxa"/>
        <w:tblCellMar>
          <w:top w:w="0" w:type="dxa"/>
          <w:left w:w="0" w:type="dxa"/>
          <w:bottom w:w="28" w:type="dxa"/>
          <w:right w:w="0" w:type="dxa"/>
        </w:tblCellMar>
      </w:tblPr>
      <w:tblGrid>
        <w:gridCol w:w="545"/>
        <w:gridCol w:w="60"/>
        <w:gridCol w:w="1595"/>
        <w:gridCol w:w="60"/>
        <w:gridCol w:w="1445"/>
        <w:gridCol w:w="60"/>
        <w:gridCol w:w="1415"/>
        <w:gridCol w:w="60"/>
        <w:gridCol w:w="1640"/>
        <w:gridCol w:w="60"/>
        <w:gridCol w:w="980"/>
        <w:gridCol w:w="60"/>
        <w:gridCol w:w="1490"/>
        <w:gridCol w:w="60"/>
        <w:gridCol w:w="1400"/>
        <w:gridCol w:w="60"/>
        <w:gridCol w:w="980"/>
      </w:tblGrid>
      <w:tr>
        <w:trPr/>
        <w:tc>
          <w:tcPr>
            <w:tcW w:w="545" w:type="dxa"/>
            <w:tcBorders>
              <w:bottom w:val="single" w:sz="12" w:space="0" w:color="7CBC3E"/>
            </w:tcBorders>
            <w:shd w:fill="auto" w:val="clear"/>
            <w:vAlign w:val="center"/>
          </w:tcPr>
          <w:p>
            <w:pPr>
              <w:pStyle w:val="TableContents"/>
              <w:spacing w:before="0" w:after="283"/>
              <w:jc w:val="both"/>
              <w:rPr>
                <w:b/>
              </w:rPr>
            </w:pPr>
            <w:r>
              <w:rPr>
                <w:b/>
              </w:rPr>
              <w:t>Year</w:t>
            </w:r>
          </w:p>
        </w:tc>
        <w:tc>
          <w:tcPr>
            <w:tcW w:w="60" w:type="dxa"/>
            <w:tcBorders>
              <w:bottom w:val="single" w:sz="12" w:space="0" w:color="7CBC3E"/>
            </w:tcBorders>
            <w:shd w:fill="auto" w:val="clear"/>
            <w:vAlign w:val="center"/>
          </w:tcPr>
          <w:p>
            <w:pPr>
              <w:pStyle w:val="TableContents"/>
              <w:spacing w:before="0" w:after="283"/>
              <w:rPr/>
            </w:pPr>
            <w:r>
              <w:rPr/>
              <w:t> </w:t>
            </w:r>
          </w:p>
        </w:tc>
        <w:tc>
          <w:tcPr>
            <w:tcW w:w="1595" w:type="dxa"/>
            <w:tcBorders>
              <w:bottom w:val="single" w:sz="12" w:space="0" w:color="7CBC3E"/>
            </w:tcBorders>
            <w:shd w:fill="auto" w:val="clear"/>
            <w:vAlign w:val="center"/>
          </w:tcPr>
          <w:p>
            <w:pPr>
              <w:pStyle w:val="TableContents"/>
              <w:spacing w:before="0" w:after="283"/>
              <w:jc w:val="center"/>
              <w:rPr>
                <w:b/>
              </w:rPr>
            </w:pPr>
            <w:r>
              <w:rPr>
                <w:b/>
              </w:rPr>
              <w:t>Weighted</w:t>
              <w:br/>
              <w:t>Average</w:t>
              <w:br/>
              <w:t>Common Stock</w:t>
              <w:br/>
              <w:t>Outstanding</w:t>
            </w:r>
          </w:p>
        </w:tc>
        <w:tc>
          <w:tcPr>
            <w:tcW w:w="60" w:type="dxa"/>
            <w:tcBorders>
              <w:bottom w:val="single" w:sz="12" w:space="0" w:color="7CBC3E"/>
            </w:tcBorders>
            <w:shd w:fill="auto" w:val="clear"/>
            <w:vAlign w:val="center"/>
          </w:tcPr>
          <w:p>
            <w:pPr>
              <w:pStyle w:val="TableContents"/>
              <w:spacing w:before="0" w:after="283"/>
              <w:rPr/>
            </w:pPr>
            <w:r>
              <w:rPr/>
              <w:t> </w:t>
            </w:r>
          </w:p>
        </w:tc>
        <w:tc>
          <w:tcPr>
            <w:tcW w:w="1445" w:type="dxa"/>
            <w:tcBorders>
              <w:bottom w:val="single" w:sz="12" w:space="0" w:color="7CBC3E"/>
            </w:tcBorders>
            <w:shd w:fill="auto" w:val="clear"/>
            <w:vAlign w:val="center"/>
          </w:tcPr>
          <w:p>
            <w:pPr>
              <w:pStyle w:val="TableContents"/>
              <w:spacing w:before="0" w:after="283"/>
              <w:jc w:val="center"/>
              <w:rPr>
                <w:b/>
              </w:rPr>
            </w:pPr>
            <w:r>
              <w:rPr>
                <w:b/>
              </w:rPr>
              <w:t>Time-based</w:t>
              <w:br/>
              <w:t>Stock Options</w:t>
              <w:br/>
              <w:t>Granted</w:t>
            </w:r>
          </w:p>
        </w:tc>
        <w:tc>
          <w:tcPr>
            <w:tcW w:w="60" w:type="dxa"/>
            <w:tcBorders>
              <w:bottom w:val="single" w:sz="12" w:space="0" w:color="7CBC3E"/>
            </w:tcBorders>
            <w:shd w:fill="auto" w:val="clear"/>
            <w:vAlign w:val="center"/>
          </w:tcPr>
          <w:p>
            <w:pPr>
              <w:pStyle w:val="TableContents"/>
              <w:spacing w:before="0" w:after="283"/>
              <w:rPr/>
            </w:pPr>
            <w:r>
              <w:rPr/>
              <w:t> </w:t>
            </w:r>
          </w:p>
        </w:tc>
        <w:tc>
          <w:tcPr>
            <w:tcW w:w="1415" w:type="dxa"/>
            <w:tcBorders>
              <w:bottom w:val="single" w:sz="12" w:space="0" w:color="7CBC3E"/>
            </w:tcBorders>
            <w:shd w:fill="auto" w:val="clear"/>
            <w:vAlign w:val="center"/>
          </w:tcPr>
          <w:p>
            <w:pPr>
              <w:pStyle w:val="TableContents"/>
              <w:spacing w:before="0" w:after="283"/>
              <w:jc w:val="center"/>
              <w:rPr>
                <w:b/>
              </w:rPr>
            </w:pPr>
            <w:r>
              <w:rPr>
                <w:b/>
              </w:rPr>
              <w:t>Performance-</w:t>
              <w:br/>
              <w:t>based Stock</w:t>
              <w:br/>
              <w:t>Options</w:t>
              <w:br/>
              <w:t>Granted</w:t>
            </w:r>
          </w:p>
        </w:tc>
        <w:tc>
          <w:tcPr>
            <w:tcW w:w="60" w:type="dxa"/>
            <w:tcBorders>
              <w:bottom w:val="single" w:sz="12" w:space="0" w:color="7CBC3E"/>
            </w:tcBorders>
            <w:shd w:fill="auto" w:val="clear"/>
            <w:vAlign w:val="center"/>
          </w:tcPr>
          <w:p>
            <w:pPr>
              <w:pStyle w:val="TableContents"/>
              <w:spacing w:before="0" w:after="283"/>
              <w:rPr/>
            </w:pPr>
            <w:r>
              <w:rPr/>
              <w:t> </w:t>
            </w:r>
          </w:p>
        </w:tc>
        <w:tc>
          <w:tcPr>
            <w:tcW w:w="1640" w:type="dxa"/>
            <w:tcBorders>
              <w:bottom w:val="single" w:sz="12" w:space="0" w:color="7CBC3E"/>
            </w:tcBorders>
            <w:shd w:fill="auto" w:val="clear"/>
            <w:vAlign w:val="center"/>
          </w:tcPr>
          <w:p>
            <w:pPr>
              <w:pStyle w:val="TableContents"/>
              <w:spacing w:before="0" w:after="283"/>
              <w:jc w:val="center"/>
              <w:rPr>
                <w:b/>
              </w:rPr>
            </w:pPr>
            <w:r>
              <w:rPr>
                <w:b/>
              </w:rPr>
              <w:t>Performance-</w:t>
              <w:br/>
              <w:t>based Stock</w:t>
              <w:br/>
              <w:t>Options Earned</w:t>
            </w:r>
          </w:p>
        </w:tc>
        <w:tc>
          <w:tcPr>
            <w:tcW w:w="60" w:type="dxa"/>
            <w:tcBorders>
              <w:bottom w:val="single" w:sz="12" w:space="0" w:color="7CBC3E"/>
            </w:tcBorders>
            <w:shd w:fill="auto" w:val="clear"/>
            <w:vAlign w:val="center"/>
          </w:tcPr>
          <w:p>
            <w:pPr>
              <w:pStyle w:val="TableContents"/>
              <w:spacing w:before="0" w:after="283"/>
              <w:rPr/>
            </w:pPr>
            <w:r>
              <w:rPr/>
              <w:t> </w:t>
            </w:r>
          </w:p>
        </w:tc>
        <w:tc>
          <w:tcPr>
            <w:tcW w:w="980" w:type="dxa"/>
            <w:tcBorders>
              <w:bottom w:val="single" w:sz="12" w:space="0" w:color="7CBC3E"/>
            </w:tcBorders>
            <w:shd w:fill="auto" w:val="clear"/>
            <w:vAlign w:val="center"/>
          </w:tcPr>
          <w:p>
            <w:pPr>
              <w:pStyle w:val="TableContents"/>
              <w:spacing w:before="0" w:after="283"/>
              <w:jc w:val="center"/>
              <w:rPr>
                <w:b/>
              </w:rPr>
            </w:pPr>
            <w:r>
              <w:rPr>
                <w:b/>
              </w:rPr>
              <w:t>RSUs</w:t>
              <w:br/>
              <w:t>Granted</w:t>
            </w:r>
          </w:p>
        </w:tc>
        <w:tc>
          <w:tcPr>
            <w:tcW w:w="60" w:type="dxa"/>
            <w:tcBorders>
              <w:bottom w:val="single" w:sz="12" w:space="0" w:color="7CBC3E"/>
            </w:tcBorders>
            <w:shd w:fill="auto" w:val="clear"/>
            <w:vAlign w:val="center"/>
          </w:tcPr>
          <w:p>
            <w:pPr>
              <w:pStyle w:val="TableContents"/>
              <w:spacing w:before="0" w:after="283"/>
              <w:rPr/>
            </w:pPr>
            <w:r>
              <w:rPr/>
              <w:t> </w:t>
            </w:r>
          </w:p>
        </w:tc>
        <w:tc>
          <w:tcPr>
            <w:tcW w:w="1490" w:type="dxa"/>
            <w:tcBorders>
              <w:bottom w:val="single" w:sz="12" w:space="0" w:color="7CBC3E"/>
            </w:tcBorders>
            <w:shd w:fill="auto" w:val="clear"/>
            <w:vAlign w:val="center"/>
          </w:tcPr>
          <w:p>
            <w:pPr>
              <w:pStyle w:val="TableContents"/>
              <w:spacing w:before="0" w:after="283"/>
              <w:jc w:val="center"/>
              <w:rPr>
                <w:b/>
              </w:rPr>
            </w:pPr>
            <w:r>
              <w:rPr>
                <w:b/>
              </w:rPr>
              <w:t>PSUs Granted</w:t>
            </w:r>
          </w:p>
        </w:tc>
        <w:tc>
          <w:tcPr>
            <w:tcW w:w="60" w:type="dxa"/>
            <w:tcBorders>
              <w:bottom w:val="single" w:sz="12" w:space="0" w:color="7CBC3E"/>
            </w:tcBorders>
            <w:shd w:fill="auto" w:val="clear"/>
            <w:vAlign w:val="center"/>
          </w:tcPr>
          <w:p>
            <w:pPr>
              <w:pStyle w:val="TableContents"/>
              <w:spacing w:before="0" w:after="283"/>
              <w:rPr/>
            </w:pPr>
            <w:r>
              <w:rPr/>
              <w:t> </w:t>
            </w:r>
          </w:p>
        </w:tc>
        <w:tc>
          <w:tcPr>
            <w:tcW w:w="1400" w:type="dxa"/>
            <w:tcBorders>
              <w:bottom w:val="single" w:sz="12" w:space="0" w:color="7CBC3E"/>
            </w:tcBorders>
            <w:shd w:fill="auto" w:val="clear"/>
            <w:vAlign w:val="center"/>
          </w:tcPr>
          <w:p>
            <w:pPr>
              <w:pStyle w:val="TableContents"/>
              <w:spacing w:before="0" w:after="283"/>
              <w:jc w:val="center"/>
              <w:rPr>
                <w:b/>
              </w:rPr>
            </w:pPr>
            <w:r>
              <w:rPr>
                <w:b/>
              </w:rPr>
              <w:t>PSUs Earned</w:t>
            </w:r>
          </w:p>
        </w:tc>
        <w:tc>
          <w:tcPr>
            <w:tcW w:w="60" w:type="dxa"/>
            <w:tcBorders>
              <w:bottom w:val="single" w:sz="12" w:space="0" w:color="7CBC3E"/>
            </w:tcBorders>
            <w:shd w:fill="auto" w:val="clear"/>
            <w:vAlign w:val="center"/>
          </w:tcPr>
          <w:p>
            <w:pPr>
              <w:pStyle w:val="TableContents"/>
              <w:spacing w:before="0" w:after="283"/>
              <w:rPr/>
            </w:pPr>
            <w:r>
              <w:rPr/>
              <w:t> </w:t>
            </w:r>
          </w:p>
        </w:tc>
        <w:tc>
          <w:tcPr>
            <w:tcW w:w="980" w:type="dxa"/>
            <w:tcBorders>
              <w:bottom w:val="single" w:sz="12" w:space="0" w:color="7CBC3E"/>
            </w:tcBorders>
            <w:shd w:fill="auto" w:val="clear"/>
            <w:vAlign w:val="center"/>
          </w:tcPr>
          <w:p>
            <w:pPr>
              <w:pStyle w:val="TableContents"/>
              <w:spacing w:before="0" w:after="283"/>
              <w:jc w:val="center"/>
              <w:rPr>
                <w:rFonts w:ascii="Arial;Helvetica;Sans-Serif" w:hAnsi="Arial;Helvetica;Sans-Serif"/>
                <w:b/>
                <w:sz w:val="18"/>
              </w:rPr>
            </w:pPr>
            <w:r>
              <w:rPr>
                <w:rFonts w:ascii="Arial;Helvetica;Sans-Serif" w:hAnsi="Arial;Helvetica;Sans-Serif"/>
                <w:b/>
                <w:sz w:val="18"/>
              </w:rPr>
              <w:t>Annualized</w:t>
              <w:br/>
              <w:t>Burn Rate</w:t>
            </w:r>
            <w:r>
              <w:rPr>
                <w:rFonts w:ascii="Arial;Helvetica;Sans-Serif" w:hAnsi="Arial;Helvetica;Sans-Serif"/>
                <w:b/>
                <w:position w:val="6"/>
                <w:sz w:val="14"/>
                <w:sz w:val="18"/>
              </w:rPr>
              <w:t>(1)</w:t>
            </w:r>
          </w:p>
        </w:tc>
      </w:tr>
      <w:tr>
        <w:trPr/>
        <w:tc>
          <w:tcPr>
            <w:tcW w:w="545" w:type="dxa"/>
            <w:tcBorders/>
            <w:shd w:fill="FFFFFF" w:val="clear"/>
            <w:tcMar>
              <w:bottom w:w="0" w:type="dxa"/>
            </w:tcMar>
            <w:vAlign w:val="center"/>
          </w:tcPr>
          <w:p>
            <w:pPr>
              <w:pStyle w:val="TableContents"/>
              <w:spacing w:before="0" w:after="283"/>
              <w:jc w:val="both"/>
              <w:rPr/>
            </w:pPr>
            <w:r>
              <w:rPr/>
              <w:t>2020</w:t>
            </w:r>
          </w:p>
        </w:tc>
        <w:tc>
          <w:tcPr>
            <w:tcW w:w="60" w:type="dxa"/>
            <w:tcBorders/>
            <w:shd w:fill="FFFFFF" w:val="clear"/>
            <w:tcMar>
              <w:bottom w:w="0" w:type="dxa"/>
            </w:tcMar>
            <w:vAlign w:val="center"/>
          </w:tcPr>
          <w:p>
            <w:pPr>
              <w:pStyle w:val="TableContents"/>
              <w:spacing w:before="0" w:after="283"/>
              <w:rPr/>
            </w:pPr>
            <w:r>
              <w:rPr/>
              <w:t> </w:t>
            </w:r>
          </w:p>
        </w:tc>
        <w:tc>
          <w:tcPr>
            <w:tcW w:w="1595" w:type="dxa"/>
            <w:tcBorders/>
            <w:shd w:fill="FFFFFF" w:val="clear"/>
            <w:tcMar>
              <w:bottom w:w="0" w:type="dxa"/>
            </w:tcMar>
            <w:vAlign w:val="center"/>
          </w:tcPr>
          <w:p>
            <w:pPr>
              <w:pStyle w:val="TableContents"/>
              <w:spacing w:before="0" w:after="283"/>
              <w:jc w:val="center"/>
              <w:rPr/>
            </w:pPr>
            <w:r>
              <w:rPr/>
              <w:t>60,845,550</w:t>
            </w:r>
          </w:p>
        </w:tc>
        <w:tc>
          <w:tcPr>
            <w:tcW w:w="60" w:type="dxa"/>
            <w:tcBorders/>
            <w:shd w:fill="FFFFFF" w:val="clear"/>
            <w:tcMar>
              <w:bottom w:w="0" w:type="dxa"/>
            </w:tcMar>
            <w:vAlign w:val="center"/>
          </w:tcPr>
          <w:p>
            <w:pPr>
              <w:pStyle w:val="TableContents"/>
              <w:spacing w:before="0" w:after="283"/>
              <w:rPr/>
            </w:pPr>
            <w:r>
              <w:rPr/>
              <w:t> </w:t>
            </w:r>
          </w:p>
        </w:tc>
        <w:tc>
          <w:tcPr>
            <w:tcW w:w="1445" w:type="dxa"/>
            <w:tcBorders/>
            <w:shd w:fill="FFFFFF" w:val="clear"/>
            <w:tcMar>
              <w:bottom w:w="0" w:type="dxa"/>
            </w:tcMar>
            <w:vAlign w:val="center"/>
          </w:tcPr>
          <w:p>
            <w:pPr>
              <w:pStyle w:val="TableContents"/>
              <w:spacing w:before="0" w:after="283"/>
              <w:jc w:val="center"/>
              <w:rPr/>
            </w:pPr>
            <w:r>
              <w:rPr/>
              <w:t>1,849,106</w:t>
            </w:r>
          </w:p>
        </w:tc>
        <w:tc>
          <w:tcPr>
            <w:tcW w:w="60" w:type="dxa"/>
            <w:tcBorders/>
            <w:shd w:fill="FFFFFF" w:val="clear"/>
            <w:tcMar>
              <w:bottom w:w="0" w:type="dxa"/>
            </w:tcMar>
            <w:vAlign w:val="center"/>
          </w:tcPr>
          <w:p>
            <w:pPr>
              <w:pStyle w:val="TableContents"/>
              <w:spacing w:before="0" w:after="283"/>
              <w:rPr/>
            </w:pPr>
            <w:r>
              <w:rPr/>
              <w:t> </w:t>
            </w:r>
          </w:p>
        </w:tc>
        <w:tc>
          <w:tcPr>
            <w:tcW w:w="1415" w:type="dxa"/>
            <w:tcBorders/>
            <w:shd w:fill="FFFFFF" w:val="clear"/>
            <w:tcMar>
              <w:bottom w:w="0" w:type="dxa"/>
            </w:tcMar>
            <w:vAlign w:val="center"/>
          </w:tcPr>
          <w:p>
            <w:pPr>
              <w:pStyle w:val="TableContents"/>
              <w:spacing w:before="0" w:after="283"/>
              <w:jc w:val="center"/>
              <w:rPr/>
            </w:pPr>
            <w:r>
              <w:rPr/>
              <w:t>0</w:t>
            </w:r>
          </w:p>
        </w:tc>
        <w:tc>
          <w:tcPr>
            <w:tcW w:w="60" w:type="dxa"/>
            <w:tcBorders/>
            <w:shd w:fill="FFFFFF" w:val="clear"/>
            <w:tcMar>
              <w:bottom w:w="0" w:type="dxa"/>
            </w:tcMar>
            <w:vAlign w:val="center"/>
          </w:tcPr>
          <w:p>
            <w:pPr>
              <w:pStyle w:val="TableContents"/>
              <w:spacing w:before="0" w:after="283"/>
              <w:rPr/>
            </w:pPr>
            <w:r>
              <w:rPr/>
              <w:t> </w:t>
            </w:r>
          </w:p>
        </w:tc>
        <w:tc>
          <w:tcPr>
            <w:tcW w:w="1640" w:type="dxa"/>
            <w:tcBorders/>
            <w:shd w:fill="FFFFFF" w:val="clear"/>
            <w:tcMar>
              <w:bottom w:w="0" w:type="dxa"/>
            </w:tcMar>
            <w:vAlign w:val="center"/>
          </w:tcPr>
          <w:p>
            <w:pPr>
              <w:pStyle w:val="TableContents"/>
              <w:spacing w:before="0" w:after="283"/>
              <w:jc w:val="center"/>
              <w:rPr/>
            </w:pPr>
            <w:r>
              <w:rPr/>
              <w:t>0</w:t>
            </w:r>
          </w:p>
        </w:tc>
        <w:tc>
          <w:tcPr>
            <w:tcW w:w="60" w:type="dxa"/>
            <w:tcBorders/>
            <w:shd w:fill="FFFFFF" w:val="clear"/>
            <w:tcMar>
              <w:bottom w:w="0" w:type="dxa"/>
            </w:tcMar>
            <w:vAlign w:val="center"/>
          </w:tcPr>
          <w:p>
            <w:pPr>
              <w:pStyle w:val="TableContents"/>
              <w:spacing w:before="0" w:after="283"/>
              <w:rPr/>
            </w:pPr>
            <w:r>
              <w:rPr/>
              <w:t> </w:t>
            </w:r>
          </w:p>
        </w:tc>
        <w:tc>
          <w:tcPr>
            <w:tcW w:w="980" w:type="dxa"/>
            <w:tcBorders/>
            <w:shd w:fill="FFFFFF" w:val="clear"/>
            <w:tcMar>
              <w:bottom w:w="0" w:type="dxa"/>
            </w:tcMar>
            <w:vAlign w:val="center"/>
          </w:tcPr>
          <w:p>
            <w:pPr>
              <w:pStyle w:val="TableContents"/>
              <w:spacing w:before="0" w:after="283"/>
              <w:jc w:val="center"/>
              <w:rPr/>
            </w:pPr>
            <w:r>
              <w:rPr/>
              <w:t>967,310</w:t>
            </w:r>
          </w:p>
        </w:tc>
        <w:tc>
          <w:tcPr>
            <w:tcW w:w="60" w:type="dxa"/>
            <w:tcBorders/>
            <w:shd w:fill="FFFFFF" w:val="clear"/>
            <w:tcMar>
              <w:bottom w:w="0" w:type="dxa"/>
            </w:tcMar>
            <w:vAlign w:val="center"/>
          </w:tcPr>
          <w:p>
            <w:pPr>
              <w:pStyle w:val="TableContents"/>
              <w:spacing w:before="0" w:after="283"/>
              <w:rPr/>
            </w:pPr>
            <w:r>
              <w:rPr/>
              <w:t> </w:t>
            </w:r>
          </w:p>
        </w:tc>
        <w:tc>
          <w:tcPr>
            <w:tcW w:w="1490" w:type="dxa"/>
            <w:tcBorders/>
            <w:shd w:fill="FFFFFF" w:val="clear"/>
            <w:tcMar>
              <w:bottom w:w="0" w:type="dxa"/>
            </w:tcMar>
            <w:vAlign w:val="center"/>
          </w:tcPr>
          <w:p>
            <w:pPr>
              <w:pStyle w:val="TableContents"/>
              <w:spacing w:before="0" w:after="283"/>
              <w:jc w:val="center"/>
              <w:rPr/>
            </w:pPr>
            <w:r>
              <w:rPr/>
              <w:t>47,600</w:t>
            </w:r>
          </w:p>
        </w:tc>
        <w:tc>
          <w:tcPr>
            <w:tcW w:w="60" w:type="dxa"/>
            <w:tcBorders/>
            <w:shd w:fill="FFFFFF" w:val="clear"/>
            <w:tcMar>
              <w:bottom w:w="0" w:type="dxa"/>
            </w:tcMar>
            <w:vAlign w:val="center"/>
          </w:tcPr>
          <w:p>
            <w:pPr>
              <w:pStyle w:val="TableContents"/>
              <w:spacing w:before="0" w:after="283"/>
              <w:rPr/>
            </w:pPr>
            <w:r>
              <w:rPr/>
              <w:t> </w:t>
            </w:r>
          </w:p>
        </w:tc>
        <w:tc>
          <w:tcPr>
            <w:tcW w:w="1400" w:type="dxa"/>
            <w:tcBorders/>
            <w:shd w:fill="FFFFFF" w:val="clear"/>
            <w:tcMar>
              <w:bottom w:w="0" w:type="dxa"/>
            </w:tcMar>
            <w:vAlign w:val="center"/>
          </w:tcPr>
          <w:p>
            <w:pPr>
              <w:pStyle w:val="TableContents"/>
              <w:spacing w:before="0" w:after="283"/>
              <w:jc w:val="center"/>
              <w:rPr/>
            </w:pPr>
            <w:r>
              <w:rPr/>
              <w:t>200,867</w:t>
            </w:r>
          </w:p>
        </w:tc>
        <w:tc>
          <w:tcPr>
            <w:tcW w:w="60" w:type="dxa"/>
            <w:tcBorders/>
            <w:shd w:fill="FFFFFF" w:val="clear"/>
            <w:tcMar>
              <w:bottom w:w="0" w:type="dxa"/>
            </w:tcMar>
            <w:vAlign w:val="center"/>
          </w:tcPr>
          <w:p>
            <w:pPr>
              <w:pStyle w:val="TableContents"/>
              <w:spacing w:before="0" w:after="283"/>
              <w:rPr/>
            </w:pPr>
            <w:r>
              <w:rPr/>
              <w:t> </w:t>
            </w:r>
          </w:p>
        </w:tc>
        <w:tc>
          <w:tcPr>
            <w:tcW w:w="980" w:type="dxa"/>
            <w:tcBorders/>
            <w:shd w:fill="FFFFFF" w:val="clear"/>
            <w:tcMar>
              <w:bottom w:w="0" w:type="dxa"/>
            </w:tcMar>
            <w:vAlign w:val="center"/>
          </w:tcPr>
          <w:p>
            <w:pPr>
              <w:pStyle w:val="TableContents"/>
              <w:spacing w:before="0" w:after="283"/>
              <w:jc w:val="center"/>
              <w:rPr/>
            </w:pPr>
            <w:r>
              <w:rPr/>
              <w:t>4.96%</w:t>
            </w:r>
          </w:p>
        </w:tc>
      </w:tr>
      <w:tr>
        <w:trPr/>
        <w:tc>
          <w:tcPr>
            <w:tcW w:w="545" w:type="dxa"/>
            <w:tcBorders/>
            <w:shd w:fill="EFF6EA" w:val="clear"/>
            <w:tcMar>
              <w:bottom w:w="0" w:type="dxa"/>
            </w:tcMar>
            <w:vAlign w:val="center"/>
          </w:tcPr>
          <w:p>
            <w:pPr>
              <w:pStyle w:val="TableContents"/>
              <w:spacing w:before="0" w:after="283"/>
              <w:jc w:val="both"/>
              <w:rPr/>
            </w:pPr>
            <w:r>
              <w:rPr/>
              <w:t>2021</w:t>
            </w:r>
          </w:p>
        </w:tc>
        <w:tc>
          <w:tcPr>
            <w:tcW w:w="60" w:type="dxa"/>
            <w:tcBorders/>
            <w:shd w:fill="EFF6EA" w:val="clear"/>
            <w:tcMar>
              <w:bottom w:w="0" w:type="dxa"/>
            </w:tcMar>
            <w:vAlign w:val="center"/>
          </w:tcPr>
          <w:p>
            <w:pPr>
              <w:pStyle w:val="TableContents"/>
              <w:spacing w:before="0" w:after="283"/>
              <w:rPr/>
            </w:pPr>
            <w:r>
              <w:rPr/>
              <w:t> </w:t>
            </w:r>
          </w:p>
        </w:tc>
        <w:tc>
          <w:tcPr>
            <w:tcW w:w="1595" w:type="dxa"/>
            <w:tcBorders/>
            <w:shd w:fill="EFF6EA" w:val="clear"/>
            <w:tcMar>
              <w:bottom w:w="0" w:type="dxa"/>
            </w:tcMar>
            <w:vAlign w:val="center"/>
          </w:tcPr>
          <w:p>
            <w:pPr>
              <w:pStyle w:val="TableContents"/>
              <w:spacing w:before="0" w:after="283"/>
              <w:jc w:val="center"/>
              <w:rPr/>
            </w:pPr>
            <w:r>
              <w:rPr/>
              <w:t>67,795,540</w:t>
            </w:r>
          </w:p>
        </w:tc>
        <w:tc>
          <w:tcPr>
            <w:tcW w:w="60" w:type="dxa"/>
            <w:tcBorders/>
            <w:shd w:fill="EFF6EA" w:val="clear"/>
            <w:tcMar>
              <w:bottom w:w="0" w:type="dxa"/>
            </w:tcMar>
            <w:vAlign w:val="center"/>
          </w:tcPr>
          <w:p>
            <w:pPr>
              <w:pStyle w:val="TableContents"/>
              <w:spacing w:before="0" w:after="283"/>
              <w:rPr/>
            </w:pPr>
            <w:r>
              <w:rPr/>
              <w:t> </w:t>
            </w:r>
          </w:p>
        </w:tc>
        <w:tc>
          <w:tcPr>
            <w:tcW w:w="1445" w:type="dxa"/>
            <w:tcBorders/>
            <w:shd w:fill="EFF6EA" w:val="clear"/>
            <w:tcMar>
              <w:bottom w:w="0" w:type="dxa"/>
            </w:tcMar>
            <w:vAlign w:val="center"/>
          </w:tcPr>
          <w:p>
            <w:pPr>
              <w:pStyle w:val="TableContents"/>
              <w:spacing w:before="0" w:after="283"/>
              <w:jc w:val="center"/>
              <w:rPr/>
            </w:pPr>
            <w:r>
              <w:rPr/>
              <w:t>1,217,820</w:t>
            </w:r>
          </w:p>
        </w:tc>
        <w:tc>
          <w:tcPr>
            <w:tcW w:w="60" w:type="dxa"/>
            <w:tcBorders/>
            <w:shd w:fill="EFF6EA" w:val="clear"/>
            <w:tcMar>
              <w:bottom w:w="0" w:type="dxa"/>
            </w:tcMar>
            <w:vAlign w:val="center"/>
          </w:tcPr>
          <w:p>
            <w:pPr>
              <w:pStyle w:val="TableContents"/>
              <w:spacing w:before="0" w:after="283"/>
              <w:rPr/>
            </w:pPr>
            <w:r>
              <w:rPr/>
              <w:t> </w:t>
            </w:r>
          </w:p>
        </w:tc>
        <w:tc>
          <w:tcPr>
            <w:tcW w:w="1415" w:type="dxa"/>
            <w:tcBorders/>
            <w:shd w:fill="EFF6EA" w:val="clear"/>
            <w:tcMar>
              <w:bottom w:w="0" w:type="dxa"/>
            </w:tcMar>
            <w:vAlign w:val="center"/>
          </w:tcPr>
          <w:p>
            <w:pPr>
              <w:pStyle w:val="TableContents"/>
              <w:spacing w:before="0" w:after="283"/>
              <w:jc w:val="center"/>
              <w:rPr/>
            </w:pPr>
            <w:r>
              <w:rPr/>
              <w:t>0</w:t>
            </w:r>
          </w:p>
        </w:tc>
        <w:tc>
          <w:tcPr>
            <w:tcW w:w="60" w:type="dxa"/>
            <w:tcBorders/>
            <w:shd w:fill="EFF6EA" w:val="clear"/>
            <w:tcMar>
              <w:bottom w:w="0" w:type="dxa"/>
            </w:tcMar>
            <w:vAlign w:val="center"/>
          </w:tcPr>
          <w:p>
            <w:pPr>
              <w:pStyle w:val="TableContents"/>
              <w:spacing w:before="0" w:after="283"/>
              <w:rPr/>
            </w:pPr>
            <w:r>
              <w:rPr/>
              <w:t> </w:t>
            </w:r>
          </w:p>
        </w:tc>
        <w:tc>
          <w:tcPr>
            <w:tcW w:w="1640" w:type="dxa"/>
            <w:tcBorders/>
            <w:shd w:fill="EFF6EA" w:val="clear"/>
            <w:tcMar>
              <w:bottom w:w="0" w:type="dxa"/>
            </w:tcMar>
            <w:vAlign w:val="center"/>
          </w:tcPr>
          <w:p>
            <w:pPr>
              <w:pStyle w:val="TableContents"/>
              <w:spacing w:before="0" w:after="283"/>
              <w:jc w:val="center"/>
              <w:rPr/>
            </w:pPr>
            <w:r>
              <w:rPr/>
              <w:t>0</w:t>
            </w:r>
          </w:p>
        </w:tc>
        <w:tc>
          <w:tcPr>
            <w:tcW w:w="60" w:type="dxa"/>
            <w:tcBorders/>
            <w:shd w:fill="EFF6EA" w:val="clear"/>
            <w:tcMar>
              <w:bottom w:w="0" w:type="dxa"/>
            </w:tcMar>
            <w:vAlign w:val="center"/>
          </w:tcPr>
          <w:p>
            <w:pPr>
              <w:pStyle w:val="TableContents"/>
              <w:spacing w:before="0" w:after="283"/>
              <w:rPr/>
            </w:pPr>
            <w:r>
              <w:rPr/>
              <w:t> </w:t>
            </w:r>
          </w:p>
        </w:tc>
        <w:tc>
          <w:tcPr>
            <w:tcW w:w="980" w:type="dxa"/>
            <w:tcBorders/>
            <w:shd w:fill="EFF6EA" w:val="clear"/>
            <w:tcMar>
              <w:bottom w:w="0" w:type="dxa"/>
            </w:tcMar>
            <w:vAlign w:val="center"/>
          </w:tcPr>
          <w:p>
            <w:pPr>
              <w:pStyle w:val="TableContents"/>
              <w:spacing w:before="0" w:after="283"/>
              <w:jc w:val="center"/>
              <w:rPr/>
            </w:pPr>
            <w:r>
              <w:rPr/>
              <w:t>738,905</w:t>
            </w:r>
          </w:p>
        </w:tc>
        <w:tc>
          <w:tcPr>
            <w:tcW w:w="60" w:type="dxa"/>
            <w:tcBorders/>
            <w:shd w:fill="EFF6EA" w:val="clear"/>
            <w:tcMar>
              <w:bottom w:w="0" w:type="dxa"/>
            </w:tcMar>
            <w:vAlign w:val="center"/>
          </w:tcPr>
          <w:p>
            <w:pPr>
              <w:pStyle w:val="TableContents"/>
              <w:spacing w:before="0" w:after="283"/>
              <w:rPr/>
            </w:pPr>
            <w:r>
              <w:rPr/>
              <w:t> </w:t>
            </w:r>
          </w:p>
        </w:tc>
        <w:tc>
          <w:tcPr>
            <w:tcW w:w="1490" w:type="dxa"/>
            <w:tcBorders/>
            <w:shd w:fill="EFF6EA" w:val="clear"/>
            <w:tcMar>
              <w:bottom w:w="0" w:type="dxa"/>
            </w:tcMar>
            <w:vAlign w:val="center"/>
          </w:tcPr>
          <w:p>
            <w:pPr>
              <w:pStyle w:val="TableContents"/>
              <w:spacing w:before="0" w:after="283"/>
              <w:jc w:val="center"/>
              <w:rPr/>
            </w:pPr>
            <w:r>
              <w:rPr/>
              <w:t>62,000</w:t>
            </w:r>
          </w:p>
        </w:tc>
        <w:tc>
          <w:tcPr>
            <w:tcW w:w="60" w:type="dxa"/>
            <w:tcBorders/>
            <w:shd w:fill="EFF6EA" w:val="clear"/>
            <w:tcMar>
              <w:bottom w:w="0" w:type="dxa"/>
            </w:tcMar>
            <w:vAlign w:val="center"/>
          </w:tcPr>
          <w:p>
            <w:pPr>
              <w:pStyle w:val="TableContents"/>
              <w:spacing w:before="0" w:after="283"/>
              <w:rPr/>
            </w:pPr>
            <w:r>
              <w:rPr/>
              <w:t> </w:t>
            </w:r>
          </w:p>
        </w:tc>
        <w:tc>
          <w:tcPr>
            <w:tcW w:w="1400" w:type="dxa"/>
            <w:tcBorders/>
            <w:shd w:fill="EFF6EA" w:val="clear"/>
            <w:tcMar>
              <w:bottom w:w="0" w:type="dxa"/>
            </w:tcMar>
            <w:vAlign w:val="center"/>
          </w:tcPr>
          <w:p>
            <w:pPr>
              <w:pStyle w:val="TableContents"/>
              <w:spacing w:before="0" w:after="283"/>
              <w:jc w:val="center"/>
              <w:rPr/>
            </w:pPr>
            <w:r>
              <w:rPr/>
              <w:t>168,274</w:t>
            </w:r>
          </w:p>
        </w:tc>
        <w:tc>
          <w:tcPr>
            <w:tcW w:w="60" w:type="dxa"/>
            <w:tcBorders/>
            <w:shd w:fill="EFF6EA" w:val="clear"/>
            <w:tcMar>
              <w:bottom w:w="0" w:type="dxa"/>
            </w:tcMar>
            <w:vAlign w:val="center"/>
          </w:tcPr>
          <w:p>
            <w:pPr>
              <w:pStyle w:val="TableContents"/>
              <w:spacing w:before="0" w:after="283"/>
              <w:rPr/>
            </w:pPr>
            <w:r>
              <w:rPr/>
              <w:t> </w:t>
            </w:r>
          </w:p>
        </w:tc>
        <w:tc>
          <w:tcPr>
            <w:tcW w:w="980" w:type="dxa"/>
            <w:tcBorders/>
            <w:shd w:fill="EFF6EA" w:val="clear"/>
            <w:tcMar>
              <w:bottom w:w="0" w:type="dxa"/>
            </w:tcMar>
            <w:vAlign w:val="center"/>
          </w:tcPr>
          <w:p>
            <w:pPr>
              <w:pStyle w:val="TableContents"/>
              <w:spacing w:before="0" w:after="283"/>
              <w:jc w:val="center"/>
              <w:rPr/>
            </w:pPr>
            <w:r>
              <w:rPr/>
              <w:t>3.13%</w:t>
            </w:r>
          </w:p>
        </w:tc>
      </w:tr>
      <w:tr>
        <w:trPr/>
        <w:tc>
          <w:tcPr>
            <w:tcW w:w="545" w:type="dxa"/>
            <w:tcBorders/>
            <w:shd w:fill="FFFFFF" w:val="clear"/>
            <w:tcMar>
              <w:bottom w:w="0" w:type="dxa"/>
            </w:tcMar>
            <w:vAlign w:val="center"/>
          </w:tcPr>
          <w:p>
            <w:pPr>
              <w:pStyle w:val="TableContents"/>
              <w:spacing w:before="0" w:after="283"/>
              <w:jc w:val="both"/>
              <w:rPr/>
            </w:pPr>
            <w:r>
              <w:rPr/>
              <w:t>2022</w:t>
            </w:r>
          </w:p>
        </w:tc>
        <w:tc>
          <w:tcPr>
            <w:tcW w:w="60" w:type="dxa"/>
            <w:tcBorders/>
            <w:shd w:fill="FFFFFF" w:val="clear"/>
            <w:tcMar>
              <w:bottom w:w="0" w:type="dxa"/>
            </w:tcMar>
            <w:vAlign w:val="center"/>
          </w:tcPr>
          <w:p>
            <w:pPr>
              <w:pStyle w:val="TableContents"/>
              <w:spacing w:before="0" w:after="283"/>
              <w:rPr/>
            </w:pPr>
            <w:r>
              <w:rPr/>
              <w:t> </w:t>
            </w:r>
          </w:p>
        </w:tc>
        <w:tc>
          <w:tcPr>
            <w:tcW w:w="1595" w:type="dxa"/>
            <w:tcBorders/>
            <w:shd w:fill="FFFFFF" w:val="clear"/>
            <w:tcMar>
              <w:bottom w:w="0" w:type="dxa"/>
            </w:tcMar>
            <w:vAlign w:val="center"/>
          </w:tcPr>
          <w:p>
            <w:pPr>
              <w:pStyle w:val="TableContents"/>
              <w:spacing w:before="0" w:after="283"/>
              <w:jc w:val="center"/>
              <w:rPr/>
            </w:pPr>
            <w:r>
              <w:rPr/>
              <w:t>69,914,225</w:t>
            </w:r>
          </w:p>
        </w:tc>
        <w:tc>
          <w:tcPr>
            <w:tcW w:w="60" w:type="dxa"/>
            <w:tcBorders/>
            <w:shd w:fill="FFFFFF" w:val="clear"/>
            <w:tcMar>
              <w:bottom w:w="0" w:type="dxa"/>
            </w:tcMar>
            <w:vAlign w:val="center"/>
          </w:tcPr>
          <w:p>
            <w:pPr>
              <w:pStyle w:val="TableContents"/>
              <w:spacing w:before="0" w:after="283"/>
              <w:rPr/>
            </w:pPr>
            <w:r>
              <w:rPr/>
              <w:t> </w:t>
            </w:r>
          </w:p>
        </w:tc>
        <w:tc>
          <w:tcPr>
            <w:tcW w:w="1445" w:type="dxa"/>
            <w:tcBorders/>
            <w:shd w:fill="FFFFFF" w:val="clear"/>
            <w:tcMar>
              <w:bottom w:w="0" w:type="dxa"/>
            </w:tcMar>
            <w:vAlign w:val="center"/>
          </w:tcPr>
          <w:p>
            <w:pPr>
              <w:pStyle w:val="TableContents"/>
              <w:spacing w:before="0" w:after="283"/>
              <w:jc w:val="center"/>
              <w:rPr/>
            </w:pPr>
            <w:r>
              <w:rPr/>
              <w:t>2,293,950</w:t>
            </w:r>
          </w:p>
        </w:tc>
        <w:tc>
          <w:tcPr>
            <w:tcW w:w="60" w:type="dxa"/>
            <w:tcBorders/>
            <w:shd w:fill="FFFFFF" w:val="clear"/>
            <w:tcMar>
              <w:bottom w:w="0" w:type="dxa"/>
            </w:tcMar>
            <w:vAlign w:val="center"/>
          </w:tcPr>
          <w:p>
            <w:pPr>
              <w:pStyle w:val="TableContents"/>
              <w:spacing w:before="0" w:after="283"/>
              <w:rPr/>
            </w:pPr>
            <w:r>
              <w:rPr/>
              <w:t> </w:t>
            </w:r>
          </w:p>
        </w:tc>
        <w:tc>
          <w:tcPr>
            <w:tcW w:w="1415" w:type="dxa"/>
            <w:tcBorders/>
            <w:shd w:fill="FFFFFF" w:val="clear"/>
            <w:tcMar>
              <w:bottom w:w="0" w:type="dxa"/>
            </w:tcMar>
            <w:vAlign w:val="center"/>
          </w:tcPr>
          <w:p>
            <w:pPr>
              <w:pStyle w:val="TableContents"/>
              <w:spacing w:before="0" w:after="283"/>
              <w:jc w:val="center"/>
              <w:rPr/>
            </w:pPr>
            <w:r>
              <w:rPr/>
              <w:t>1,827,449</w:t>
            </w:r>
          </w:p>
        </w:tc>
        <w:tc>
          <w:tcPr>
            <w:tcW w:w="60" w:type="dxa"/>
            <w:tcBorders/>
            <w:shd w:fill="FFFFFF" w:val="clear"/>
            <w:tcMar>
              <w:bottom w:w="0" w:type="dxa"/>
            </w:tcMar>
            <w:vAlign w:val="center"/>
          </w:tcPr>
          <w:p>
            <w:pPr>
              <w:pStyle w:val="TableContents"/>
              <w:spacing w:before="0" w:after="283"/>
              <w:rPr/>
            </w:pPr>
            <w:r>
              <w:rPr/>
              <w:t> </w:t>
            </w:r>
          </w:p>
        </w:tc>
        <w:tc>
          <w:tcPr>
            <w:tcW w:w="1640" w:type="dxa"/>
            <w:tcBorders/>
            <w:shd w:fill="FFFFFF" w:val="clear"/>
            <w:tcMar>
              <w:bottom w:w="0" w:type="dxa"/>
            </w:tcMar>
            <w:vAlign w:val="center"/>
          </w:tcPr>
          <w:p>
            <w:pPr>
              <w:pStyle w:val="TableContents"/>
              <w:spacing w:before="0" w:after="283"/>
              <w:jc w:val="center"/>
              <w:rPr/>
            </w:pPr>
            <w:r>
              <w:rPr/>
              <w:t>0</w:t>
            </w:r>
          </w:p>
        </w:tc>
        <w:tc>
          <w:tcPr>
            <w:tcW w:w="60" w:type="dxa"/>
            <w:tcBorders/>
            <w:shd w:fill="FFFFFF" w:val="clear"/>
            <w:tcMar>
              <w:bottom w:w="0" w:type="dxa"/>
            </w:tcMar>
            <w:vAlign w:val="center"/>
          </w:tcPr>
          <w:p>
            <w:pPr>
              <w:pStyle w:val="TableContents"/>
              <w:spacing w:before="0" w:after="283"/>
              <w:rPr/>
            </w:pPr>
            <w:r>
              <w:rPr/>
              <w:t> </w:t>
            </w:r>
          </w:p>
        </w:tc>
        <w:tc>
          <w:tcPr>
            <w:tcW w:w="980" w:type="dxa"/>
            <w:tcBorders/>
            <w:shd w:fill="FFFFFF" w:val="clear"/>
            <w:tcMar>
              <w:bottom w:w="0" w:type="dxa"/>
            </w:tcMar>
            <w:vAlign w:val="center"/>
          </w:tcPr>
          <w:p>
            <w:pPr>
              <w:pStyle w:val="TableContents"/>
              <w:spacing w:before="0" w:after="283"/>
              <w:jc w:val="center"/>
              <w:rPr/>
            </w:pPr>
            <w:r>
              <w:rPr/>
              <w:t>1,347,125</w:t>
            </w:r>
          </w:p>
        </w:tc>
        <w:tc>
          <w:tcPr>
            <w:tcW w:w="60" w:type="dxa"/>
            <w:tcBorders/>
            <w:shd w:fill="FFFFFF" w:val="clear"/>
            <w:tcMar>
              <w:bottom w:w="0" w:type="dxa"/>
            </w:tcMar>
            <w:vAlign w:val="center"/>
          </w:tcPr>
          <w:p>
            <w:pPr>
              <w:pStyle w:val="TableContents"/>
              <w:spacing w:before="0" w:after="283"/>
              <w:rPr/>
            </w:pPr>
            <w:r>
              <w:rPr/>
              <w:t> </w:t>
            </w:r>
          </w:p>
        </w:tc>
        <w:tc>
          <w:tcPr>
            <w:tcW w:w="1490" w:type="dxa"/>
            <w:tcBorders/>
            <w:shd w:fill="FFFFFF" w:val="clear"/>
            <w:tcMar>
              <w:bottom w:w="0" w:type="dxa"/>
            </w:tcMar>
            <w:vAlign w:val="center"/>
          </w:tcPr>
          <w:p>
            <w:pPr>
              <w:pStyle w:val="TableContents"/>
              <w:spacing w:before="0" w:after="283"/>
              <w:jc w:val="center"/>
              <w:rPr/>
            </w:pPr>
            <w:r>
              <w:rPr/>
              <w:t>166,730</w:t>
            </w:r>
          </w:p>
        </w:tc>
        <w:tc>
          <w:tcPr>
            <w:tcW w:w="60" w:type="dxa"/>
            <w:tcBorders/>
            <w:shd w:fill="FFFFFF" w:val="clear"/>
            <w:tcMar>
              <w:bottom w:w="0" w:type="dxa"/>
            </w:tcMar>
            <w:vAlign w:val="center"/>
          </w:tcPr>
          <w:p>
            <w:pPr>
              <w:pStyle w:val="TableContents"/>
              <w:spacing w:before="0" w:after="283"/>
              <w:rPr/>
            </w:pPr>
            <w:r>
              <w:rPr/>
              <w:t> </w:t>
            </w:r>
          </w:p>
        </w:tc>
        <w:tc>
          <w:tcPr>
            <w:tcW w:w="1400" w:type="dxa"/>
            <w:tcBorders/>
            <w:shd w:fill="FFFFFF" w:val="clear"/>
            <w:tcMar>
              <w:bottom w:w="0" w:type="dxa"/>
            </w:tcMar>
            <w:vAlign w:val="center"/>
          </w:tcPr>
          <w:p>
            <w:pPr>
              <w:pStyle w:val="TableContents"/>
              <w:spacing w:before="0" w:after="283"/>
              <w:jc w:val="center"/>
              <w:rPr/>
            </w:pPr>
            <w:r>
              <w:rPr/>
              <w:t>28,990</w:t>
            </w:r>
          </w:p>
        </w:tc>
        <w:tc>
          <w:tcPr>
            <w:tcW w:w="60" w:type="dxa"/>
            <w:tcBorders/>
            <w:shd w:fill="FFFFFF" w:val="clear"/>
            <w:tcMar>
              <w:bottom w:w="0" w:type="dxa"/>
            </w:tcMar>
            <w:vAlign w:val="center"/>
          </w:tcPr>
          <w:p>
            <w:pPr>
              <w:pStyle w:val="TableContents"/>
              <w:spacing w:before="0" w:after="283"/>
              <w:rPr/>
            </w:pPr>
            <w:r>
              <w:rPr/>
              <w:t> </w:t>
            </w:r>
          </w:p>
        </w:tc>
        <w:tc>
          <w:tcPr>
            <w:tcW w:w="980" w:type="dxa"/>
            <w:tcBorders/>
            <w:shd w:fill="FFFFFF" w:val="clear"/>
            <w:tcMar>
              <w:bottom w:w="0" w:type="dxa"/>
            </w:tcMar>
            <w:vAlign w:val="center"/>
          </w:tcPr>
          <w:p>
            <w:pPr>
              <w:pStyle w:val="TableContents"/>
              <w:spacing w:before="0" w:after="283"/>
              <w:jc w:val="center"/>
              <w:rPr/>
            </w:pPr>
            <w:r>
              <w:rPr/>
              <w:t>5.25%</w:t>
            </w:r>
          </w:p>
        </w:tc>
      </w:tr>
      <w:tr>
        <w:trPr/>
        <w:tc>
          <w:tcPr>
            <w:tcW w:w="3705" w:type="dxa"/>
            <w:gridSpan w:val="5"/>
            <w:tcBorders>
              <w:bottom w:val="single" w:sz="12" w:space="0" w:color="7CBC3E"/>
            </w:tcBorders>
            <w:shd w:fill="EFF6EA" w:val="clear"/>
            <w:vAlign w:val="center"/>
          </w:tcPr>
          <w:p>
            <w:pPr>
              <w:pStyle w:val="TableContents"/>
              <w:spacing w:before="0" w:after="283"/>
              <w:rPr>
                <w:b/>
              </w:rPr>
            </w:pPr>
            <w:r>
              <w:rPr>
                <w:b/>
              </w:rPr>
              <w:t>Three-Year Average</w:t>
            </w:r>
          </w:p>
        </w:tc>
        <w:tc>
          <w:tcPr>
            <w:tcW w:w="60" w:type="dxa"/>
            <w:tcBorders>
              <w:bottom w:val="single" w:sz="12" w:space="0" w:color="7CBC3E"/>
            </w:tcBorders>
            <w:shd w:fill="EFF6EA" w:val="clear"/>
            <w:vAlign w:val="center"/>
          </w:tcPr>
          <w:p>
            <w:pPr>
              <w:pStyle w:val="TableContents"/>
              <w:spacing w:before="0" w:after="283"/>
              <w:rPr/>
            </w:pPr>
            <w:r>
              <w:rPr/>
              <w:t> </w:t>
            </w:r>
          </w:p>
        </w:tc>
        <w:tc>
          <w:tcPr>
            <w:tcW w:w="1415" w:type="dxa"/>
            <w:tcBorders>
              <w:bottom w:val="single" w:sz="12" w:space="0" w:color="7CBC3E"/>
            </w:tcBorders>
            <w:shd w:fill="EFF6EA" w:val="clear"/>
            <w:vAlign w:val="center"/>
          </w:tcPr>
          <w:p>
            <w:pPr>
              <w:pStyle w:val="TableContents"/>
              <w:spacing w:before="0" w:after="283"/>
              <w:rPr/>
            </w:pPr>
            <w:r>
              <w:rPr/>
              <w:t> </w:t>
            </w:r>
          </w:p>
        </w:tc>
        <w:tc>
          <w:tcPr>
            <w:tcW w:w="60" w:type="dxa"/>
            <w:tcBorders>
              <w:bottom w:val="single" w:sz="12" w:space="0" w:color="7CBC3E"/>
            </w:tcBorders>
            <w:shd w:fill="EFF6EA" w:val="clear"/>
            <w:vAlign w:val="center"/>
          </w:tcPr>
          <w:p>
            <w:pPr>
              <w:pStyle w:val="TableContents"/>
              <w:spacing w:before="0" w:after="283"/>
              <w:rPr/>
            </w:pPr>
            <w:r>
              <w:rPr/>
              <w:t> </w:t>
            </w:r>
          </w:p>
        </w:tc>
        <w:tc>
          <w:tcPr>
            <w:tcW w:w="1640" w:type="dxa"/>
            <w:tcBorders>
              <w:bottom w:val="single" w:sz="12" w:space="0" w:color="7CBC3E"/>
            </w:tcBorders>
            <w:shd w:fill="EFF6EA" w:val="clear"/>
            <w:vAlign w:val="center"/>
          </w:tcPr>
          <w:p>
            <w:pPr>
              <w:pStyle w:val="TableContents"/>
              <w:spacing w:before="0" w:after="283"/>
              <w:rPr/>
            </w:pPr>
            <w:r>
              <w:rPr/>
              <w:t> </w:t>
            </w:r>
          </w:p>
        </w:tc>
        <w:tc>
          <w:tcPr>
            <w:tcW w:w="60" w:type="dxa"/>
            <w:tcBorders>
              <w:bottom w:val="single" w:sz="12" w:space="0" w:color="7CBC3E"/>
            </w:tcBorders>
            <w:shd w:fill="EFF6EA" w:val="clear"/>
            <w:vAlign w:val="center"/>
          </w:tcPr>
          <w:p>
            <w:pPr>
              <w:pStyle w:val="TableContents"/>
              <w:spacing w:before="0" w:after="283"/>
              <w:rPr/>
            </w:pPr>
            <w:r>
              <w:rPr/>
              <w:t> </w:t>
            </w:r>
          </w:p>
        </w:tc>
        <w:tc>
          <w:tcPr>
            <w:tcW w:w="980" w:type="dxa"/>
            <w:tcBorders>
              <w:bottom w:val="single" w:sz="12" w:space="0" w:color="7CBC3E"/>
            </w:tcBorders>
            <w:shd w:fill="EFF6EA" w:val="clear"/>
            <w:vAlign w:val="center"/>
          </w:tcPr>
          <w:p>
            <w:pPr>
              <w:pStyle w:val="TableContents"/>
              <w:spacing w:before="0" w:after="283"/>
              <w:rPr/>
            </w:pPr>
            <w:r>
              <w:rPr/>
              <w:t> </w:t>
            </w:r>
          </w:p>
        </w:tc>
        <w:tc>
          <w:tcPr>
            <w:tcW w:w="60" w:type="dxa"/>
            <w:tcBorders>
              <w:bottom w:val="single" w:sz="12" w:space="0" w:color="7CBC3E"/>
            </w:tcBorders>
            <w:shd w:fill="EFF6EA" w:val="clear"/>
            <w:vAlign w:val="center"/>
          </w:tcPr>
          <w:p>
            <w:pPr>
              <w:pStyle w:val="TableContents"/>
              <w:spacing w:before="0" w:after="283"/>
              <w:rPr/>
            </w:pPr>
            <w:r>
              <w:rPr/>
              <w:t> </w:t>
            </w:r>
          </w:p>
        </w:tc>
        <w:tc>
          <w:tcPr>
            <w:tcW w:w="1490" w:type="dxa"/>
            <w:tcBorders>
              <w:bottom w:val="single" w:sz="12" w:space="0" w:color="7CBC3E"/>
            </w:tcBorders>
            <w:shd w:fill="EFF6EA" w:val="clear"/>
            <w:vAlign w:val="center"/>
          </w:tcPr>
          <w:p>
            <w:pPr>
              <w:pStyle w:val="TableContents"/>
              <w:spacing w:before="0" w:after="283"/>
              <w:rPr/>
            </w:pPr>
            <w:r>
              <w:rPr/>
              <w:t> </w:t>
            </w:r>
          </w:p>
        </w:tc>
        <w:tc>
          <w:tcPr>
            <w:tcW w:w="60" w:type="dxa"/>
            <w:tcBorders>
              <w:bottom w:val="single" w:sz="12" w:space="0" w:color="7CBC3E"/>
            </w:tcBorders>
            <w:shd w:fill="EFF6EA" w:val="clear"/>
            <w:vAlign w:val="center"/>
          </w:tcPr>
          <w:p>
            <w:pPr>
              <w:pStyle w:val="TableContents"/>
              <w:spacing w:before="0" w:after="283"/>
              <w:rPr/>
            </w:pPr>
            <w:r>
              <w:rPr/>
              <w:t> </w:t>
            </w:r>
          </w:p>
        </w:tc>
        <w:tc>
          <w:tcPr>
            <w:tcW w:w="1400" w:type="dxa"/>
            <w:tcBorders>
              <w:bottom w:val="single" w:sz="12" w:space="0" w:color="7CBC3E"/>
            </w:tcBorders>
            <w:shd w:fill="EFF6EA" w:val="clear"/>
            <w:vAlign w:val="center"/>
          </w:tcPr>
          <w:p>
            <w:pPr>
              <w:pStyle w:val="TableContents"/>
              <w:spacing w:before="0" w:after="283"/>
              <w:rPr/>
            </w:pPr>
            <w:r>
              <w:rPr/>
              <w:t> </w:t>
            </w:r>
          </w:p>
        </w:tc>
        <w:tc>
          <w:tcPr>
            <w:tcW w:w="60" w:type="dxa"/>
            <w:tcBorders>
              <w:bottom w:val="single" w:sz="12" w:space="0" w:color="7CBC3E"/>
            </w:tcBorders>
            <w:shd w:fill="EFF6EA" w:val="clear"/>
            <w:vAlign w:val="center"/>
          </w:tcPr>
          <w:p>
            <w:pPr>
              <w:pStyle w:val="TableContents"/>
              <w:spacing w:before="0" w:after="283"/>
              <w:rPr/>
            </w:pPr>
            <w:r>
              <w:rPr/>
              <w:t> </w:t>
            </w:r>
          </w:p>
        </w:tc>
        <w:tc>
          <w:tcPr>
            <w:tcW w:w="980" w:type="dxa"/>
            <w:tcBorders>
              <w:bottom w:val="single" w:sz="12" w:space="0" w:color="7CBC3E"/>
            </w:tcBorders>
            <w:shd w:fill="EFF6EA" w:val="clear"/>
            <w:vAlign w:val="center"/>
          </w:tcPr>
          <w:p>
            <w:pPr>
              <w:pStyle w:val="TableContents"/>
              <w:spacing w:before="0" w:after="283"/>
              <w:jc w:val="center"/>
              <w:rPr>
                <w:b/>
              </w:rPr>
            </w:pPr>
            <w:r>
              <w:rPr>
                <w:b/>
              </w:rPr>
              <w:t>4.45%</w:t>
            </w:r>
          </w:p>
        </w:tc>
      </w:tr>
    </w:tbl>
    <w:tbl>
      <w:tblPr>
        <w:tblW w:w="10205" w:type="dxa"/>
        <w:jc w:val="left"/>
        <w:tblInd w:w="0" w:type="dxa"/>
        <w:tblCellMar>
          <w:top w:w="0" w:type="dxa"/>
          <w:left w:w="0" w:type="dxa"/>
          <w:bottom w:w="0" w:type="dxa"/>
          <w:right w:w="0" w:type="dxa"/>
        </w:tblCellMar>
      </w:tblPr>
      <w:tblGrid>
        <w:gridCol w:w="38"/>
        <w:gridCol w:w="250"/>
        <w:gridCol w:w="9917"/>
      </w:tblGrid>
      <w:tr>
        <w:trPr/>
        <w:tc>
          <w:tcPr>
            <w:tcW w:w="3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pPr>
            <w:r>
              <w:rPr/>
              <w:t>(1)</w:t>
            </w:r>
          </w:p>
        </w:tc>
        <w:tc>
          <w:tcPr>
            <w:tcW w:w="9917" w:type="dxa"/>
            <w:tcBorders/>
            <w:shd w:fill="auto" w:val="clear"/>
            <w:vAlign w:val="center"/>
          </w:tcPr>
          <w:p>
            <w:pPr>
              <w:pStyle w:val="TableContents"/>
              <w:spacing w:before="0" w:after="283"/>
              <w:jc w:val="both"/>
              <w:rPr/>
            </w:pPr>
            <w:r>
              <w:rPr/>
              <w:t>Annualized burn rate defined as: time-based stock options granted, performance-based stock options earned, RSUs granted and PSUs earned as a percentage of weighted average common shares outstanding.</w:t>
            </w:r>
          </w:p>
        </w:tc>
      </w:tr>
    </w:tbl>
    <w:p>
      <w:pPr>
        <w:pStyle w:val="TextBody"/>
        <w:spacing w:before="0" w:after="0"/>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25" w:name="lrarea023"/>
      <w:bookmarkEnd w:id="25"/>
      <w:r>
        <w:rPr>
          <w:rFonts w:ascii="Arial;Helvetica;Sans-Serif" w:hAnsi="Arial;Helvetica;Sans-Serif"/>
          <w:b/>
          <w:i w:val="false"/>
          <w:caps w:val="false"/>
          <w:smallCaps w:val="false"/>
          <w:sz w:val="28"/>
        </w:rPr>
        <w:t>Summary of the 2023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summary describes the material terms of the 2023 Plan. This summary of the 2023 Plan is not a complete description of all provisions of the 2023 Plan and is qualified in its entirety by reference to the 2023 Plan, which is attached hereto as Appendix A. Stockholders are encouraged to read the 2023 Plan in its entirety.</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26" w:name="lrarea024"/>
      <w:bookmarkEnd w:id="26"/>
      <w:r>
        <w:rPr>
          <w:rFonts w:ascii="Arial;Helvetica;Sans-Serif" w:hAnsi="Arial;Helvetica;Sans-Serif"/>
          <w:b/>
          <w:i w:val="false"/>
          <w:caps w:val="false"/>
          <w:smallCaps w:val="false"/>
          <w:sz w:val="28"/>
        </w:rPr>
        <w:t>Purpose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The purpose of the 2023 Plan is to advance the Company’s interests by providing for the grant to participants of equity and other incentive awards.</w:t>
      </w:r>
    </w:p>
    <w:p>
      <w:pPr>
        <w:pStyle w:val="TextBody"/>
        <w:spacing w:before="0" w:after="0"/>
        <w:ind w:left="0" w:right="0" w:hanging="0"/>
        <w:jc w:val="both"/>
        <w:rPr>
          <w:caps w:val="false"/>
          <w:smallCaps w:val="false"/>
          <w:color w:val="211D1E"/>
        </w:rPr>
      </w:pPr>
      <w:r>
        <w:rPr>
          <w:caps w:val="false"/>
          <w:smallCaps w:val="false"/>
          <w:color w:val="211D1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27" w:name="lrarea025"/>
      <w:bookmarkEnd w:id="27"/>
      <w:r>
        <w:rPr>
          <w:rFonts w:ascii="Arial;Helvetica;Sans-Serif" w:hAnsi="Arial;Helvetica;Sans-Serif"/>
          <w:b/>
          <w:i w:val="false"/>
          <w:caps w:val="false"/>
          <w:smallCaps w:val="false"/>
          <w:sz w:val="28"/>
        </w:rPr>
        <w:t>Plan Administration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The Compensation Committee serves as the primary administrator of the 2023 Plan, except that the Compensation Committee may, subject to applicable law, delegate authority to one or more members of the Board or one or more of our officers or employees (the Compensation Committee or such delegee, the “Plan Administrator”).</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The Plan Administrator has the authority to, among other things, (i) interpret and construe the 2023 Plan, any rules and regulations under the 2023 Plan and the terms and conditions of any award granted under the 2023 Plan, (ii) determine eligibility for and grant awards under the 2023 Plan, (iii) determine, modify or waive the terms and conditions of awards under the 2023 Plan, (iv) prescribe forms, rules and procedures relating to the 2023 Plan, (v) establish and verify the extent of satisfaction of any performance goals or other conditions applicable to the grant, issuance, retention, vesting, exercisability or settlement of any award under the 2023 Plan, and (vi) otherwise do all things necessary or appropriate to carry out the purposes of the 2023 Plan. The Plan Administrator’s determinations under the 2023 Plan are conclusive and binding.</w:t>
      </w:r>
    </w:p>
    <w:p>
      <w:pPr>
        <w:pStyle w:val="TextBody"/>
        <w:spacing w:before="0" w:after="0"/>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18</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ind w:left="0" w:right="0" w:hanging="0"/>
        <w:jc w:val="both"/>
        <w:rPr>
          <w:rFonts w:ascii="Arial;Helvetica;Sans-Serif" w:hAnsi="Arial;Helvetica;Sans-Serif"/>
          <w:b/>
          <w:i w:val="false"/>
          <w:caps w:val="false"/>
          <w:smallCaps w:val="false"/>
          <w:sz w:val="28"/>
        </w:rPr>
      </w:pPr>
      <w:bookmarkStart w:id="28" w:name="lrarea026"/>
      <w:bookmarkEnd w:id="28"/>
      <w:r>
        <w:rPr>
          <w:rFonts w:ascii="Arial;Helvetica;Sans-Serif" w:hAnsi="Arial;Helvetica;Sans-Serif"/>
          <w:b/>
          <w:i w:val="false"/>
          <w:caps w:val="false"/>
          <w:smallCaps w:val="false"/>
          <w:sz w:val="28"/>
        </w:rPr>
        <w:t>Authorized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Subject to adjustment as described below, the maximum number of shares of our common stock that may be delivered in satisfaction of awards under the 2023 Plan is (i) 4,500,000, plus (ii) the number of shares of common stock subject to any award under a Prior Plan as of the Effective Date of the 2023 Plan that become available as a result of the termination, cancellation or forfeiture of such awards under such Prior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Shares of our common stock to be issued under the 2023 Plan may be authorized but unissued shares of our common stock or previously issued shares acquired by us. If any shares of our common stock underlying awards that are settled in cash, canceled, forfeited or otherwise expire or lapse without being exercised (to the extent applicable), the shares of common stock allocable to the terminated portion of such award will again be available for issuance under the 2023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However, notwithstanding the foregoing, the following shares of common stock will not be available for issuance under the Plan: (a) shares withheld from an award under the 2023 Plan or a Prior Plan to satisfy the tax withholding obligations with respect to such award, (b) shares withheld from an award under the 2023 Plan or a Prior Plan in payment of the exercise price of an award requiring exercise, (c) shares repurchased on the open market by us using proceeds from the exercise price paid with respect to awards under the 2023 Plan or a Prior Plan, or (d) gross shares subject to an SAR granted under the 2023 Plan or a Prior Plan that are not issued in connection with the stock-settlement of such SAR.</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29" w:name="lrarea027"/>
      <w:bookmarkEnd w:id="29"/>
      <w:r>
        <w:rPr>
          <w:rFonts w:ascii="Arial;Helvetica;Sans-Serif" w:hAnsi="Arial;Helvetica;Sans-Serif"/>
          <w:b/>
          <w:i w:val="false"/>
          <w:caps w:val="false"/>
          <w:smallCaps w:val="false"/>
          <w:sz w:val="28"/>
        </w:rPr>
        <w:t>Limits on Non-Employee Director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aggregate dollar value of equity-based (based on the grant date fair value of equity-based awards determined for financial reporting purposes) and cash compensation granted under the 2023 Plan or otherwise to any one non-employee director during any fiscal year will not exceed $900,000, with up to $1,500,000 to be permitted for a non-employee director in the fiscal year he or she first joins our Board or is first designated as Chairman of our Board or Lead Director.</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30" w:name="lrarea028"/>
      <w:bookmarkEnd w:id="30"/>
      <w:r>
        <w:rPr>
          <w:rFonts w:ascii="Arial;Helvetica;Sans-Serif" w:hAnsi="Arial;Helvetica;Sans-Serif"/>
          <w:b/>
          <w:i w:val="false"/>
          <w:caps w:val="false"/>
          <w:smallCaps w:val="false"/>
          <w:sz w:val="28"/>
        </w:rPr>
        <w:t>Eligibility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Plan Administrator will select participants from among our, and our affiliates’, key employees, directors, consultants and advisors who are in a position to contribute significantly to our success and the success of our affiliates. Eligibility for options intended to be incentive stock options, or ISOs, is limited to our employees or the employees of certain of our affiliates. As of April 3, 2023, there were approximately 1,288 employees (including seven executive officers) and eight non-employee directors who would be eligible to participate in the 2023 Plan. As of April 3, 2023, no consultants or advisors would be eligible to participate in the 2023 Plan.</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31" w:name="lrarea029"/>
      <w:bookmarkEnd w:id="31"/>
      <w:r>
        <w:rPr>
          <w:rFonts w:ascii="Arial;Helvetica;Sans-Serif" w:hAnsi="Arial;Helvetica;Sans-Serif"/>
          <w:b/>
          <w:i w:val="false"/>
          <w:caps w:val="false"/>
          <w:smallCaps w:val="false"/>
          <w:sz w:val="28"/>
        </w:rPr>
        <w:t>Awards Under the 2023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2023 Plan provides for grants of stock options, SARs, restricted and unrestricted stock, stock units (including RSUs), performance awards, cash awards and other awards convertible into or otherwise based on shares of our common stock. Dividend equivalents may also be provided in connection with an award under the 2023 Plan (other than stock options and SARs), provided that such dividend equivalents will be subject to the same limits or restrictions as the awards to which they relate, and will not be payable until such awards vest.</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32" w:name="lrarea030"/>
      <w:bookmarkEnd w:id="32"/>
      <w:r>
        <w:rPr>
          <w:rFonts w:ascii="Arial;Helvetica;Sans-Serif" w:hAnsi="Arial;Helvetica;Sans-Serif"/>
          <w:b/>
          <w:i w:val="false"/>
          <w:caps w:val="false"/>
          <w:smallCaps w:val="false"/>
          <w:sz w:val="28"/>
        </w:rPr>
        <w:t>Stock Options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stock option is an award that entitles the participant to receive, upon exercise, shares of our common stock upon payment of the exercise price. The exercise price of an option may not be less than the fair market value (or, in the case of an ISO granted to a ten percent shareholder, 110% of the fair market value) of a share of our common stock on the date of grant. The Plan Administrator will determine the time or times at which stock options become exercisable and the terms on which they remain exercisable. The maximum term of a stock option is 10 years (or, in the case of an ISO granted to a ten percent shareholder, five years). Reload stock options are prohibited under the 2023 Plan.</w:t>
      </w:r>
    </w:p>
    <w:p>
      <w:pPr>
        <w:pStyle w:val="TextBody"/>
        <w:spacing w:before="0" w:after="0"/>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19</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ind w:left="0" w:right="0" w:hanging="0"/>
        <w:jc w:val="both"/>
        <w:rPr>
          <w:rFonts w:ascii="Arial;Helvetica;Sans-Serif" w:hAnsi="Arial;Helvetica;Sans-Serif"/>
          <w:b/>
          <w:i w:val="false"/>
          <w:caps w:val="false"/>
          <w:smallCaps w:val="false"/>
          <w:sz w:val="28"/>
        </w:rPr>
      </w:pPr>
      <w:bookmarkStart w:id="33" w:name="lrarea031"/>
      <w:bookmarkEnd w:id="33"/>
      <w:r>
        <w:rPr>
          <w:rFonts w:ascii="Arial;Helvetica;Sans-Serif" w:hAnsi="Arial;Helvetica;Sans-Serif"/>
          <w:b/>
          <w:i w:val="false"/>
          <w:caps w:val="false"/>
          <w:smallCaps w:val="false"/>
          <w:sz w:val="28"/>
        </w:rPr>
        <w:t>SARs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SARs entitle the participant to receive, upon exercise, shares of our common stock or cash equal to the excess of the value of the shares subject to the SAR over the exercise price. The exercise price of an SAR may not be less than the fair market value of a share of our common stock on the date of grant. The Plan Administrator will determine the time or times at which SARs become exercisable and the terms on which they remain exercisable. The maximum term of an SAR is 10 years.</w:t>
      </w:r>
    </w:p>
    <w:p>
      <w:pPr>
        <w:pStyle w:val="TextBody"/>
        <w:spacing w:before="0" w:after="0"/>
        <w:ind w:left="0" w:right="0" w:hanging="0"/>
        <w:jc w:val="both"/>
        <w:rPr>
          <w:caps w:val="false"/>
          <w:smallCaps w:val="false"/>
          <w:color w:val="211D1E"/>
        </w:rPr>
      </w:pPr>
      <w:r>
        <w:rPr>
          <w:caps w:val="false"/>
          <w:smallCaps w:val="false"/>
          <w:color w:val="211D1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34" w:name="lrarea032"/>
      <w:bookmarkEnd w:id="34"/>
      <w:r>
        <w:rPr>
          <w:rFonts w:ascii="Arial;Helvetica;Sans-Serif" w:hAnsi="Arial;Helvetica;Sans-Serif"/>
          <w:b/>
          <w:i w:val="false"/>
          <w:caps w:val="false"/>
          <w:smallCaps w:val="false"/>
          <w:sz w:val="28"/>
        </w:rPr>
        <w:t>Restricted and Unrestricted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A restricted stock award is an award of our common stock subject to restrictions requiring that it be redelivered or offered for sale to the Company if specified conditions are not satisfied, while an unrestricted stock award is award of our common stock that is not subject to any restrictions. The Plan Administrator will determine the terms of awards of restricted and unrestricted stock.</w:t>
      </w:r>
    </w:p>
    <w:p>
      <w:pPr>
        <w:pStyle w:val="TextBody"/>
        <w:spacing w:before="0" w:after="0"/>
        <w:ind w:left="0" w:right="0" w:hanging="0"/>
        <w:jc w:val="both"/>
        <w:rPr>
          <w:caps w:val="false"/>
          <w:smallCaps w:val="false"/>
          <w:color w:val="211D1E"/>
        </w:rPr>
      </w:pPr>
      <w:r>
        <w:rPr>
          <w:caps w:val="false"/>
          <w:smallCaps w:val="false"/>
          <w:color w:val="211D1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35" w:name="lrarea033"/>
      <w:bookmarkEnd w:id="35"/>
      <w:r>
        <w:rPr>
          <w:rFonts w:ascii="Arial;Helvetica;Sans-Serif" w:hAnsi="Arial;Helvetica;Sans-Serif"/>
          <w:b/>
          <w:i w:val="false"/>
          <w:caps w:val="false"/>
          <w:smallCaps w:val="false"/>
          <w:sz w:val="28"/>
        </w:rPr>
        <w:t>Stock Units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A stock unit award is denominated in shares of our common stock and entitles the participant to receive stock or cash measured by the value of the shares in the future. An RSU is a stock unit award that is subject to the satisfaction of performance conditions or other vesting conditions. The Plan Administrator will determine the terms of awards of stock units, including RSUs.</w:t>
      </w:r>
    </w:p>
    <w:p>
      <w:pPr>
        <w:pStyle w:val="TextBody"/>
        <w:spacing w:before="0" w:after="0"/>
        <w:ind w:left="0" w:right="0" w:hanging="0"/>
        <w:jc w:val="both"/>
        <w:rPr>
          <w:caps w:val="false"/>
          <w:smallCaps w:val="false"/>
          <w:color w:val="211D1E"/>
        </w:rPr>
      </w:pPr>
      <w:r>
        <w:rPr>
          <w:caps w:val="false"/>
          <w:smallCaps w:val="false"/>
          <w:color w:val="211D1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36" w:name="lrarea034"/>
      <w:bookmarkEnd w:id="36"/>
      <w:r>
        <w:rPr>
          <w:rFonts w:ascii="Arial;Helvetica;Sans-Serif" w:hAnsi="Arial;Helvetica;Sans-Serif"/>
          <w:b/>
          <w:i w:val="false"/>
          <w:caps w:val="false"/>
          <w:smallCaps w:val="false"/>
          <w:sz w:val="28"/>
        </w:rPr>
        <w:t>Performance Awards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performance award is an award under the 2023 Plan where the vesting, settlement or exercisability is subject to specified performance criteria.</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37" w:name="lrarea035"/>
      <w:bookmarkEnd w:id="37"/>
      <w:r>
        <w:rPr>
          <w:rFonts w:ascii="Arial;Helvetica;Sans-Serif" w:hAnsi="Arial;Helvetica;Sans-Serif"/>
          <w:b/>
          <w:i w:val="false"/>
          <w:caps w:val="false"/>
          <w:smallCaps w:val="false"/>
          <w:sz w:val="28"/>
        </w:rPr>
        <w:t>Cash Awards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Cash awards are awards under the 2023 Plan that are denominated in cash.</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38" w:name="lrarea036"/>
      <w:bookmarkEnd w:id="38"/>
      <w:r>
        <w:rPr>
          <w:rFonts w:ascii="Arial;Helvetica;Sans-Serif" w:hAnsi="Arial;Helvetica;Sans-Serif"/>
          <w:b/>
          <w:i w:val="false"/>
          <w:caps w:val="false"/>
          <w:smallCaps w:val="false"/>
          <w:sz w:val="28"/>
        </w:rPr>
        <w:t>Termination of Employment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Plan Administrator will determine the effect of termination of employment or service on an award under the 2023 Plan. Unless otherwise expressly provided by the Plan Administrator, upon a termination of a participant’s employment all unvested options then held by the participant and other awards requiring exercise will terminate and all other unvested awards will be forfeited and all vested stock options and SARs then held by the participant will remain outstanding for three months, or one year in the case of death, or, in each case, until the applicable expiration date, if earlier. All stock options and SARs held by a participant immediately prior to the participant’s termination of employment will immediately terminate upon termination of employment if the termination is for cause or occurs in circumstances that, in the determination of the Plan Administrator, would have constituted grounds for the participant’s employment to be terminated for cause.</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39" w:name="lrarea037"/>
      <w:bookmarkEnd w:id="39"/>
      <w:r>
        <w:rPr>
          <w:rFonts w:ascii="Arial;Helvetica;Sans-Serif" w:hAnsi="Arial;Helvetica;Sans-Serif"/>
          <w:b/>
          <w:i w:val="false"/>
          <w:caps w:val="false"/>
          <w:smallCaps w:val="false"/>
          <w:sz w:val="28"/>
        </w:rPr>
        <w:t>Transferability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Awards under the 2023 Plan may not be transferred except by will or by the laws of descent and distribution. For awards other than ISOs, the Plan Administrator may permit the transfer not for value to any transferee eligible to be covered by the provisions of Form S-8.</w:t>
      </w:r>
    </w:p>
    <w:p>
      <w:pPr>
        <w:pStyle w:val="TextBody"/>
        <w:spacing w:before="0" w:after="0"/>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20</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ind w:left="0" w:right="0" w:hanging="0"/>
        <w:jc w:val="both"/>
        <w:rPr>
          <w:rFonts w:ascii="Arial;Helvetica;Sans-Serif" w:hAnsi="Arial;Helvetica;Sans-Serif"/>
          <w:b/>
          <w:i w:val="false"/>
          <w:caps w:val="false"/>
          <w:smallCaps w:val="false"/>
          <w:sz w:val="28"/>
        </w:rPr>
      </w:pPr>
      <w:bookmarkStart w:id="40" w:name="lrarea038"/>
      <w:bookmarkEnd w:id="40"/>
      <w:r>
        <w:rPr>
          <w:rFonts w:ascii="Arial;Helvetica;Sans-Serif" w:hAnsi="Arial;Helvetica;Sans-Serif"/>
          <w:b/>
          <w:i w:val="false"/>
          <w:caps w:val="false"/>
          <w:smallCaps w:val="false"/>
          <w:sz w:val="28"/>
        </w:rPr>
        <w:t>Clawback; Recovery of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Awards granted under the 2023 Plan are subject to forfeiture, termination and rescission, and a participant will be obligated to return to us the value received with respect to awards, to the extent provided by the Plan Administrator in an award agreement, pursuant to Company policy relating to the recovery of erroneously-paid incentive compensation, including any clawback or recoupment policy adopted by the Company, or as otherwise required by law or applicable stock exchange listing standards.</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color w:val="211D1E"/>
          <w:sz w:val="28"/>
        </w:rPr>
      </w:pPr>
      <w:bookmarkStart w:id="41" w:name="lrarea039"/>
      <w:bookmarkEnd w:id="41"/>
      <w:r>
        <w:rPr>
          <w:rFonts w:ascii="Arial;Helvetica;Sans-Serif" w:hAnsi="Arial;Helvetica;Sans-Serif"/>
          <w:b/>
          <w:i w:val="false"/>
          <w:caps w:val="false"/>
          <w:smallCaps w:val="false"/>
          <w:color w:val="211D1E"/>
          <w:sz w:val="28"/>
        </w:rPr>
        <w:t>Covered Transaction</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In the event of a covered transaction (as defined in the 2023 Plan), the Plan Administrator may, among other things, provide for (i) continuation or assumption of outstanding awards, (ii) new grants in substitution of outstanding awards, (iii) the accelerated vesting or delivery of shares under awards or for a cash-out of outstanding awards, in each case on such terms and with such restrictions as it deems appropriate. However, if the award is not continued or assumed or a new grant is not substituted for the award, then stock options and SARs will become fully exercisable and all other awards shall become vested (with any performance based on target or actual performance as determined by the Plan Administrator).</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color w:val="211D1E"/>
          <w:sz w:val="28"/>
        </w:rPr>
      </w:pPr>
      <w:bookmarkStart w:id="42" w:name="lrarea040"/>
      <w:bookmarkEnd w:id="42"/>
      <w:r>
        <w:rPr>
          <w:rFonts w:ascii="Arial;Helvetica;Sans-Serif" w:hAnsi="Arial;Helvetica;Sans-Serif"/>
          <w:b/>
          <w:i w:val="false"/>
          <w:caps w:val="false"/>
          <w:smallCaps w:val="false"/>
          <w:color w:val="211D1E"/>
          <w:sz w:val="28"/>
        </w:rPr>
        <w:t>Prohibition Against Repricing</w:t>
      </w:r>
    </w:p>
    <w:p>
      <w:pPr>
        <w:pStyle w:val="TextBody"/>
        <w:spacing w:before="0" w:after="0"/>
        <w:ind w:left="0" w:right="0" w:hanging="0"/>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We will not, without stockholder approval (except in the case of a change in our capitalization, as described below), (a) reduce the exercise price of a stock option or SAR, (b) other than in the case of covered transaction, at any time when the exercise price of a stock option or SAR is above the fair market value of a share of stock, cancel and re-grant or exchange such stock option or SAR for cash or a new award having a lower (or no) exercise price, or (c) take any other action with respect to an award that would be treated as a repricing under generally accepted accounting principles.</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color w:val="211D1E"/>
          <w:sz w:val="28"/>
        </w:rPr>
      </w:pPr>
      <w:bookmarkStart w:id="43" w:name="lrarea041"/>
      <w:bookmarkEnd w:id="43"/>
      <w:r>
        <w:rPr>
          <w:rFonts w:ascii="Arial;Helvetica;Sans-Serif" w:hAnsi="Arial;Helvetica;Sans-Serif"/>
          <w:b/>
          <w:i w:val="false"/>
          <w:caps w:val="false"/>
          <w:smallCaps w:val="false"/>
          <w:color w:val="211D1E"/>
          <w:sz w:val="28"/>
        </w:rPr>
        <w:t>Adjustment</w:t>
      </w:r>
    </w:p>
    <w:p>
      <w:pPr>
        <w:pStyle w:val="TextBody"/>
        <w:spacing w:before="0" w:after="0"/>
        <w:ind w:left="0" w:right="0" w:hanging="0"/>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 xml:space="preserve">In the event of a stock dividend, stock split or combination of shares including a reverse stock split, recapitalization or other change in our capital structure that constitutes an equity restructuring within the meaning of the Financial Accounting Standards Board, Accounting Standards Codification Topic 718, </w:t>
      </w:r>
      <w:r>
        <w:rPr>
          <w:rFonts w:ascii="Arial;Helvetica;Sans-Serif" w:hAnsi="Arial;Helvetica;Sans-Serif"/>
          <w:b w:val="false"/>
          <w:i/>
          <w:caps w:val="false"/>
          <w:smallCaps w:val="false"/>
          <w:color w:val="211D1E"/>
          <w:sz w:val="18"/>
        </w:rPr>
        <w:t>Compensation — Stock Compensation</w:t>
      </w:r>
      <w:r>
        <w:rPr>
          <w:rFonts w:ascii="Arial;Helvetica;Sans-Serif" w:hAnsi="Arial;Helvetica;Sans-Serif"/>
          <w:b w:val="false"/>
          <w:i w:val="false"/>
          <w:caps w:val="false"/>
          <w:smallCaps w:val="false"/>
          <w:color w:val="211D1E"/>
          <w:sz w:val="18"/>
        </w:rPr>
        <w:t>, the Plan Administrator will make appropriate adjustments to the maximum number of shares that may be delivered under the 2023 Plan, and will also make appropriate adjustments to the number and kind of shares of stock or securities subject to awards, the exercise prices of such awards or any other terms of awards affected by such change. The Plan Administrator will also make the types of adjustments described above to take into account distributions and other events other than those listed above if it determines that such adjustments are appropriate to avoid distortion and preserve the value of awards.</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color w:val="211D1E"/>
          <w:sz w:val="28"/>
        </w:rPr>
      </w:pPr>
      <w:bookmarkStart w:id="44" w:name="lrarea042"/>
      <w:bookmarkEnd w:id="44"/>
      <w:r>
        <w:rPr>
          <w:rFonts w:ascii="Arial;Helvetica;Sans-Serif" w:hAnsi="Arial;Helvetica;Sans-Serif"/>
          <w:b/>
          <w:i w:val="false"/>
          <w:caps w:val="false"/>
          <w:smallCaps w:val="false"/>
          <w:color w:val="211D1E"/>
          <w:sz w:val="28"/>
        </w:rPr>
        <w:t>Amendment and Termination</w:t>
      </w:r>
    </w:p>
    <w:p>
      <w:pPr>
        <w:pStyle w:val="TextBody"/>
        <w:spacing w:before="0" w:after="0"/>
        <w:ind w:left="0" w:right="0" w:hanging="0"/>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The Plan Administrator will be able to amend the 2023 Plan or outstanding awards for any purpose which may at the time be permitted by law, or terminate the 2023 Plan as to future grants of awards, except that the Plan Administrator will not be able to alter the terms of an award if it would affect materially and adversely a participant’s rights under the award without the participant’s consent (unless expressly provided in the 2023 Plan or the right to alter the terms of an award was expressly reserved by the Plan Administrator at the time the award was granted). Stockholder approval will be required for any amendment to the 2023 Plan to the extent such approval is required by law, including the Internal Revenue Code of 1986, as amended (the “Code”), or applicable stock exchange requirements. No awards may be made under the 2023 after 10 years from the Effective Date.</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color w:val="211D1E"/>
          <w:sz w:val="28"/>
        </w:rPr>
      </w:pPr>
      <w:bookmarkStart w:id="45" w:name="lrarea043"/>
      <w:bookmarkEnd w:id="45"/>
      <w:r>
        <w:rPr>
          <w:rFonts w:ascii="Arial;Helvetica;Sans-Serif" w:hAnsi="Arial;Helvetica;Sans-Serif"/>
          <w:b/>
          <w:i w:val="false"/>
          <w:caps w:val="false"/>
          <w:smallCaps w:val="false"/>
          <w:color w:val="211D1E"/>
          <w:sz w:val="28"/>
        </w:rPr>
        <w:t>New Plan Benefits</w:t>
      </w:r>
    </w:p>
    <w:p>
      <w:pPr>
        <w:pStyle w:val="TextBody"/>
        <w:spacing w:before="0" w:after="0"/>
        <w:ind w:left="0" w:right="0" w:hanging="0"/>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As described above, the selection of participants who will receive awards under the 2023 Plan and the size and types of awards will be determined by the Plan Administrator in its discretion. Therefore, the amount of any future awards under the 2023 Plan is not yet determinable and it is not possible to predict the benefits or amounts that will be received by, or allocated to, particular individuals or groups of employees.</w:t>
      </w:r>
    </w:p>
    <w:p>
      <w:pPr>
        <w:pStyle w:val="TextBody"/>
        <w:spacing w:before="0" w:after="0"/>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21</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ind w:left="0" w:right="0" w:hanging="0"/>
        <w:jc w:val="both"/>
        <w:rPr>
          <w:rFonts w:ascii="Arial;Helvetica;Sans-Serif" w:hAnsi="Arial;Helvetica;Sans-Serif"/>
          <w:b/>
          <w:i w:val="false"/>
          <w:caps w:val="false"/>
          <w:smallCaps w:val="false"/>
          <w:sz w:val="28"/>
        </w:rPr>
      </w:pPr>
      <w:bookmarkStart w:id="46" w:name="lrarea044"/>
      <w:bookmarkEnd w:id="46"/>
      <w:r>
        <w:rPr>
          <w:rFonts w:ascii="Arial;Helvetica;Sans-Serif" w:hAnsi="Arial;Helvetica;Sans-Serif"/>
          <w:b/>
          <w:i w:val="false"/>
          <w:caps w:val="false"/>
          <w:smallCaps w:val="false"/>
          <w:sz w:val="28"/>
        </w:rPr>
        <w:t>Federal Income Tax Consequences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The following is a summary of the U.S. federal income tax treatment applicable to us and the participants who receive awards under the 2023 Plan based on the federal income tax laws in effect on the date of this Proxy Statement. This summary is not intended to be exhaustive and does not address all matters relevant to a particular participant based on their specific circumstances. The summary expressly does not discuss the income tax laws of any state, municipality, or non-U.S. taxing jurisdiction, or the gift, estate, excise (including the rules applicable to deferred compensation under Section 409A of the Code), or other tax laws other than U.S. federal income tax law. Because individual circumstances may vary, we recommend that all participants to consult their own tax advisor concerning the tax implications of awards granted under the 2023 Plan.</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47" w:name="lrarea045"/>
      <w:bookmarkEnd w:id="47"/>
      <w:r>
        <w:rPr>
          <w:rFonts w:ascii="Arial;Helvetica;Sans-Serif" w:hAnsi="Arial;Helvetica;Sans-Serif"/>
          <w:b/>
          <w:i w:val="false"/>
          <w:caps w:val="false"/>
          <w:smallCaps w:val="false"/>
          <w:sz w:val="28"/>
        </w:rPr>
        <w:t>Stock Option Grants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Stock options granted under the 2023 Plan may be either be ISOs, which satisfy the requirements of Section 422 of the Code, or non-statutory stock options (“NSOs”), which are not intended to meet such requirements. The U.S. federal income tax treatment for the two types of options differs as follows:</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48" w:name="lrarea046"/>
      <w:bookmarkEnd w:id="48"/>
      <w:r>
        <w:rPr>
          <w:rFonts w:ascii="Arial;Helvetica;Sans-Serif" w:hAnsi="Arial;Helvetica;Sans-Serif"/>
          <w:b/>
          <w:i w:val="false"/>
          <w:caps w:val="false"/>
          <w:smallCaps w:val="false"/>
          <w:sz w:val="28"/>
        </w:rPr>
        <w:t>Incentive Stock Options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taxable income is recognized by the participant at the time of the grant of an ISO, and no taxable income is recognized for ordinary income tax purposes at the time the ISO is exercised, although taxable income may arise at that time for alternative minimum tax purposes. Unless there is a disqualifying disposition, as described below, the participant will recognize long-term capital gain in an amount equal to the excess of (i) the amount realized upon the sale or other disposition of the purchased shares over (ii) the exercise price paid for the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disqualifying disposition occurs if the disposition is less than two years after the date of grant or less than one year after the exercise date. If there is a disqualifying disposition of the shares, then the excess of (i) the fair market value of those shares on the exercise date or (if less) the amount realized upon such sale or disposition over (ii) the exercise price paid for the shares will be taxable as ordinary income to the participant. Any additional gain or loss recognized upon the disposition will be a capital gain or loss.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the participant makes a disqualifying disposition of the purchased shares, then we will be entitled to an income tax deduction, for the taxable year in which such disposition occurs, equal to the amount of ordinary income recognized by the participant as a result of the disposition. We will not be entitled to any income tax deduction if the participant makes a qualifying disposition of the shares.</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49" w:name="lrarea047"/>
      <w:bookmarkEnd w:id="49"/>
      <w:r>
        <w:rPr>
          <w:rFonts w:ascii="Arial;Helvetica;Sans-Serif" w:hAnsi="Arial;Helvetica;Sans-Serif"/>
          <w:b/>
          <w:i w:val="false"/>
          <w:caps w:val="false"/>
          <w:smallCaps w:val="false"/>
          <w:sz w:val="28"/>
        </w:rPr>
        <w:t>Non-Statutory Stock Options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taxable income is recognized by a participant upon the grant of an NSO. The participant in general will recognize ordinary income, in the year in which the NSO is exercised, equal to the excess of the fair market value of the purchased shares on the exercise date over the exercise price paid for the shares, and the participant will be required to satisfy the tax withholding requirements applicable to such income. We will be entitled to an income tax deduction equal to the amount of ordinary income recognized by the participant with respect to the exercised non-statutory stock option.</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50" w:name="lrarea048"/>
      <w:bookmarkEnd w:id="50"/>
      <w:r>
        <w:rPr>
          <w:rFonts w:ascii="Arial;Helvetica;Sans-Serif" w:hAnsi="Arial;Helvetica;Sans-Serif"/>
          <w:b/>
          <w:i w:val="false"/>
          <w:caps w:val="false"/>
          <w:smallCaps w:val="false"/>
          <w:sz w:val="28"/>
        </w:rPr>
        <w:t>SARs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No taxable income is recognized upon receipt of an SAR. The holder will recognize ordinary income in the year in which the SAR is exercised, in an amount equal to the excess of (i) the fair market value of the underlying shares of common stock on the exercise date over (ii) the base price in effect for the exercised right, and the holder will be required to satisfy the tax withholding requirements applicable to such income. We will be entitled to an income tax deduction equal to the amount of ordinary income recognized by the holder in connection with the exercise of the SAR.</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51" w:name="lrarea049"/>
      <w:bookmarkEnd w:id="51"/>
      <w:r>
        <w:rPr>
          <w:rFonts w:ascii="Arial;Helvetica;Sans-Serif" w:hAnsi="Arial;Helvetica;Sans-Serif"/>
          <w:b/>
          <w:i w:val="false"/>
          <w:caps w:val="false"/>
          <w:smallCaps w:val="false"/>
          <w:sz w:val="28"/>
        </w:rPr>
        <w:t>Stock Awards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Participants will recognize ordinary income at the time unrestricted stock awards are granted in an amount equal to the excess of (i) the fair market value of the shares on the grant date over (ii) the cash consideration (if any) paid for the shares.</w:t>
      </w:r>
    </w:p>
    <w:p>
      <w:pPr>
        <w:pStyle w:val="TextBody"/>
        <w:spacing w:before="0" w:after="0"/>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22</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No taxable income is recognized at the time restricted stock awards are issued, but the participant will have to report as ordinary income, as and when those shares subsequently vest, an amount equal to the excess of (i) the fair market value of the shares on the vesting date over (ii) the cash consideration (if any) paid for the shares. The participant may, however, elect under Section 83(b) of the Code to include as ordinary income in the year the unvested shares are issued an amount equal to the excess of (a) the fair market value of those shares on the issue date over (b) the cash consideration (if any) paid for such shares. If the Section 83(b) election is made, the participant will not recognize any additional income as and when the shares subsequently vest.</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We will be entitled to an income tax deduction equal to the amount of ordinary income recognized by the participant at the time such ordinary income is recognized by the participant.</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52" w:name="lrarea050"/>
      <w:bookmarkEnd w:id="52"/>
      <w:r>
        <w:rPr>
          <w:rFonts w:ascii="Arial;Helvetica;Sans-Serif" w:hAnsi="Arial;Helvetica;Sans-Serif"/>
          <w:b/>
          <w:i w:val="false"/>
          <w:caps w:val="false"/>
          <w:smallCaps w:val="false"/>
          <w:sz w:val="28"/>
        </w:rPr>
        <w:t>Other Awards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Generally, no taxable income is recognized upon receipt of stock units (including RSUs), performance awards or cash awards. The holder will recognize ordinary income in the year in which the shares subject to the award are actually issued or in the year in which the award is settled in cash. The amount of that income will be equal to the fair market value of the shares on the date of issuance or the amount of the cash paid in settlement of the award, and the holder will be required to satisfy the tax withholding requirements applicable to the income.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will be entitled to an income tax deduction equal to the amount of ordinary income recognized by the holder at the time the shares are issued or the cash amount is paid.</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53" w:name="lrarea051"/>
      <w:bookmarkEnd w:id="53"/>
      <w:r>
        <w:rPr>
          <w:rFonts w:ascii="Arial;Helvetica;Sans-Serif" w:hAnsi="Arial;Helvetica;Sans-Serif"/>
          <w:b/>
          <w:i w:val="false"/>
          <w:caps w:val="false"/>
          <w:smallCaps w:val="false"/>
          <w:sz w:val="28"/>
        </w:rPr>
        <w:t>Deductibility of Executive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Section 162(m) of the Code limits the deductibility for federal income tax purposes of certain compensation paid to any “covered employee” in excess of $1 million. For purposes of Section 162(m), the term “covered employee” includes any individual who serves as chief executive officer, chief financial officer or one of the other three most highly compensated executive officers for 2017 or any subsequent calendar year. It is expected that compensation deductions for any covered employee with respect to awards under the 2023 Plan will be subject to the $1 million annual deduction limitation.</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54" w:name="lrarea052"/>
      <w:bookmarkEnd w:id="54"/>
      <w:r>
        <w:rPr>
          <w:rFonts w:ascii="Arial;Helvetica;Sans-Serif" w:hAnsi="Arial;Helvetica;Sans-Serif"/>
          <w:b/>
          <w:i w:val="false"/>
          <w:caps w:val="false"/>
          <w:smallCaps w:val="false"/>
          <w:sz w:val="28"/>
        </w:rPr>
        <w:t>Vote Required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Approval of the 2023 Plan requires the affirmative vote of a majority of the votes cast on this proposal. Because abstentions and broker non-votes, if any, are not counted as votes cast for or against this resolution, they will have no effect on the outcome of the vote.</w:t>
      </w:r>
    </w:p>
    <w:p>
      <w:pPr>
        <w:pStyle w:val="TextBody"/>
        <w:spacing w:before="0" w:after="0"/>
        <w:ind w:left="0" w:right="0" w:hanging="0"/>
        <w:jc w:val="both"/>
        <w:rPr>
          <w:caps w:val="false"/>
          <w:smallCaps w:val="false"/>
        </w:rPr>
      </w:pPr>
      <w:r>
        <w:rPr>
          <w:caps w:val="false"/>
          <w:smallCaps w:val="false"/>
        </w:rPr>
        <w:t> </w:t>
      </w:r>
    </w:p>
    <w:tbl>
      <w:tblPr>
        <w:tblW w:w="7115" w:type="dxa"/>
        <w:jc w:val="left"/>
        <w:tblInd w:w="0" w:type="dxa"/>
        <w:tblCellMar>
          <w:top w:w="0" w:type="dxa"/>
          <w:left w:w="0" w:type="dxa"/>
          <w:bottom w:w="0" w:type="dxa"/>
          <w:right w:w="0" w:type="dxa"/>
        </w:tblCellMar>
      </w:tblPr>
      <w:tblGrid>
        <w:gridCol w:w="315"/>
        <w:gridCol w:w="6800"/>
      </w:tblGrid>
      <w:tr>
        <w:trPr/>
        <w:tc>
          <w:tcPr>
            <w:tcW w:w="315" w:type="dxa"/>
            <w:tcBorders/>
            <w:shd w:fill="ECF4E3" w:val="clear"/>
            <w:vAlign w:val="center"/>
          </w:tcPr>
          <w:p>
            <w:pPr>
              <w:pStyle w:val="TableContents"/>
              <w:spacing w:before="0" w:after="283"/>
              <w:jc w:val="left"/>
              <w:rPr/>
            </w:pPr>
            <w:r>
              <w:rPr/>
              <w:drawing>
                <wp:inline distT="0" distB="0" distL="0" distR="0">
                  <wp:extent cx="190500" cy="190500"/>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48"/>
                          <a:stretch>
                            <a:fillRect/>
                          </a:stretch>
                        </pic:blipFill>
                        <pic:spPr bwMode="auto">
                          <a:xfrm>
                            <a:off x="0" y="0"/>
                            <a:ext cx="190500" cy="190500"/>
                          </a:xfrm>
                          <a:prstGeom prst="rect">
                            <a:avLst/>
                          </a:prstGeom>
                        </pic:spPr>
                      </pic:pic>
                    </a:graphicData>
                  </a:graphic>
                </wp:inline>
              </w:drawing>
            </w:r>
          </w:p>
        </w:tc>
        <w:tc>
          <w:tcPr>
            <w:tcW w:w="6800" w:type="dxa"/>
            <w:tcBorders/>
            <w:shd w:fill="ECF4E3" w:val="clear"/>
            <w:vAlign w:val="center"/>
          </w:tcPr>
          <w:p>
            <w:pPr>
              <w:pStyle w:val="TableContents"/>
              <w:spacing w:before="0" w:after="283"/>
              <w:jc w:val="left"/>
              <w:rPr>
                <w:rFonts w:ascii="Arial;Helvetica;Sans-Serif" w:hAnsi="Arial;Helvetica;Sans-Serif"/>
                <w:b/>
                <w:sz w:val="18"/>
              </w:rPr>
            </w:pPr>
            <w:r>
              <w:rPr>
                <w:rFonts w:ascii="Arial;Helvetica;Sans-Serif" w:hAnsi="Arial;Helvetica;Sans-Serif"/>
                <w:b/>
                <w:sz w:val="18"/>
              </w:rPr>
              <w:t>THE BOARD OF DIRECTORS RECOMMENDS A VOTE “</w:t>
            </w:r>
            <w:r>
              <w:rPr>
                <w:rFonts w:ascii="Arial;Helvetica;Sans-Serif" w:hAnsi="Arial;Helvetica;Sans-Serif"/>
                <w:b/>
                <w:color w:val="7CBC3E"/>
                <w:sz w:val="18"/>
              </w:rPr>
              <w:t>FOR</w:t>
            </w:r>
            <w:r>
              <w:rPr>
                <w:rFonts w:ascii="Arial;Helvetica;Sans-Serif" w:hAnsi="Arial;Helvetica;Sans-Serif"/>
                <w:b/>
                <w:sz w:val="18"/>
              </w:rPr>
              <w:t>” PROPOSAL NO. 2.</w:t>
            </w:r>
          </w:p>
        </w:tc>
      </w:tr>
    </w:tbl>
    <w:p>
      <w:pPr>
        <w:pStyle w:val="TextBody"/>
        <w:spacing w:before="0" w:after="0"/>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23</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ind w:left="0" w:right="0" w:hanging="0"/>
        <w:jc w:val="both"/>
        <w:rPr>
          <w:rFonts w:ascii="Arial;Helvetica;Sans-Serif" w:hAnsi="Arial;Helvetica;Sans-Serif"/>
          <w:b/>
          <w:i w:val="false"/>
          <w:caps w:val="false"/>
          <w:smallCaps w:val="false"/>
          <w:color w:val="743F7B"/>
          <w:sz w:val="28"/>
        </w:rPr>
      </w:pPr>
      <w:bookmarkStart w:id="55" w:name="lrarea053"/>
      <w:bookmarkEnd w:id="55"/>
      <w:r>
        <w:rPr>
          <w:rFonts w:ascii="Arial;Helvetica;Sans-Serif" w:hAnsi="Arial;Helvetica;Sans-Serif"/>
          <w:b/>
          <w:i w:val="false"/>
          <w:caps w:val="false"/>
          <w:smallCaps w:val="false"/>
          <w:color w:val="743F7B"/>
          <w:sz w:val="28"/>
        </w:rPr>
        <w:t>PROPOSAL 3</w:t>
      </w:r>
    </w:p>
    <w:p>
      <w:pPr>
        <w:pStyle w:val="Heading2"/>
        <w:spacing w:before="0" w:after="0"/>
        <w:ind w:left="0" w:right="0" w:hanging="0"/>
        <w:rPr>
          <w:rFonts w:ascii="Arial;Helvetica;Sans-Serif" w:hAnsi="Arial;Helvetica;Sans-Serif"/>
          <w:b/>
          <w:i w:val="false"/>
          <w:caps w:val="false"/>
          <w:smallCaps w:val="false"/>
          <w:color w:val="7CBC3E"/>
          <w:sz w:val="40"/>
        </w:rPr>
      </w:pPr>
      <w:r>
        <w:rPr>
          <w:rFonts w:ascii="Arial;Helvetica;Sans-Serif" w:hAnsi="Arial;Helvetica;Sans-Serif"/>
          <w:b/>
          <w:i w:val="false"/>
          <w:caps w:val="false"/>
          <w:smallCaps w:val="false"/>
          <w:color w:val="7CBC3E"/>
          <w:sz w:val="40"/>
        </w:rPr>
        <w:t>Approval of the Amended and Restated Ultragenyx Pharmaceutical Inc. 2014 Employee Stock Purchase Plan</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On April 20, 2023, the Board approved an amendment and restatement of the Ultragenyx Pharmaceutical, Inc. 2014 Employee Stock Purchase Plan, as amended on June 9, 2016 (ESPP and as amended and restated, the A&amp;R ESPP), subject to stockholder approval at the Annual Meeting. In addition to several other changes, the A&amp;R ESPP provides for an additional 1,400,000 shares of our common stock to be available for issuance thereunder and extends the term of the ESPP until the earliest of (a) the A&amp;R ESPP’s termination in accordance with the terms of the plan, (b) the issuance of all shares of stock available for issuance under the plan or (c) June 7, 2033. If the A&amp;R ESPP is approved by our stockholders, we intend to file a Form S-8 with the SEC following the Annual Meeting that covers the additional shares reserved for issuance under the A&amp;R ESPP.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of April 3, 2023, 5,405,257 shares of our common stock remained available for issuance under the ESPP. The proposed increase in the number of shares authorized for issuance under the A&amp;R ESPP represents approximately 2% of our outstanding common stock as of December 31, 2022. If this proposal is not approved, the ESPP will terminate in 2024. The ESPP serves as an important component of our employee compensation program, as it helps to attract and retain employees by providing eligible employees with the opportunity to become Company stockholders at favorable prices and participate in the Company’s success, aligning the interests of participating employees with those of stockholders. The Board believes the termination if the ESPP would negatively impact our ability to attract and retain talent and promote stock ownership by employees.</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56" w:name="lrarea054"/>
      <w:bookmarkEnd w:id="56"/>
      <w:r>
        <w:rPr>
          <w:rFonts w:ascii="Arial;Helvetica;Sans-Serif" w:hAnsi="Arial;Helvetica;Sans-Serif"/>
          <w:b/>
          <w:i w:val="false"/>
          <w:caps w:val="false"/>
          <w:smallCaps w:val="false"/>
          <w:sz w:val="28"/>
        </w:rPr>
        <w:t>Summary of the A&amp;R ESPP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summary describes the material terms of the A&amp;R ESPP. This summary of the A&amp;R ESPP is not a complete description of all provisions of the A&amp;R ESPP and is qualified in its entirety by reference to the A&amp;R ESPP, which is attached hereto as Appendix B. Stockholders are encouraged to read the A&amp;R ESPP in its entirety.</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Purpose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A&amp;R ESPP is intended to enable eligible employees of the Company and its designated subsidiaries to use payroll deductions to purchase shares of our common stock, and thereby acquire an interest in the future of the Company. The A&amp;R ESPP is intended to qualify for favorable tax treatment as an “employee stock purchase plan” under Section 423 of the Code; however, sub-plans that do not meet the requirements of Section 423 of the Code may be established for the benefit of eligible employees of non-U.S. subsidiaries of the Company.</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Administration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The Compensation Committee serves as the primary administrator of the A&amp;R ESPP, except that the Compensation Committee may delegate authority, subject to applicable law, to one or more members of the Board or one or more of our officers or employees (the Compensation Committee or such delegee, the “ESPP Administrator”).</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ESPP Administrator will have the authority to determine any questions which may arise regarding the interpretation and application of the provisions of the A&amp;R ESPP and to make, administer, and interpret such rules and regulations as it deems necessary or advisable. All determinations and decisions by the ESPP Administrator regarding the A&amp;R ESPP will be final and binding on all participants. The ESPP Administrator may adopt rules or procedures relating to the operation and administration of the A&amp;R ESPP to accommodate the specific requirements of local laws and procedures, including to adopt sub-plans for participants outside of the United States.</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Eligibility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All employees of the Company or a designated subsidiary of the Company (as defined in the A&amp;R ESPP) who (a) have been continuously employed by the Company or a designated subsidiary for at least six months as of the first day of any option period (as defined below), (b) customarily work 20 hours or more per week, and (c) satisfy the requirements set forth in the A&amp;R ESPP will be eligible to participate in the A&amp;R ESPP. Employees will not be eligible to receive a grant under the A&amp;R ESPP if, immediately after the grant, the employee would own (or pursuant to Section 424(d) of the Code would be deemed to own) stock possessing 5% or more of the total combined voting power or value of all classes of stock of the Company or of its parent or subsidiaries, if any. The ESPP Administrator may, for option periods that have not yet commenced, establish additional eligibility requirements, provided that they are consistent with Section 423 of the Code. As of April 3, 2023, approximately 1,073 employees will be eligible to participate in the A&amp;R ESPP.</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Shares Available under the A&amp;R ESPP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The maximum aggregate number of shares of our common stock available for purchase pursuant to the exercise of options granted under the A&amp;R ESPP is 7,330,914,which includes 5,930,914 shares previously available for issuance under the A&amp;R ESPP prior to June 7, 2023. Those shares of our common stock may either be shares of authorized but unissued common stock, common stock held as treasury shares, or common stock acquired in an open-market transaction, all as the Board may determine.</w:t>
      </w:r>
    </w:p>
    <w:p>
      <w:pPr>
        <w:pStyle w:val="TextBody"/>
        <w:spacing w:before="0" w:after="0"/>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24</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If any option granted under the A&amp;R ESPP expires or terminates for any reason without having been exercised in full or ceases for any reason to be exercisable in whole or in part, the unpurchased shares of common stock subject to such option will again be available for purchase pursuant to the exercise of options under the A&amp;R ESPP.</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If the total number of shares to be purchased by all participants on any exercise date (as defined below) exceeds the number of shares remaining available for issuance under the A&amp;R ESPP, the ESPP Administrator will make a pro rata allocation of the remaining available number of shares in as uniform a manner as possible and as the ESPP Administrator determines to be equitable. In such event, the ESPP Administrator will give written notice to each Participant of such reduction and will similarly reduce the rate of payroll deductions, if necessary.</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Option Periods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A&amp;R ESPP is generally implemented by a series of “option periods”. Unless otherwise specified by the ESPP Administrator, option periods will be the six-month periods commencing May 1 and ending October 31 and commencing November 1 and ending April 30 of each year. Each of October 31 and April 30 will be an “exercise date”. The ESPP Administrator may change the exercise date and the commencement date, ending date and duration of the option periods to the extent permitted by Section 423 of the Code. Option periods may not be longer than 27 months in accordance with Section 423 of the Code.</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Payroll Deductions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In order to participate in an option period, an eligible employee must execute and submit a payroll deduction and participation authorization form no later than 10 business days prior to the first day of any option period, or such other time as specified by the ESPP Administrator. The ESPP Administrator may specify the manner in which employees are to provide notices and payroll deduction authorizations. Participants in the A&amp;R ESPP will continue to participate in future option periods until their participation is terminated, and the applicable payroll deduction authorization will stay in effect until it is cancelled or until a new authorization is filed no later than 10 days prior to the first day of an options period.</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Each payroll deduction authorization will request a deduction in amount expressed as a whole percentage between 1% and 15%, and all payroll deductions will be credited to the participant’s account. No interest will be paid on any amount held in the account of any participant.</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During the option period, payroll deduction authorizations may not be increased or decreased, although the authorization may be terminated by cancelling the option in accordance with the terms of the A&amp;R ESPP.</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Option Grant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On the first day of each option period, each participant automatically will be granted an option to acquire shares of common stock of the Company on the exercise date. However, a participant cannot accrue rights to purchase more than $25,000 (or any other maximum that may be prescribed by the Code) in fair market value of stock for each calendar year in which an option is outstanding. All participants granted options under the A&amp;R ESPP will have the same rights and privileges consistent with the requirements set forth in Section 423 of the Code.</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Purchase Price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purchase price of shares of our common stock issued pursuant to the exercise of an option on each exercise date will be 85% (or such greater percentage specified by the ESPP Administrator to the extent permitted under Section 423 of the Code) of the lesser of the fair market value of a share of our common stock (a) on the day that the option is granted (the first day of the option period) and (b) on the exercise date.</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Exercise of Options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On the applicable exercise date, each participant will be deemed to have exercised his or her option and the accumulated payroll deductions in the participant’s account will be applied to purchase the greatest number of whole shares of our common stock (rounded down to the nearest whole share) that can be purchased with such account balance at the applicable purchase price, which will be placed, in book-entry form, into a record keeping account in the name of the participant. However, no more than 10,000 shares of common stock may be purchased by a participant on any exercise date, or such lesser number as the ESPP Administrator may prescribe in accordance with Section 423 of the Code.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payroll deductions accumulated in a participant’s account that are not sufficient to purchase a full share will be retained in the participant’s account for the subsequent option period (subject to earlier withdrawal in accordance with the terms of the A&amp;R ESPP). Any other amounts of payroll deductions in a participant’s account that are not used for the purchase of shares of stock, whether because of the participant’s withdrawal, because the amount would enable the participant to purchase more than the 10,000 share maximum or for any other reason, will be returned to the participant, without interest, as soon as administratively practicable after such withdrawal, exercise date or other event, as applicable.</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Cancellation and Withdrawal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Participants may cancel all (but not less than all) of their option and terminate their payroll deduction authorization by delivering a written notice revoking their authorization to the ESPP Administrator not later than 15 business days prior to the exercise date (or such other time as specified by the ESPP Administrator) in respect of which the revocation is to be effective.</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Upon such termination and cancellation, the balance in the participant’s account will be returned to the participant, without interest, as soon as administratively practicable thereafter. A participant that reduces his or her withholding rate for future payroll periods to zero will be deemed to have revoked his or her payroll deduction authorization and cancelled his or her option.</w:t>
      </w:r>
    </w:p>
    <w:p>
      <w:pPr>
        <w:pStyle w:val="TextBody"/>
        <w:spacing w:before="0" w:after="0"/>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25</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4"/>
        <w:spacing w:before="0" w:after="0"/>
        <w:ind w:left="0" w:right="0" w:hanging="0"/>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Termination of Employment or Eligibility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Upon the termination of a participant’s employment with the Company (or a designated subsidiary, as applicable) for any reason or if a participant loses eligibility to participate in the A&amp;R ESPP, the participant’s option will be deemed cancelled, the balance in the participant’s account will be returned to the participant (or his or her estate or designated beneficiary in the event of the participant’s death), without interest, as soon as administratively practicable, and the participant will have no other rights under the A&amp;R ESPP.</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Transfer Restrictions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participant’s rights with respect to options granted under the A&amp;R ESPP will only be exercisable during the participant’s lifetime and only by the participant, and the options may not be sold, pledge or transferred in any manner.</w:t>
      </w:r>
    </w:p>
    <w:p>
      <w:pPr>
        <w:pStyle w:val="TextBody"/>
        <w:spacing w:before="0" w:after="0"/>
        <w:ind w:left="0" w:right="0" w:hanging="0"/>
        <w:jc w:val="both"/>
        <w:rPr>
          <w:caps w:val="false"/>
          <w:smallCaps w:val="false"/>
        </w:rPr>
      </w:pPr>
      <w:r>
        <w:rPr>
          <w:caps w:val="false"/>
          <w:smallCaps w:val="false"/>
        </w:rPr>
        <w:t> </w:t>
      </w:r>
    </w:p>
    <w:p>
      <w:pPr>
        <w:pStyle w:val="Heading5"/>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Adjustments Upon Change in Capitalization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In the event of any change in our outstanding common stock by reason of a stock dividend, split-up, recapitalization, merger, consolidation, reorganization, or other capital change, the aggregate number and type of shares of stock available under the A&amp;R ESPP, the number and type of shares of stock granted under any outstanding options, the maximum number and type of shares of stock purchasable under any outstanding option, and the purchase price per share of stock under any outstanding option will be appropriately adjusted, provided that the ESPP Administrator is satisfied that such adjustment will not constitute a modification of the rights granted under the A&amp;R ESPP or otherwise disqualify the A&amp;R ESPP as an employee stock purchase plan under the provisions of Section 423 of the Code.</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Mergers/Corporate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In the event of a sale of all or substantially all of the Company’s stock or assets, or a merger or similar transaction in which the Company does not survive or is acquired by another person, the ESPP Administrator may, in its discretion, (a) where applicable, provide for the assumption, substitution or exchange of outstanding options, (b) cancel each outstanding option and return the balances in a participant’s account to the participant, and/or (c) terminate the option period, in accordance with the terms of the A&amp;R ESPP, on or before the date of the proposed sale, merger or similar transaction.</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A&amp;R ESPP Amendment and Termination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may amend the A&amp;R ESPP to any extent and in any manner it may deem advisable, provided, that any amendment that would be treated as the adoption of a new plan for purposes of Section 423 of the Code will require stockholder approval within 12 months before or after its adoption.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may suspend or terminate the A&amp;R ESPP at any time, and, in connection with such termination or suspension, may provide, in its sole discretion, either that outstanding options will be exercisable either at the exercise date for the applicable option period or on such earlier date as the Board may specify, or that the balance of each participant’s account will be returned to the participant, without interest.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ESSP originally became effective on February 5, 2014, and this amendment and restatement of the A&amp;R ESPP, will become effective on June 7, 2023, subject to stockholder approval, and will continue in effect until the earliest to occur of (a) the A&amp;R ESPP’s termination in accordance with the terms of the A&amp;R ESPP, (b) the issuance of all shares of stock available for issuance under the A&amp;R ESPP or (c) June 7, 2033.</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57" w:name="lrarea055"/>
      <w:bookmarkEnd w:id="57"/>
      <w:r>
        <w:rPr>
          <w:rFonts w:ascii="Arial;Helvetica;Sans-Serif" w:hAnsi="Arial;Helvetica;Sans-Serif"/>
          <w:b/>
          <w:i w:val="false"/>
          <w:caps w:val="false"/>
          <w:smallCaps w:val="false"/>
          <w:sz w:val="28"/>
        </w:rPr>
        <w:t>New A&amp;R ESPP Benefits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benefits that will be received by or allocated to eligible employees under the A&amp;R ESPP cannot be determined at this time because the amount of payroll deductions contributed to purchase shares of our common stock under the A&amp;R ESPP is entirely within the discretion of each participant (subject to the limitations discussed above).</w:t>
      </w:r>
    </w:p>
    <w:p>
      <w:pPr>
        <w:pStyle w:val="TextBody"/>
        <w:spacing w:before="0" w:after="0"/>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26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ind w:left="0" w:right="0" w:hanging="0"/>
        <w:jc w:val="both"/>
        <w:rPr>
          <w:rFonts w:ascii="Arial;Helvetica;Sans-Serif" w:hAnsi="Arial;Helvetica;Sans-Serif"/>
          <w:b/>
          <w:i w:val="false"/>
          <w:caps w:val="false"/>
          <w:smallCaps w:val="false"/>
          <w:sz w:val="28"/>
        </w:rPr>
      </w:pPr>
      <w:bookmarkStart w:id="58" w:name="lrarea056"/>
      <w:bookmarkEnd w:id="58"/>
      <w:r>
        <w:rPr>
          <w:rFonts w:ascii="Arial;Helvetica;Sans-Serif" w:hAnsi="Arial;Helvetica;Sans-Serif"/>
          <w:b/>
          <w:i w:val="false"/>
          <w:caps w:val="false"/>
          <w:smallCaps w:val="false"/>
          <w:sz w:val="28"/>
        </w:rPr>
        <w:t>Existing A&amp;R ESPP Benefits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Pursuant to SEC rules, the following table sets forth, with respect to the groups named below, the number of shares of our common stock that were purchased since inception of the ESPP through April 3,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associate of any director, executive officer or director nominee has purchased shares under the ESPP, and no person has purchased 5% or more of all shares purchased under the ESPP.</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7440"/>
        <w:gridCol w:w="60"/>
        <w:gridCol w:w="2629"/>
        <w:gridCol w:w="76"/>
      </w:tblGrid>
      <w:tr>
        <w:trPr/>
        <w:tc>
          <w:tcPr>
            <w:tcW w:w="7440" w:type="dxa"/>
            <w:tcBorders>
              <w:bottom w:val="single" w:sz="12" w:space="0" w:color="7CBC3E"/>
            </w:tcBorders>
            <w:shd w:fill="auto" w:val="clear"/>
            <w:vAlign w:val="center"/>
          </w:tcPr>
          <w:p>
            <w:pPr>
              <w:pStyle w:val="TableContents"/>
              <w:spacing w:before="0" w:after="283"/>
              <w:jc w:val="left"/>
              <w:rPr>
                <w:b/>
              </w:rPr>
            </w:pPr>
            <w:r>
              <w:rPr>
                <w:b/>
              </w:rPr>
              <w:t>Name and Position</w:t>
            </w:r>
          </w:p>
        </w:tc>
        <w:tc>
          <w:tcPr>
            <w:tcW w:w="60" w:type="dxa"/>
            <w:tcBorders>
              <w:bottom w:val="single" w:sz="12" w:space="0" w:color="7CBC3E"/>
            </w:tcBorders>
            <w:shd w:fill="auto" w:val="clear"/>
            <w:vAlign w:val="center"/>
          </w:tcPr>
          <w:p>
            <w:pPr>
              <w:pStyle w:val="TableContents"/>
              <w:spacing w:before="0" w:after="283"/>
              <w:rPr/>
            </w:pPr>
            <w:r>
              <w:rPr/>
              <w:t> </w:t>
            </w:r>
          </w:p>
        </w:tc>
        <w:tc>
          <w:tcPr>
            <w:tcW w:w="2629" w:type="dxa"/>
            <w:tcBorders>
              <w:bottom w:val="single" w:sz="12" w:space="0" w:color="7CBC3E"/>
            </w:tcBorders>
            <w:shd w:fill="auto" w:val="clear"/>
            <w:vAlign w:val="center"/>
          </w:tcPr>
          <w:p>
            <w:pPr>
              <w:pStyle w:val="TableContents"/>
              <w:spacing w:before="0" w:after="283"/>
              <w:jc w:val="right"/>
              <w:rPr>
                <w:b/>
              </w:rPr>
            </w:pPr>
            <w:r>
              <w:rPr>
                <w:b/>
              </w:rPr>
              <w:t>Number of Shares Purchased</w:t>
            </w:r>
          </w:p>
        </w:tc>
        <w:tc>
          <w:tcPr>
            <w:tcW w:w="76" w:type="dxa"/>
            <w:tcBorders>
              <w:bottom w:val="single" w:sz="12" w:space="0" w:color="7CBC3E"/>
            </w:tcBorders>
            <w:shd w:fill="auto" w:val="clear"/>
            <w:vAlign w:val="center"/>
          </w:tcPr>
          <w:p>
            <w:pPr>
              <w:pStyle w:val="TableContents"/>
              <w:spacing w:before="0" w:after="283"/>
              <w:rPr/>
            </w:pPr>
            <w:r>
              <w:rPr/>
              <w:t> </w:t>
            </w:r>
          </w:p>
        </w:tc>
      </w:tr>
      <w:tr>
        <w:trPr/>
        <w:tc>
          <w:tcPr>
            <w:tcW w:w="7440" w:type="dxa"/>
            <w:tcBorders/>
            <w:shd w:fill="FFFFFF" w:val="clear"/>
            <w:tcMar>
              <w:bottom w:w="0" w:type="dxa"/>
            </w:tcMar>
            <w:vAlign w:val="center"/>
          </w:tcPr>
          <w:p>
            <w:pPr>
              <w:pStyle w:val="TableContents"/>
              <w:spacing w:before="0" w:after="283"/>
              <w:jc w:val="left"/>
              <w:rPr/>
            </w:pPr>
            <w:r>
              <w:rPr>
                <w:b/>
              </w:rPr>
              <w:t>Emil D. Kakkis, M.D., Ph.D.,</w:t>
            </w:r>
            <w:r>
              <w:rPr/>
              <w:t xml:space="preserve"> President and Chief Executive Officer</w:t>
            </w:r>
          </w:p>
        </w:tc>
        <w:tc>
          <w:tcPr>
            <w:tcW w:w="60" w:type="dxa"/>
            <w:tcBorders/>
            <w:shd w:fill="FFFFFF" w:val="clear"/>
            <w:tcMar>
              <w:bottom w:w="0" w:type="dxa"/>
            </w:tcMar>
            <w:vAlign w:val="center"/>
          </w:tcPr>
          <w:p>
            <w:pPr>
              <w:pStyle w:val="TableContents"/>
              <w:spacing w:before="0" w:after="283"/>
              <w:rPr/>
            </w:pPr>
            <w:r>
              <w:rPr/>
              <w:t> </w:t>
            </w:r>
          </w:p>
        </w:tc>
        <w:tc>
          <w:tcPr>
            <w:tcW w:w="2629" w:type="dxa"/>
            <w:tcBorders/>
            <w:shd w:fill="FFFFFF" w:val="clear"/>
            <w:tcMar>
              <w:bottom w:w="0" w:type="dxa"/>
            </w:tcMar>
            <w:vAlign w:val="center"/>
          </w:tcPr>
          <w:p>
            <w:pPr>
              <w:pStyle w:val="TableContents"/>
              <w:spacing w:before="0" w:after="283"/>
              <w:jc w:val="right"/>
              <w:rPr/>
            </w:pPr>
            <w:r>
              <w:rPr/>
              <w:t>290</w:t>
            </w:r>
          </w:p>
        </w:tc>
        <w:tc>
          <w:tcPr>
            <w:tcW w:w="76" w:type="dxa"/>
            <w:tcBorders/>
            <w:shd w:fill="FFFFFF" w:val="clear"/>
            <w:tcMar>
              <w:bottom w:w="0" w:type="dxa"/>
            </w:tcMar>
            <w:vAlign w:val="center"/>
          </w:tcPr>
          <w:p>
            <w:pPr>
              <w:pStyle w:val="TableContents"/>
              <w:spacing w:before="0" w:after="283"/>
              <w:rPr/>
            </w:pPr>
            <w:r>
              <w:rPr/>
              <w:t> </w:t>
            </w:r>
          </w:p>
        </w:tc>
      </w:tr>
      <w:tr>
        <w:trPr/>
        <w:tc>
          <w:tcPr>
            <w:tcW w:w="7440" w:type="dxa"/>
            <w:tcBorders/>
            <w:shd w:fill="EFF6EA" w:val="clear"/>
            <w:tcMar>
              <w:bottom w:w="0" w:type="dxa"/>
            </w:tcMar>
            <w:vAlign w:val="center"/>
          </w:tcPr>
          <w:p>
            <w:pPr>
              <w:pStyle w:val="TableContents"/>
              <w:spacing w:before="0" w:after="283"/>
              <w:jc w:val="left"/>
              <w:rPr/>
            </w:pPr>
            <w:r>
              <w:rPr>
                <w:b/>
              </w:rPr>
              <w:t>Camille L. Bedrosian, M.D.,</w:t>
            </w:r>
            <w:r>
              <w:rPr/>
              <w:t xml:space="preserve"> Chief Medical Officer and Executive Vice President</w:t>
            </w:r>
          </w:p>
        </w:tc>
        <w:tc>
          <w:tcPr>
            <w:tcW w:w="60" w:type="dxa"/>
            <w:tcBorders/>
            <w:shd w:fill="EFF6EA" w:val="clear"/>
            <w:tcMar>
              <w:bottom w:w="0" w:type="dxa"/>
            </w:tcMar>
            <w:vAlign w:val="center"/>
          </w:tcPr>
          <w:p>
            <w:pPr>
              <w:pStyle w:val="TableContents"/>
              <w:spacing w:before="0" w:after="283"/>
              <w:rPr/>
            </w:pPr>
            <w:r>
              <w:rPr/>
              <w:t> </w:t>
            </w:r>
          </w:p>
        </w:tc>
        <w:tc>
          <w:tcPr>
            <w:tcW w:w="2629" w:type="dxa"/>
            <w:tcBorders/>
            <w:shd w:fill="EFF6EA" w:val="clear"/>
            <w:tcMar>
              <w:bottom w:w="0" w:type="dxa"/>
            </w:tcMar>
            <w:vAlign w:val="center"/>
          </w:tcPr>
          <w:p>
            <w:pPr>
              <w:pStyle w:val="TableContents"/>
              <w:spacing w:before="0" w:after="283"/>
              <w:jc w:val="right"/>
              <w:rPr/>
            </w:pPr>
            <w:r>
              <w:rPr/>
              <w:t>0</w:t>
            </w:r>
          </w:p>
        </w:tc>
        <w:tc>
          <w:tcPr>
            <w:tcW w:w="76" w:type="dxa"/>
            <w:tcBorders/>
            <w:shd w:fill="EFF6EA" w:val="clear"/>
            <w:tcMar>
              <w:bottom w:w="0" w:type="dxa"/>
            </w:tcMar>
            <w:vAlign w:val="center"/>
          </w:tcPr>
          <w:p>
            <w:pPr>
              <w:pStyle w:val="TableContents"/>
              <w:spacing w:before="0" w:after="283"/>
              <w:rPr/>
            </w:pPr>
            <w:r>
              <w:rPr/>
              <w:t> </w:t>
            </w:r>
          </w:p>
        </w:tc>
      </w:tr>
      <w:tr>
        <w:trPr/>
        <w:tc>
          <w:tcPr>
            <w:tcW w:w="7440" w:type="dxa"/>
            <w:tcBorders/>
            <w:shd w:fill="FFFFFF" w:val="clear"/>
            <w:tcMar>
              <w:bottom w:w="0" w:type="dxa"/>
            </w:tcMar>
            <w:vAlign w:val="center"/>
          </w:tcPr>
          <w:p>
            <w:pPr>
              <w:pStyle w:val="TableContents"/>
              <w:spacing w:before="0" w:after="283"/>
              <w:jc w:val="left"/>
              <w:rPr/>
            </w:pPr>
            <w:r>
              <w:rPr>
                <w:b/>
              </w:rPr>
              <w:t>Erik Harris,</w:t>
            </w:r>
            <w:r>
              <w:rPr/>
              <w:t xml:space="preserve"> Chief Commercial Officer and Executive Vice President</w:t>
            </w:r>
          </w:p>
        </w:tc>
        <w:tc>
          <w:tcPr>
            <w:tcW w:w="60" w:type="dxa"/>
            <w:tcBorders/>
            <w:shd w:fill="FFFFFF" w:val="clear"/>
            <w:tcMar>
              <w:bottom w:w="0" w:type="dxa"/>
            </w:tcMar>
            <w:vAlign w:val="center"/>
          </w:tcPr>
          <w:p>
            <w:pPr>
              <w:pStyle w:val="TableContents"/>
              <w:spacing w:before="0" w:after="283"/>
              <w:rPr/>
            </w:pPr>
            <w:r>
              <w:rPr/>
              <w:t> </w:t>
            </w:r>
          </w:p>
        </w:tc>
        <w:tc>
          <w:tcPr>
            <w:tcW w:w="2629" w:type="dxa"/>
            <w:tcBorders/>
            <w:shd w:fill="FFFFFF" w:val="clear"/>
            <w:tcMar>
              <w:bottom w:w="0" w:type="dxa"/>
            </w:tcMar>
            <w:vAlign w:val="center"/>
          </w:tcPr>
          <w:p>
            <w:pPr>
              <w:pStyle w:val="TableContents"/>
              <w:spacing w:before="0" w:after="283"/>
              <w:jc w:val="right"/>
              <w:rPr/>
            </w:pPr>
            <w:r>
              <w:rPr/>
              <w:t>656</w:t>
            </w:r>
          </w:p>
        </w:tc>
        <w:tc>
          <w:tcPr>
            <w:tcW w:w="76" w:type="dxa"/>
            <w:tcBorders/>
            <w:shd w:fill="FFFFFF" w:val="clear"/>
            <w:tcMar>
              <w:bottom w:w="0" w:type="dxa"/>
            </w:tcMar>
            <w:vAlign w:val="center"/>
          </w:tcPr>
          <w:p>
            <w:pPr>
              <w:pStyle w:val="TableContents"/>
              <w:spacing w:before="0" w:after="283"/>
              <w:rPr/>
            </w:pPr>
            <w:r>
              <w:rPr/>
              <w:t> </w:t>
            </w:r>
          </w:p>
        </w:tc>
      </w:tr>
      <w:tr>
        <w:trPr/>
        <w:tc>
          <w:tcPr>
            <w:tcW w:w="7440" w:type="dxa"/>
            <w:tcBorders/>
            <w:shd w:fill="EFF6EA" w:val="clear"/>
            <w:tcMar>
              <w:bottom w:w="0" w:type="dxa"/>
            </w:tcMar>
            <w:vAlign w:val="center"/>
          </w:tcPr>
          <w:p>
            <w:pPr>
              <w:pStyle w:val="TableContents"/>
              <w:spacing w:before="0" w:after="283"/>
              <w:jc w:val="left"/>
              <w:rPr/>
            </w:pPr>
            <w:r>
              <w:rPr>
                <w:b/>
              </w:rPr>
              <w:t>John R. Pinion II,</w:t>
            </w:r>
            <w:r>
              <w:rPr/>
              <w:t xml:space="preserve"> Chief Quality Officer and Executive Vice President, Translational Sciences</w:t>
            </w:r>
          </w:p>
        </w:tc>
        <w:tc>
          <w:tcPr>
            <w:tcW w:w="60" w:type="dxa"/>
            <w:tcBorders/>
            <w:shd w:fill="EFF6EA" w:val="clear"/>
            <w:tcMar>
              <w:bottom w:w="0" w:type="dxa"/>
            </w:tcMar>
            <w:vAlign w:val="center"/>
          </w:tcPr>
          <w:p>
            <w:pPr>
              <w:pStyle w:val="TableContents"/>
              <w:spacing w:before="0" w:after="283"/>
              <w:rPr/>
            </w:pPr>
            <w:r>
              <w:rPr/>
              <w:t> </w:t>
            </w:r>
          </w:p>
        </w:tc>
        <w:tc>
          <w:tcPr>
            <w:tcW w:w="2629" w:type="dxa"/>
            <w:tcBorders/>
            <w:shd w:fill="EFF6EA" w:val="clear"/>
            <w:tcMar>
              <w:bottom w:w="0" w:type="dxa"/>
            </w:tcMar>
            <w:vAlign w:val="center"/>
          </w:tcPr>
          <w:p>
            <w:pPr>
              <w:pStyle w:val="TableContents"/>
              <w:spacing w:before="0" w:after="283"/>
              <w:jc w:val="right"/>
              <w:rPr/>
            </w:pPr>
            <w:r>
              <w:rPr/>
              <w:t>2,544</w:t>
            </w:r>
          </w:p>
        </w:tc>
        <w:tc>
          <w:tcPr>
            <w:tcW w:w="76" w:type="dxa"/>
            <w:tcBorders/>
            <w:shd w:fill="EFF6EA" w:val="clear"/>
            <w:tcMar>
              <w:bottom w:w="0" w:type="dxa"/>
            </w:tcMar>
            <w:vAlign w:val="center"/>
          </w:tcPr>
          <w:p>
            <w:pPr>
              <w:pStyle w:val="TableContents"/>
              <w:spacing w:before="0" w:after="283"/>
              <w:rPr/>
            </w:pPr>
            <w:r>
              <w:rPr/>
              <w:t> </w:t>
            </w:r>
          </w:p>
        </w:tc>
      </w:tr>
      <w:tr>
        <w:trPr/>
        <w:tc>
          <w:tcPr>
            <w:tcW w:w="7440" w:type="dxa"/>
            <w:tcBorders/>
            <w:shd w:fill="FFFFFF" w:val="clear"/>
            <w:tcMar>
              <w:bottom w:w="0" w:type="dxa"/>
            </w:tcMar>
            <w:vAlign w:val="center"/>
          </w:tcPr>
          <w:p>
            <w:pPr>
              <w:pStyle w:val="TableContents"/>
              <w:spacing w:before="0" w:after="283"/>
              <w:jc w:val="left"/>
              <w:rPr/>
            </w:pPr>
            <w:r>
              <w:rPr>
                <w:b/>
              </w:rPr>
              <w:t>Mardi C. Dier,</w:t>
            </w:r>
            <w:r>
              <w:rPr/>
              <w:t xml:space="preserve"> Former Chief Financial Officer and Executive Vice President</w:t>
            </w:r>
          </w:p>
        </w:tc>
        <w:tc>
          <w:tcPr>
            <w:tcW w:w="60" w:type="dxa"/>
            <w:tcBorders/>
            <w:shd w:fill="FFFFFF" w:val="clear"/>
            <w:tcMar>
              <w:bottom w:w="0" w:type="dxa"/>
            </w:tcMar>
            <w:vAlign w:val="center"/>
          </w:tcPr>
          <w:p>
            <w:pPr>
              <w:pStyle w:val="TableContents"/>
              <w:spacing w:before="0" w:after="283"/>
              <w:rPr/>
            </w:pPr>
            <w:r>
              <w:rPr/>
              <w:t> </w:t>
            </w:r>
          </w:p>
        </w:tc>
        <w:tc>
          <w:tcPr>
            <w:tcW w:w="2629" w:type="dxa"/>
            <w:tcBorders/>
            <w:shd w:fill="FFFFFF" w:val="clear"/>
            <w:tcMar>
              <w:bottom w:w="0" w:type="dxa"/>
            </w:tcMar>
            <w:vAlign w:val="center"/>
          </w:tcPr>
          <w:p>
            <w:pPr>
              <w:pStyle w:val="TableContents"/>
              <w:spacing w:before="0" w:after="283"/>
              <w:jc w:val="right"/>
              <w:rPr/>
            </w:pPr>
            <w:r>
              <w:rPr/>
              <w:t>0</w:t>
            </w:r>
          </w:p>
        </w:tc>
        <w:tc>
          <w:tcPr>
            <w:tcW w:w="76" w:type="dxa"/>
            <w:tcBorders/>
            <w:shd w:fill="FFFFFF" w:val="clear"/>
            <w:tcMar>
              <w:bottom w:w="0" w:type="dxa"/>
            </w:tcMar>
            <w:vAlign w:val="center"/>
          </w:tcPr>
          <w:p>
            <w:pPr>
              <w:pStyle w:val="TableContents"/>
              <w:spacing w:before="0" w:after="283"/>
              <w:rPr/>
            </w:pPr>
            <w:r>
              <w:rPr/>
              <w:t> </w:t>
            </w:r>
          </w:p>
        </w:tc>
      </w:tr>
      <w:tr>
        <w:trPr/>
        <w:tc>
          <w:tcPr>
            <w:tcW w:w="7440" w:type="dxa"/>
            <w:tcBorders/>
            <w:shd w:fill="EFF6EA" w:val="clear"/>
            <w:tcMar>
              <w:bottom w:w="0" w:type="dxa"/>
            </w:tcMar>
            <w:vAlign w:val="center"/>
          </w:tcPr>
          <w:p>
            <w:pPr>
              <w:pStyle w:val="TableContents"/>
              <w:spacing w:before="0" w:after="283"/>
              <w:jc w:val="left"/>
              <w:rPr/>
            </w:pPr>
            <w:r>
              <w:rPr/>
              <w:t>All current executive officers as a group (7 persons)</w:t>
            </w:r>
          </w:p>
        </w:tc>
        <w:tc>
          <w:tcPr>
            <w:tcW w:w="60" w:type="dxa"/>
            <w:tcBorders/>
            <w:shd w:fill="EFF6EA" w:val="clear"/>
            <w:tcMar>
              <w:bottom w:w="0" w:type="dxa"/>
            </w:tcMar>
            <w:vAlign w:val="center"/>
          </w:tcPr>
          <w:p>
            <w:pPr>
              <w:pStyle w:val="TableContents"/>
              <w:spacing w:before="0" w:after="283"/>
              <w:rPr/>
            </w:pPr>
            <w:r>
              <w:rPr/>
              <w:t> </w:t>
            </w:r>
          </w:p>
        </w:tc>
        <w:tc>
          <w:tcPr>
            <w:tcW w:w="2629" w:type="dxa"/>
            <w:tcBorders/>
            <w:shd w:fill="EFF6EA" w:val="clear"/>
            <w:tcMar>
              <w:bottom w:w="0" w:type="dxa"/>
            </w:tcMar>
            <w:vAlign w:val="center"/>
          </w:tcPr>
          <w:p>
            <w:pPr>
              <w:pStyle w:val="TableContents"/>
              <w:spacing w:before="0" w:after="283"/>
              <w:jc w:val="right"/>
              <w:rPr/>
            </w:pPr>
            <w:r>
              <w:rPr/>
              <w:t>7,893</w:t>
            </w:r>
          </w:p>
        </w:tc>
        <w:tc>
          <w:tcPr>
            <w:tcW w:w="76" w:type="dxa"/>
            <w:tcBorders/>
            <w:shd w:fill="EFF6EA" w:val="clear"/>
            <w:tcMar>
              <w:bottom w:w="0" w:type="dxa"/>
            </w:tcMar>
            <w:vAlign w:val="center"/>
          </w:tcPr>
          <w:p>
            <w:pPr>
              <w:pStyle w:val="TableContents"/>
              <w:spacing w:before="0" w:after="283"/>
              <w:rPr/>
            </w:pPr>
            <w:r>
              <w:rPr/>
              <w:t> </w:t>
            </w:r>
          </w:p>
        </w:tc>
      </w:tr>
      <w:tr>
        <w:trPr/>
        <w:tc>
          <w:tcPr>
            <w:tcW w:w="7440" w:type="dxa"/>
            <w:tcBorders/>
            <w:shd w:fill="FFFFFF" w:val="clear"/>
            <w:tcMar>
              <w:bottom w:w="0" w:type="dxa"/>
            </w:tcMar>
            <w:vAlign w:val="center"/>
          </w:tcPr>
          <w:p>
            <w:pPr>
              <w:pStyle w:val="TableContents"/>
              <w:spacing w:before="0" w:after="283"/>
              <w:jc w:val="left"/>
              <w:rPr/>
            </w:pPr>
            <w:r>
              <w:rPr/>
              <w:t>All current directors who are not executive officers as a group (8 persons)</w:t>
            </w:r>
          </w:p>
        </w:tc>
        <w:tc>
          <w:tcPr>
            <w:tcW w:w="60" w:type="dxa"/>
            <w:tcBorders/>
            <w:shd w:fill="FFFFFF" w:val="clear"/>
            <w:tcMar>
              <w:bottom w:w="0" w:type="dxa"/>
            </w:tcMar>
            <w:vAlign w:val="center"/>
          </w:tcPr>
          <w:p>
            <w:pPr>
              <w:pStyle w:val="TableContents"/>
              <w:spacing w:before="0" w:after="283"/>
              <w:rPr/>
            </w:pPr>
            <w:r>
              <w:rPr/>
              <w:t> </w:t>
            </w:r>
          </w:p>
        </w:tc>
        <w:tc>
          <w:tcPr>
            <w:tcW w:w="2629" w:type="dxa"/>
            <w:tcBorders/>
            <w:shd w:fill="FFFFFF" w:val="clear"/>
            <w:tcMar>
              <w:bottom w:w="0" w:type="dxa"/>
            </w:tcMar>
            <w:vAlign w:val="center"/>
          </w:tcPr>
          <w:p>
            <w:pPr>
              <w:pStyle w:val="TableContents"/>
              <w:spacing w:before="0" w:after="283"/>
              <w:jc w:val="right"/>
              <w:rPr/>
            </w:pPr>
            <w:r>
              <w:rPr/>
              <w:t>0</w:t>
            </w:r>
          </w:p>
        </w:tc>
        <w:tc>
          <w:tcPr>
            <w:tcW w:w="76" w:type="dxa"/>
            <w:tcBorders/>
            <w:shd w:fill="FFFFFF" w:val="clear"/>
            <w:tcMar>
              <w:bottom w:w="0" w:type="dxa"/>
            </w:tcMar>
            <w:vAlign w:val="center"/>
          </w:tcPr>
          <w:p>
            <w:pPr>
              <w:pStyle w:val="TableContents"/>
              <w:spacing w:before="0" w:after="283"/>
              <w:rPr/>
            </w:pPr>
            <w:r>
              <w:rPr/>
              <w:t> </w:t>
            </w:r>
          </w:p>
        </w:tc>
      </w:tr>
      <w:tr>
        <w:trPr/>
        <w:tc>
          <w:tcPr>
            <w:tcW w:w="7440" w:type="dxa"/>
            <w:tcBorders/>
            <w:shd w:fill="EFF6EA" w:val="clear"/>
            <w:tcMar>
              <w:bottom w:w="0" w:type="dxa"/>
            </w:tcMar>
            <w:vAlign w:val="center"/>
          </w:tcPr>
          <w:p>
            <w:pPr>
              <w:pStyle w:val="TableContents"/>
              <w:spacing w:before="0" w:after="283"/>
              <w:jc w:val="left"/>
              <w:rPr/>
            </w:pPr>
            <w:r>
              <w:rPr/>
              <w:t>Shehnaaz Suliman, M.D.</w:t>
            </w:r>
          </w:p>
        </w:tc>
        <w:tc>
          <w:tcPr>
            <w:tcW w:w="60" w:type="dxa"/>
            <w:tcBorders/>
            <w:shd w:fill="EFF6EA" w:val="clear"/>
            <w:tcMar>
              <w:bottom w:w="0" w:type="dxa"/>
            </w:tcMar>
            <w:vAlign w:val="center"/>
          </w:tcPr>
          <w:p>
            <w:pPr>
              <w:pStyle w:val="TableContents"/>
              <w:spacing w:before="0" w:after="283"/>
              <w:rPr/>
            </w:pPr>
            <w:r>
              <w:rPr/>
              <w:t> </w:t>
            </w:r>
          </w:p>
        </w:tc>
        <w:tc>
          <w:tcPr>
            <w:tcW w:w="2629" w:type="dxa"/>
            <w:tcBorders/>
            <w:shd w:fill="EFF6EA" w:val="clear"/>
            <w:tcMar>
              <w:bottom w:w="0" w:type="dxa"/>
            </w:tcMar>
            <w:vAlign w:val="center"/>
          </w:tcPr>
          <w:p>
            <w:pPr>
              <w:pStyle w:val="TableContents"/>
              <w:spacing w:before="0" w:after="283"/>
              <w:jc w:val="right"/>
              <w:rPr/>
            </w:pPr>
            <w:r>
              <w:rPr/>
              <w:t>0</w:t>
            </w:r>
          </w:p>
        </w:tc>
        <w:tc>
          <w:tcPr>
            <w:tcW w:w="76" w:type="dxa"/>
            <w:tcBorders/>
            <w:shd w:fill="EFF6EA" w:val="clear"/>
            <w:tcMar>
              <w:bottom w:w="0" w:type="dxa"/>
            </w:tcMar>
            <w:vAlign w:val="center"/>
          </w:tcPr>
          <w:p>
            <w:pPr>
              <w:pStyle w:val="TableContents"/>
              <w:spacing w:before="0" w:after="283"/>
              <w:rPr/>
            </w:pPr>
            <w:r>
              <w:rPr/>
              <w:t> </w:t>
            </w:r>
          </w:p>
        </w:tc>
      </w:tr>
      <w:tr>
        <w:trPr/>
        <w:tc>
          <w:tcPr>
            <w:tcW w:w="7440" w:type="dxa"/>
            <w:tcBorders/>
            <w:shd w:fill="FFFFFF" w:val="clear"/>
            <w:tcMar>
              <w:bottom w:w="0" w:type="dxa"/>
            </w:tcMar>
            <w:vAlign w:val="center"/>
          </w:tcPr>
          <w:p>
            <w:pPr>
              <w:pStyle w:val="TableContents"/>
              <w:spacing w:before="0" w:after="283"/>
              <w:jc w:val="left"/>
              <w:rPr/>
            </w:pPr>
            <w:r>
              <w:rPr/>
              <w:t>Daniel G. Welch</w:t>
            </w:r>
          </w:p>
        </w:tc>
        <w:tc>
          <w:tcPr>
            <w:tcW w:w="60" w:type="dxa"/>
            <w:tcBorders/>
            <w:shd w:fill="FFFFFF" w:val="clear"/>
            <w:tcMar>
              <w:bottom w:w="0" w:type="dxa"/>
            </w:tcMar>
            <w:vAlign w:val="center"/>
          </w:tcPr>
          <w:p>
            <w:pPr>
              <w:pStyle w:val="TableContents"/>
              <w:spacing w:before="0" w:after="283"/>
              <w:rPr/>
            </w:pPr>
            <w:r>
              <w:rPr/>
              <w:t> </w:t>
            </w:r>
          </w:p>
        </w:tc>
        <w:tc>
          <w:tcPr>
            <w:tcW w:w="2629" w:type="dxa"/>
            <w:tcBorders/>
            <w:shd w:fill="FFFFFF" w:val="clear"/>
            <w:tcMar>
              <w:bottom w:w="0" w:type="dxa"/>
            </w:tcMar>
            <w:vAlign w:val="center"/>
          </w:tcPr>
          <w:p>
            <w:pPr>
              <w:pStyle w:val="TableContents"/>
              <w:spacing w:before="0" w:after="283"/>
              <w:jc w:val="right"/>
              <w:rPr/>
            </w:pPr>
            <w:r>
              <w:rPr/>
              <w:t>0</w:t>
            </w:r>
          </w:p>
        </w:tc>
        <w:tc>
          <w:tcPr>
            <w:tcW w:w="76" w:type="dxa"/>
            <w:tcBorders/>
            <w:shd w:fill="FFFFFF" w:val="clear"/>
            <w:tcMar>
              <w:bottom w:w="0" w:type="dxa"/>
            </w:tcMar>
            <w:vAlign w:val="center"/>
          </w:tcPr>
          <w:p>
            <w:pPr>
              <w:pStyle w:val="TableContents"/>
              <w:spacing w:before="0" w:after="283"/>
              <w:rPr/>
            </w:pPr>
            <w:r>
              <w:rPr/>
              <w:t> </w:t>
            </w:r>
          </w:p>
        </w:tc>
      </w:tr>
      <w:tr>
        <w:trPr/>
        <w:tc>
          <w:tcPr>
            <w:tcW w:w="7440" w:type="dxa"/>
            <w:tcBorders>
              <w:bottom w:val="single" w:sz="12" w:space="0" w:color="7CBC3E"/>
            </w:tcBorders>
            <w:shd w:fill="EFF6EA" w:val="clear"/>
            <w:vAlign w:val="center"/>
          </w:tcPr>
          <w:p>
            <w:pPr>
              <w:pStyle w:val="TableContents"/>
              <w:spacing w:before="0" w:after="283"/>
              <w:jc w:val="left"/>
              <w:rPr/>
            </w:pPr>
            <w:r>
              <w:rPr/>
              <w:t>All current employees, including all current officers who are not executive officers, as a group</w:t>
            </w:r>
          </w:p>
        </w:tc>
        <w:tc>
          <w:tcPr>
            <w:tcW w:w="60" w:type="dxa"/>
            <w:tcBorders>
              <w:bottom w:val="single" w:sz="12" w:space="0" w:color="7CBC3E"/>
            </w:tcBorders>
            <w:shd w:fill="EFF6EA" w:val="clear"/>
            <w:vAlign w:val="center"/>
          </w:tcPr>
          <w:p>
            <w:pPr>
              <w:pStyle w:val="TableContents"/>
              <w:spacing w:before="0" w:after="283"/>
              <w:rPr/>
            </w:pPr>
            <w:r>
              <w:rPr/>
              <w:t> </w:t>
            </w:r>
          </w:p>
        </w:tc>
        <w:tc>
          <w:tcPr>
            <w:tcW w:w="2629" w:type="dxa"/>
            <w:tcBorders>
              <w:bottom w:val="single" w:sz="12" w:space="0" w:color="7CBC3E"/>
            </w:tcBorders>
            <w:shd w:fill="EFF6EA" w:val="clear"/>
            <w:vAlign w:val="center"/>
          </w:tcPr>
          <w:p>
            <w:pPr>
              <w:pStyle w:val="TableContents"/>
              <w:spacing w:before="0" w:after="283"/>
              <w:jc w:val="right"/>
              <w:rPr/>
            </w:pPr>
            <w:r>
              <w:rPr/>
              <w:t>356,464</w:t>
            </w:r>
          </w:p>
        </w:tc>
        <w:tc>
          <w:tcPr>
            <w:tcW w:w="76" w:type="dxa"/>
            <w:tcBorders>
              <w:bottom w:val="single" w:sz="12" w:space="0" w:color="7CBC3E"/>
            </w:tcBorders>
            <w:shd w:fill="EFF6EA"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59" w:name="lrarea057"/>
      <w:bookmarkEnd w:id="59"/>
      <w:r>
        <w:rPr>
          <w:rFonts w:ascii="Arial;Helvetica;Sans-Serif" w:hAnsi="Arial;Helvetica;Sans-Serif"/>
          <w:b/>
          <w:i w:val="false"/>
          <w:caps w:val="false"/>
          <w:smallCaps w:val="false"/>
          <w:sz w:val="28"/>
        </w:rPr>
        <w:t>U.S. Federal Income Tax Consequences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The following is a brief description of the federal income tax treatment that will generally apply to the grant and exercise of rights under the A&amp;R ESPP, based on federal income tax laws currently in effect. The exact federal income tax treatment of options will depend on the specific nature of any such option and the individual tax attributes of the participant. The following summary is not intended to be exhaustive and, among other considerations, does not describe gift, estate, social security, state, local or international tax consequences. In addition, if one or more sub-plans are established for employees of non-U.S. subsidiaries, the tax rules may be different than discussed below.</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The A&amp;R ESPP is intended to qualify as an “employee stock purchase plan” under Section 423 of the Code and, as a result, employees who participate in the A&amp;R ESPP will be afforded favorable tax treatment subject to meeting certain requirements specified by the Code. In general, there are no federal income tax consequences to a participant upon the grant of the option to purchase shares under the A&amp;R ESPP at the beginning of an option period or upon its exercise on the exercise date at the end of an option period. Upon the disposition of shares of common stock acquired upon exercise of an option, the participant will generally be subject to tax and the nature and amount of the tax will depend on whether the employee has satisfied the statutory holding period.</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If the employee holds shares acquired under the A&amp;R ESPP for at least two years from the grant date of his or her option and at least one year from the date he or she acquired the shares (referred to as the “statutory holding period”), any gain on the sale of the shares will be taxed as ordinary income to the extent of the lesser of (i) the amount by which the fair market value of the shares on the grant date (i.e., the first day of the option period) exceeded the exercise price for the option, or (ii) the amount by which the fair market value of the shares on the date of sale exceeds the exercise price of the option. Any additional gain or loss will be taxed as long-term capital gain or loss.</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If the participant sells or otherwise disposes of the shares before the expiration of the statutory holding period, then in the year of such “disqualifying” disposition, the participant will be required to recognize ordinary income equal to the difference between the fair market value of the shares on the date of the exercise of the option and the exercise price of the option. Any additional gain or loss will be short-term or long-term capital gain or loss depending on the length of time the employee has held the shares.</w:t>
      </w:r>
    </w:p>
    <w:p>
      <w:pPr>
        <w:pStyle w:val="TextBody"/>
        <w:spacing w:before="0" w:after="0"/>
        <w:ind w:left="0" w:right="0" w:hanging="0"/>
        <w:jc w:val="both"/>
        <w:rPr>
          <w:caps w:val="false"/>
          <w:smallCaps w:val="false"/>
          <w:color w:val="211D1E"/>
        </w:rPr>
      </w:pPr>
      <w:r>
        <w:rPr>
          <w:caps w:val="false"/>
          <w:smallCaps w:val="false"/>
          <w:color w:val="211D1E"/>
        </w:rPr>
        <w:t> </w:t>
      </w:r>
    </w:p>
    <w:p>
      <w:pPr>
        <w:pStyle w:val="TextBody"/>
        <w:spacing w:before="0" w:after="0"/>
        <w:ind w:left="0" w:right="0" w:hanging="0"/>
        <w:jc w:val="both"/>
        <w:rPr>
          <w:rFonts w:ascii="Arial;Helvetica;Sans-Serif" w:hAnsi="Arial;Helvetica;Sans-Serif"/>
          <w:b w:val="false"/>
          <w:i w:val="false"/>
          <w:caps w:val="false"/>
          <w:smallCaps w:val="false"/>
          <w:color w:val="211D1E"/>
          <w:sz w:val="18"/>
        </w:rPr>
      </w:pPr>
      <w:r>
        <w:rPr>
          <w:rFonts w:ascii="Arial;Helvetica;Sans-Serif" w:hAnsi="Arial;Helvetica;Sans-Serif"/>
          <w:b w:val="false"/>
          <w:i w:val="false"/>
          <w:caps w:val="false"/>
          <w:smallCaps w:val="false"/>
          <w:color w:val="211D1E"/>
          <w:sz w:val="18"/>
        </w:rPr>
        <w:t>The Company is not entitled to any deduction with respect to the difference between the fair market value of the common stock and the option exercise price if the participant satisfies the statutory holding period described above. If shares are sold before the statutory holding period is satisfied, the Company receives a tax deduction for any ordinary income recognized by the participant.</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jc w:val="both"/>
        <w:rPr>
          <w:rFonts w:ascii="Arial;Helvetica;Sans-Serif" w:hAnsi="Arial;Helvetica;Sans-Serif"/>
          <w:b/>
          <w:i w:val="false"/>
          <w:caps w:val="false"/>
          <w:smallCaps w:val="false"/>
          <w:sz w:val="28"/>
        </w:rPr>
      </w:pPr>
      <w:bookmarkStart w:id="60" w:name="lrarea058"/>
      <w:bookmarkEnd w:id="60"/>
      <w:r>
        <w:rPr>
          <w:rFonts w:ascii="Arial;Helvetica;Sans-Serif" w:hAnsi="Arial;Helvetica;Sans-Serif"/>
          <w:b/>
          <w:i w:val="false"/>
          <w:caps w:val="false"/>
          <w:smallCaps w:val="false"/>
          <w:sz w:val="28"/>
        </w:rPr>
        <w:t>Vote Required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Approval of the A&amp;R ESPP requires the affirmative vote of a majority of the votes cast on this proposal. Because abstentions and broker non-votes, if any, are not counted as votes cast for or against this resolution, they will have no effect on the outcome of the vote.</w:t>
      </w:r>
    </w:p>
    <w:p>
      <w:pPr>
        <w:pStyle w:val="TextBody"/>
        <w:spacing w:before="0" w:after="0"/>
        <w:ind w:left="0" w:right="0" w:hanging="0"/>
        <w:jc w:val="both"/>
        <w:rPr>
          <w:caps w:val="false"/>
          <w:smallCaps w:val="false"/>
        </w:rPr>
      </w:pPr>
      <w:r>
        <w:rPr>
          <w:caps w:val="false"/>
          <w:smallCaps w:val="false"/>
        </w:rPr>
        <w:t> </w:t>
      </w:r>
    </w:p>
    <w:tbl>
      <w:tblPr>
        <w:tblW w:w="7115" w:type="dxa"/>
        <w:jc w:val="left"/>
        <w:tblInd w:w="0" w:type="dxa"/>
        <w:tblCellMar>
          <w:top w:w="0" w:type="dxa"/>
          <w:left w:w="0" w:type="dxa"/>
          <w:bottom w:w="0" w:type="dxa"/>
          <w:right w:w="0" w:type="dxa"/>
        </w:tblCellMar>
      </w:tblPr>
      <w:tblGrid>
        <w:gridCol w:w="315"/>
        <w:gridCol w:w="6800"/>
      </w:tblGrid>
      <w:tr>
        <w:trPr/>
        <w:tc>
          <w:tcPr>
            <w:tcW w:w="315" w:type="dxa"/>
            <w:tcBorders/>
            <w:shd w:fill="ECF4E3" w:val="clear"/>
            <w:vAlign w:val="center"/>
          </w:tcPr>
          <w:p>
            <w:pPr>
              <w:pStyle w:val="TableContents"/>
              <w:spacing w:before="0" w:after="283"/>
              <w:jc w:val="left"/>
              <w:rPr/>
            </w:pPr>
            <w:r>
              <w:rPr/>
              <w:drawing>
                <wp:inline distT="0" distB="0" distL="0" distR="0">
                  <wp:extent cx="190500" cy="190500"/>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49"/>
                          <a:stretch>
                            <a:fillRect/>
                          </a:stretch>
                        </pic:blipFill>
                        <pic:spPr bwMode="auto">
                          <a:xfrm>
                            <a:off x="0" y="0"/>
                            <a:ext cx="190500" cy="190500"/>
                          </a:xfrm>
                          <a:prstGeom prst="rect">
                            <a:avLst/>
                          </a:prstGeom>
                        </pic:spPr>
                      </pic:pic>
                    </a:graphicData>
                  </a:graphic>
                </wp:inline>
              </w:drawing>
            </w:r>
          </w:p>
        </w:tc>
        <w:tc>
          <w:tcPr>
            <w:tcW w:w="6800" w:type="dxa"/>
            <w:tcBorders/>
            <w:shd w:fill="ECF4E3" w:val="clear"/>
            <w:vAlign w:val="center"/>
          </w:tcPr>
          <w:p>
            <w:pPr>
              <w:pStyle w:val="TableContents"/>
              <w:spacing w:before="0" w:after="283"/>
              <w:jc w:val="left"/>
              <w:rPr>
                <w:rFonts w:ascii="Arial;Helvetica;Sans-Serif" w:hAnsi="Arial;Helvetica;Sans-Serif"/>
                <w:b/>
                <w:sz w:val="18"/>
              </w:rPr>
            </w:pPr>
            <w:r>
              <w:rPr>
                <w:rFonts w:ascii="Arial;Helvetica;Sans-Serif" w:hAnsi="Arial;Helvetica;Sans-Serif"/>
                <w:b/>
                <w:sz w:val="18"/>
              </w:rPr>
              <w:t>THE BOARD OF DIRECTORS RECOMMENDS A VOTE “</w:t>
            </w:r>
            <w:r>
              <w:rPr>
                <w:rFonts w:ascii="Arial;Helvetica;Sans-Serif" w:hAnsi="Arial;Helvetica;Sans-Serif"/>
                <w:b/>
                <w:color w:val="7CBC3E"/>
                <w:sz w:val="18"/>
              </w:rPr>
              <w:t>FOR</w:t>
            </w:r>
            <w:r>
              <w:rPr>
                <w:rFonts w:ascii="Arial;Helvetica;Sans-Serif" w:hAnsi="Arial;Helvetica;Sans-Serif"/>
                <w:b/>
                <w:sz w:val="18"/>
              </w:rPr>
              <w:t>” PROPOSAL NO. 3.</w:t>
            </w:r>
          </w:p>
        </w:tc>
      </w:tr>
    </w:tbl>
    <w:p>
      <w:pPr>
        <w:pStyle w:val="TextBody"/>
        <w:spacing w:before="0" w:after="0"/>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27</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both"/>
        <w:rPr>
          <w:rFonts w:ascii="Arial;Helvetica;Sans-Serif" w:hAnsi="Arial;Helvetica;Sans-Serif"/>
          <w:b/>
          <w:i w:val="false"/>
          <w:caps w:val="false"/>
          <w:smallCaps w:val="false"/>
          <w:color w:val="743F7B"/>
          <w:sz w:val="28"/>
        </w:rPr>
      </w:pPr>
      <w:bookmarkStart w:id="61" w:name="lrarea059"/>
      <w:bookmarkEnd w:id="61"/>
      <w:r>
        <w:rPr>
          <w:rFonts w:ascii="Arial;Helvetica;Sans-Serif" w:hAnsi="Arial;Helvetica;Sans-Serif"/>
          <w:b/>
          <w:i w:val="false"/>
          <w:caps w:val="false"/>
          <w:smallCaps w:val="false"/>
          <w:color w:val="743F7B"/>
          <w:sz w:val="28"/>
        </w:rPr>
        <w:t>PROPOSAL 4</w:t>
      </w:r>
    </w:p>
    <w:p>
      <w:pPr>
        <w:pStyle w:val="Heading2"/>
        <w:jc w:val="left"/>
        <w:rPr>
          <w:rFonts w:ascii="Arial;Helvetica;Sans-Serif" w:hAnsi="Arial;Helvetica;Sans-Serif"/>
          <w:b/>
          <w:i w:val="false"/>
          <w:caps w:val="false"/>
          <w:smallCaps w:val="false"/>
          <w:color w:val="7CBC3E"/>
          <w:sz w:val="40"/>
        </w:rPr>
      </w:pPr>
      <w:r>
        <w:rPr>
          <w:rFonts w:ascii="Arial;Helvetica;Sans-Serif" w:hAnsi="Arial;Helvetica;Sans-Serif"/>
          <w:b/>
          <w:i w:val="false"/>
          <w:caps w:val="false"/>
          <w:smallCaps w:val="false"/>
          <w:color w:val="7CBC3E"/>
          <w:sz w:val="40"/>
        </w:rPr>
        <w:t>Ratification of the Selection of Independent Registered Public Accounting Firm</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Audit Committee has selected Ernst &amp; Young LLP as our independent registered public accounting firm for the fiscal year ending December 31, 2023, and has further directed that we submit the selection of Ernst &amp; Young LLP for ratification by our stockholders at the Annual Meeting.</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not required to submit the selection of our independent registered public accounting firm for stockholder approval, but are submitting our selection of Ernst &amp; Young LLP for stockholder ratification as a matter of good corporate governance. If the stockholders do not ratify this selection, the Audit Committee will reconsider its selection of Ernst &amp; Young LLP. Even if the selection is ratified, our Audit Committee may direct the appointment of a different independent registered public accounting firm at any time during the year if the Audit Committee determines that the change would be in our best interests.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reviews and pre-approves all audit and non-audit services performed by our independent registered public accounting firm. The Audit Committee may delegate its pre-approval authority to one or more of its members and has delegated such authority to the Chairman of the Audit Committee; any pre-approval decisions made by the Chairman are reported to the Audit Committee at the next scheduled committee meeting. The Audit Committee may pre-approve specified audit-related services (assurance and related services that are reasonably related to the performance of the audit or review of our financial statements and that are traditionally performed by the independent auditor) as well as specified tax services that the Audit Committee believes would not impair the independence of the independent auditor, and that are consistent with rules on auditor independence established by the SEC and the Public Company Accounting Oversight Board (PCAOB). The Audit Committee may also pre-approve those permissible non-audit services classified as “all other services” that it believes are routine and recurring services and would not impair the independence of the independent auditor and are consistent with SEC and PCAOB rules on auditor independence. All requests or applications for services to be provided by the independent auditor will be submitted to the Chief Financial Officer and must include a detailed description of the services to be rendered. The Chief Financial Officer or the Principal Accounting Officer, as the case may be, will authorize those services that have been pre-approved by the Audit Committee. If there is any question as to whether a proposed service fits within the pre-approved categories of services, the Chairman of the Audit Committee is to be consulted for a determination. For services that have not been pre-approved by the Audit Committee, requests or applications to provide services will be submitted to the Audit Committee by both the independent auditor and the Chief Financial Officer, and must include a joint oral or written statement as to whether, in their view, the request or application is consistent with the SEC’s and PCAOB’s rules on auditor independence.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services rendered by Ernst &amp; Young LLP in fiscal 2022 were approved in accordance with these policies. In its review of non-audit services, the Audit Committee considers, among other things, the possible impact of the performance of such services on the independent registered public accounting firm’s independence. The Audit Committee has determined that the non-audit services performed by Ernst &amp; Young LLP in the fiscal year ended December 31, 2022 were compatible with maintaining the independent registered public accounting firm’s independence. Additional information concerning the Audit Committee and its activities can be found in the following sections of this Proxy Statement: “Board of Directors and Committees—Board Committees” and “Report of the Audit Committee.”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Ernst &amp; Young LLP has audited our financial statements since our inception. Representatives of Ernst &amp; Young LLP are expected to be present at the Annual Meeting, will have the opportunity to make a statement if they desire to do so, and will be available to respond to appropriate stockholder questions.</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62" w:name="lrarea060"/>
      <w:bookmarkEnd w:id="62"/>
      <w:r>
        <w:rPr>
          <w:rFonts w:ascii="Arial;Helvetica;Sans-Serif" w:hAnsi="Arial;Helvetica;Sans-Serif"/>
          <w:b/>
          <w:i w:val="false"/>
          <w:caps w:val="false"/>
          <w:smallCaps w:val="false"/>
          <w:sz w:val="28"/>
        </w:rPr>
        <w:t>Fees for Independent Registered Public Accounting Firm</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is a summary of the aggregate audit fees billed or expected to be billed by Ernst &amp; Young LLP for the indicated fiscal years and the fees billed by Ernst &amp; Young LLP for all other services rendered during the indicated fiscal years.</w:t>
      </w:r>
    </w:p>
    <w:p>
      <w:pPr>
        <w:pStyle w:val="TextBody"/>
        <w:jc w:val="both"/>
        <w:rPr>
          <w:caps w:val="false"/>
          <w:smallCaps w:val="false"/>
        </w:rPr>
      </w:pPr>
      <w:r>
        <w:rPr>
          <w:caps w:val="false"/>
          <w:smallCaps w:val="false"/>
        </w:rPr>
        <w:t> </w:t>
      </w:r>
    </w:p>
    <w:tbl>
      <w:tblPr>
        <w:tblW w:w="4210" w:type="dxa"/>
        <w:jc w:val="left"/>
        <w:tblInd w:w="0" w:type="dxa"/>
        <w:tblCellMar>
          <w:top w:w="0" w:type="dxa"/>
          <w:left w:w="0" w:type="dxa"/>
          <w:bottom w:w="28" w:type="dxa"/>
          <w:right w:w="0" w:type="dxa"/>
        </w:tblCellMar>
      </w:tblPr>
      <w:tblGrid>
        <w:gridCol w:w="1715"/>
        <w:gridCol w:w="60"/>
        <w:gridCol w:w="140"/>
        <w:gridCol w:w="980"/>
        <w:gridCol w:w="60"/>
        <w:gridCol w:w="60"/>
        <w:gridCol w:w="140"/>
        <w:gridCol w:w="980"/>
        <w:gridCol w:w="75"/>
      </w:tblGrid>
      <w:tr>
        <w:trPr/>
        <w:tc>
          <w:tcPr>
            <w:tcW w:w="1715" w:type="dxa"/>
            <w:tcBorders>
              <w:bottom w:val="single" w:sz="12" w:space="0" w:color="7CBC3E"/>
            </w:tcBorders>
            <w:shd w:fill="auto" w:val="clear"/>
            <w:vAlign w:val="center"/>
          </w:tcPr>
          <w:p>
            <w:pPr>
              <w:pStyle w:val="TableContents"/>
              <w:spacing w:before="0" w:after="283"/>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120" w:type="dxa"/>
            <w:gridSpan w:val="2"/>
            <w:tcBorders>
              <w:bottom w:val="single" w:sz="12" w:space="0" w:color="7CBC3E"/>
            </w:tcBorders>
            <w:shd w:fill="auto" w:val="clear"/>
            <w:vAlign w:val="center"/>
          </w:tcPr>
          <w:p>
            <w:pPr>
              <w:pStyle w:val="TableContents"/>
              <w:spacing w:before="0" w:after="283"/>
              <w:jc w:val="right"/>
              <w:rPr>
                <w:b/>
              </w:rPr>
            </w:pPr>
            <w:r>
              <w:rPr>
                <w:b/>
              </w:rPr>
              <w:t>2022</w:t>
            </w:r>
          </w:p>
        </w:tc>
        <w:tc>
          <w:tcPr>
            <w:tcW w:w="60" w:type="dxa"/>
            <w:tcBorders>
              <w:bottom w:val="single" w:sz="12" w:space="0" w:color="7CBC3E"/>
            </w:tcBorders>
            <w:shd w:fill="auto" w:val="clear"/>
            <w:vAlign w:val="center"/>
          </w:tcPr>
          <w:p>
            <w:pPr>
              <w:pStyle w:val="TableContents"/>
              <w:spacing w:before="0" w:after="283"/>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120" w:type="dxa"/>
            <w:gridSpan w:val="2"/>
            <w:tcBorders>
              <w:bottom w:val="single" w:sz="12" w:space="0" w:color="7CBC3E"/>
            </w:tcBorders>
            <w:shd w:fill="auto" w:val="clear"/>
            <w:vAlign w:val="center"/>
          </w:tcPr>
          <w:p>
            <w:pPr>
              <w:pStyle w:val="TableContents"/>
              <w:spacing w:before="0" w:after="283"/>
              <w:jc w:val="right"/>
              <w:rPr>
                <w:b/>
              </w:rPr>
            </w:pPr>
            <w:r>
              <w:rPr>
                <w:b/>
              </w:rPr>
              <w:t>2021</w:t>
            </w:r>
          </w:p>
        </w:tc>
        <w:tc>
          <w:tcPr>
            <w:tcW w:w="75" w:type="dxa"/>
            <w:tcBorders>
              <w:bottom w:val="single" w:sz="12" w:space="0" w:color="7CBC3E"/>
            </w:tcBorders>
            <w:shd w:fill="auto" w:val="clear"/>
            <w:vAlign w:val="center"/>
          </w:tcPr>
          <w:p>
            <w:pPr>
              <w:pStyle w:val="TableContents"/>
              <w:spacing w:before="0" w:after="283"/>
              <w:rPr/>
            </w:pPr>
            <w:r>
              <w:rPr/>
              <w:t> </w:t>
            </w:r>
          </w:p>
        </w:tc>
      </w:tr>
      <w:tr>
        <w:trPr/>
        <w:tc>
          <w:tcPr>
            <w:tcW w:w="1715" w:type="dxa"/>
            <w:tcBorders/>
            <w:shd w:fill="auto" w:val="clear"/>
            <w:tcMar>
              <w:bottom w:w="0" w:type="dxa"/>
            </w:tcMar>
            <w:vAlign w:val="center"/>
          </w:tcPr>
          <w:p>
            <w:pPr>
              <w:pStyle w:val="TableContents"/>
              <w:spacing w:before="0" w:after="283"/>
              <w:rPr/>
            </w:pPr>
            <w:r>
              <w:rPr/>
              <w:t>Audit fees</w:t>
            </w:r>
            <w:r>
              <w:rPr>
                <w:position w:val="8"/>
                <w:sz w:val="19"/>
              </w:rPr>
              <w:t>(1)</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w:t>
            </w:r>
          </w:p>
        </w:tc>
        <w:tc>
          <w:tcPr>
            <w:tcW w:w="980" w:type="dxa"/>
            <w:tcBorders/>
            <w:shd w:fill="auto" w:val="clear"/>
            <w:tcMar>
              <w:bottom w:w="0" w:type="dxa"/>
            </w:tcMar>
            <w:vAlign w:val="center"/>
          </w:tcPr>
          <w:p>
            <w:pPr>
              <w:pStyle w:val="TableContents"/>
              <w:spacing w:before="0" w:after="283"/>
              <w:jc w:val="right"/>
              <w:rPr/>
            </w:pPr>
            <w:r>
              <w:rPr/>
              <w:t>2,009,000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w:t>
            </w:r>
          </w:p>
        </w:tc>
        <w:tc>
          <w:tcPr>
            <w:tcW w:w="980" w:type="dxa"/>
            <w:tcBorders/>
            <w:shd w:fill="auto" w:val="clear"/>
            <w:tcMar>
              <w:bottom w:w="0" w:type="dxa"/>
            </w:tcMar>
            <w:vAlign w:val="center"/>
          </w:tcPr>
          <w:p>
            <w:pPr>
              <w:pStyle w:val="TableContents"/>
              <w:spacing w:before="0" w:after="283"/>
              <w:jc w:val="right"/>
              <w:rPr/>
            </w:pPr>
            <w:r>
              <w:rPr/>
              <w:t>1,747,000</w:t>
            </w:r>
          </w:p>
        </w:tc>
        <w:tc>
          <w:tcPr>
            <w:tcW w:w="75" w:type="dxa"/>
            <w:tcBorders/>
            <w:shd w:fill="auto" w:val="clear"/>
            <w:tcMar>
              <w:bottom w:w="0" w:type="dxa"/>
            </w:tcMar>
            <w:vAlign w:val="center"/>
          </w:tcPr>
          <w:p>
            <w:pPr>
              <w:pStyle w:val="TableContents"/>
              <w:spacing w:before="0" w:after="283"/>
              <w:jc w:val="left"/>
              <w:rPr/>
            </w:pPr>
            <w:r>
              <w:rPr/>
              <w:t> </w:t>
            </w:r>
          </w:p>
        </w:tc>
      </w:tr>
      <w:tr>
        <w:trPr/>
        <w:tc>
          <w:tcPr>
            <w:tcW w:w="1715" w:type="dxa"/>
            <w:tcBorders/>
            <w:shd w:fill="EFF6EA" w:val="clear"/>
            <w:tcMar>
              <w:bottom w:w="0" w:type="dxa"/>
            </w:tcMar>
            <w:vAlign w:val="center"/>
          </w:tcPr>
          <w:p>
            <w:pPr>
              <w:pStyle w:val="TableContents"/>
              <w:spacing w:before="0" w:after="283"/>
              <w:jc w:val="left"/>
              <w:rPr/>
            </w:pPr>
            <w:r>
              <w:rPr/>
              <w:t>Audit-related fees</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980"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980" w:type="dxa"/>
            <w:tcBorders/>
            <w:shd w:fill="EFF6EA" w:val="clear"/>
            <w:tcMar>
              <w:bottom w:w="0" w:type="dxa"/>
            </w:tcMar>
            <w:vAlign w:val="center"/>
          </w:tcPr>
          <w:p>
            <w:pPr>
              <w:pStyle w:val="TableContents"/>
              <w:spacing w:before="0" w:after="283"/>
              <w:jc w:val="right"/>
              <w:rPr/>
            </w:pPr>
            <w:r>
              <w:rPr/>
              <w:t>—</w:t>
            </w:r>
          </w:p>
        </w:tc>
        <w:tc>
          <w:tcPr>
            <w:tcW w:w="75" w:type="dxa"/>
            <w:tcBorders/>
            <w:shd w:fill="EFF6EA" w:val="clear"/>
            <w:tcMar>
              <w:bottom w:w="0" w:type="dxa"/>
            </w:tcMar>
            <w:vAlign w:val="center"/>
          </w:tcPr>
          <w:p>
            <w:pPr>
              <w:pStyle w:val="TableContents"/>
              <w:spacing w:before="0" w:after="283"/>
              <w:jc w:val="left"/>
              <w:rPr/>
            </w:pPr>
            <w:r>
              <w:rPr/>
              <w:t> </w:t>
            </w:r>
          </w:p>
        </w:tc>
      </w:tr>
      <w:tr>
        <w:trPr/>
        <w:tc>
          <w:tcPr>
            <w:tcW w:w="1715" w:type="dxa"/>
            <w:tcBorders/>
            <w:shd w:fill="auto" w:val="clear"/>
            <w:tcMar>
              <w:bottom w:w="0" w:type="dxa"/>
            </w:tcMar>
            <w:vAlign w:val="center"/>
          </w:tcPr>
          <w:p>
            <w:pPr>
              <w:pStyle w:val="TableContents"/>
              <w:spacing w:before="0" w:after="283"/>
              <w:rPr/>
            </w:pPr>
            <w:r>
              <w:rPr/>
              <w:t>Tax fees</w:t>
            </w:r>
            <w:r>
              <w:rPr>
                <w:position w:val="8"/>
                <w:sz w:val="19"/>
              </w:rPr>
              <w:t>(2)</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980" w:type="dxa"/>
            <w:tcBorders/>
            <w:shd w:fill="auto" w:val="clear"/>
            <w:tcMar>
              <w:bottom w:w="0" w:type="dxa"/>
            </w:tcMar>
            <w:vAlign w:val="center"/>
          </w:tcPr>
          <w:p>
            <w:pPr>
              <w:pStyle w:val="TableContents"/>
              <w:spacing w:before="0" w:after="283"/>
              <w:jc w:val="right"/>
              <w:rPr/>
            </w:pPr>
            <w:r>
              <w:rPr/>
              <w:t>97,000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980" w:type="dxa"/>
            <w:tcBorders/>
            <w:shd w:fill="auto" w:val="clear"/>
            <w:tcMar>
              <w:bottom w:w="0" w:type="dxa"/>
            </w:tcMar>
            <w:vAlign w:val="center"/>
          </w:tcPr>
          <w:p>
            <w:pPr>
              <w:pStyle w:val="TableContents"/>
              <w:spacing w:before="0" w:after="283"/>
              <w:jc w:val="right"/>
              <w:rPr/>
            </w:pPr>
            <w:r>
              <w:rPr/>
              <w:t>65,000</w:t>
            </w:r>
          </w:p>
        </w:tc>
        <w:tc>
          <w:tcPr>
            <w:tcW w:w="75" w:type="dxa"/>
            <w:tcBorders/>
            <w:shd w:fill="auto" w:val="clear"/>
            <w:tcMar>
              <w:bottom w:w="0" w:type="dxa"/>
            </w:tcMar>
            <w:vAlign w:val="center"/>
          </w:tcPr>
          <w:p>
            <w:pPr>
              <w:pStyle w:val="TableContents"/>
              <w:spacing w:before="0" w:after="283"/>
              <w:jc w:val="left"/>
              <w:rPr/>
            </w:pPr>
            <w:r>
              <w:rPr/>
              <w:t> </w:t>
            </w:r>
          </w:p>
        </w:tc>
      </w:tr>
      <w:tr>
        <w:trPr/>
        <w:tc>
          <w:tcPr>
            <w:tcW w:w="1715" w:type="dxa"/>
            <w:tcBorders>
              <w:bottom w:val="single" w:sz="2" w:space="0" w:color="7CBC3E"/>
            </w:tcBorders>
            <w:shd w:fill="EFF6EA" w:val="clear"/>
            <w:vAlign w:val="center"/>
          </w:tcPr>
          <w:p>
            <w:pPr>
              <w:pStyle w:val="TableContents"/>
              <w:spacing w:before="0" w:after="283"/>
              <w:jc w:val="left"/>
              <w:rPr/>
            </w:pPr>
            <w:r>
              <w:rPr/>
              <w:t>All other fees</w:t>
            </w:r>
          </w:p>
        </w:tc>
        <w:tc>
          <w:tcPr>
            <w:tcW w:w="60" w:type="dxa"/>
            <w:tcBorders>
              <w:bottom w:val="single" w:sz="2" w:space="0" w:color="7CBC3E"/>
            </w:tcBorders>
            <w:shd w:fill="EFF6EA" w:val="clear"/>
            <w:vAlign w:val="center"/>
          </w:tcPr>
          <w:p>
            <w:pPr>
              <w:pStyle w:val="TableContents"/>
              <w:spacing w:before="0" w:after="283"/>
              <w:rPr/>
            </w:pPr>
            <w:r>
              <w:rPr/>
              <w:t> </w:t>
            </w:r>
          </w:p>
        </w:tc>
        <w:tc>
          <w:tcPr>
            <w:tcW w:w="140" w:type="dxa"/>
            <w:tcBorders>
              <w:bottom w:val="single" w:sz="2" w:space="0" w:color="7CBC3E"/>
            </w:tcBorders>
            <w:shd w:fill="EFF6EA" w:val="clear"/>
            <w:vAlign w:val="center"/>
          </w:tcPr>
          <w:p>
            <w:pPr>
              <w:pStyle w:val="TableContents"/>
              <w:spacing w:before="0" w:after="283"/>
              <w:jc w:val="left"/>
              <w:rPr/>
            </w:pPr>
            <w:r>
              <w:rPr/>
              <w:t> </w:t>
            </w:r>
          </w:p>
        </w:tc>
        <w:tc>
          <w:tcPr>
            <w:tcW w:w="980" w:type="dxa"/>
            <w:tcBorders>
              <w:bottom w:val="single" w:sz="2" w:space="0" w:color="7CBC3E"/>
            </w:tcBorders>
            <w:shd w:fill="EFF6EA" w:val="clear"/>
            <w:vAlign w:val="center"/>
          </w:tcPr>
          <w:p>
            <w:pPr>
              <w:pStyle w:val="TableContents"/>
              <w:spacing w:before="0" w:after="283"/>
              <w:jc w:val="right"/>
              <w:rPr/>
            </w:pPr>
            <w:r>
              <w:rPr/>
              <w:t>—</w:t>
            </w:r>
          </w:p>
        </w:tc>
        <w:tc>
          <w:tcPr>
            <w:tcW w:w="60" w:type="dxa"/>
            <w:tcBorders>
              <w:bottom w:val="single" w:sz="2" w:space="0" w:color="7CBC3E"/>
            </w:tcBorders>
            <w:shd w:fill="EFF6EA" w:val="clear"/>
            <w:vAlign w:val="center"/>
          </w:tcPr>
          <w:p>
            <w:pPr>
              <w:pStyle w:val="TableContents"/>
              <w:spacing w:before="0" w:after="283"/>
              <w:jc w:val="left"/>
              <w:rPr/>
            </w:pPr>
            <w:r>
              <w:rPr/>
              <w:t> </w:t>
            </w:r>
          </w:p>
        </w:tc>
        <w:tc>
          <w:tcPr>
            <w:tcW w:w="60" w:type="dxa"/>
            <w:tcBorders>
              <w:bottom w:val="single" w:sz="2" w:space="0" w:color="7CBC3E"/>
            </w:tcBorders>
            <w:shd w:fill="EFF6EA" w:val="clear"/>
            <w:vAlign w:val="center"/>
          </w:tcPr>
          <w:p>
            <w:pPr>
              <w:pStyle w:val="TableContents"/>
              <w:spacing w:before="0" w:after="283"/>
              <w:rPr/>
            </w:pPr>
            <w:r>
              <w:rPr/>
              <w:t> </w:t>
            </w:r>
          </w:p>
        </w:tc>
        <w:tc>
          <w:tcPr>
            <w:tcW w:w="140" w:type="dxa"/>
            <w:tcBorders>
              <w:bottom w:val="single" w:sz="2" w:space="0" w:color="7CBC3E"/>
            </w:tcBorders>
            <w:shd w:fill="EFF6EA" w:val="clear"/>
            <w:vAlign w:val="center"/>
          </w:tcPr>
          <w:p>
            <w:pPr>
              <w:pStyle w:val="TableContents"/>
              <w:spacing w:before="0" w:after="283"/>
              <w:jc w:val="left"/>
              <w:rPr/>
            </w:pPr>
            <w:r>
              <w:rPr/>
              <w:t> </w:t>
            </w:r>
          </w:p>
        </w:tc>
        <w:tc>
          <w:tcPr>
            <w:tcW w:w="980" w:type="dxa"/>
            <w:tcBorders>
              <w:bottom w:val="single" w:sz="2" w:space="0" w:color="7CBC3E"/>
            </w:tcBorders>
            <w:shd w:fill="EFF6EA" w:val="clear"/>
            <w:vAlign w:val="center"/>
          </w:tcPr>
          <w:p>
            <w:pPr>
              <w:pStyle w:val="TableContents"/>
              <w:spacing w:before="0" w:after="283"/>
              <w:jc w:val="right"/>
              <w:rPr/>
            </w:pPr>
            <w:r>
              <w:rPr/>
              <w:t>—</w:t>
            </w:r>
          </w:p>
        </w:tc>
        <w:tc>
          <w:tcPr>
            <w:tcW w:w="75" w:type="dxa"/>
            <w:tcBorders>
              <w:bottom w:val="single" w:sz="2" w:space="0" w:color="7CBC3E"/>
            </w:tcBorders>
            <w:shd w:fill="EFF6EA" w:val="clear"/>
            <w:vAlign w:val="center"/>
          </w:tcPr>
          <w:p>
            <w:pPr>
              <w:pStyle w:val="TableContents"/>
              <w:spacing w:before="0" w:after="283"/>
              <w:jc w:val="left"/>
              <w:rPr/>
            </w:pPr>
            <w:r>
              <w:rPr/>
              <w:t> </w:t>
            </w:r>
          </w:p>
        </w:tc>
      </w:tr>
      <w:tr>
        <w:trPr/>
        <w:tc>
          <w:tcPr>
            <w:tcW w:w="1715" w:type="dxa"/>
            <w:tcBorders>
              <w:bottom w:val="single" w:sz="12" w:space="0" w:color="7CBC3E"/>
            </w:tcBorders>
            <w:shd w:fill="auto" w:val="clear"/>
            <w:vAlign w:val="center"/>
          </w:tcPr>
          <w:p>
            <w:pPr>
              <w:pStyle w:val="TableContents"/>
              <w:spacing w:before="0" w:after="283"/>
              <w:rPr>
                <w:b/>
                <w:color w:val="7CBC3E"/>
              </w:rPr>
            </w:pPr>
            <w:r>
              <w:rPr>
                <w:b/>
                <w:color w:val="7CBC3E"/>
              </w:rPr>
              <w:t>TOTAL</w:t>
            </w:r>
          </w:p>
        </w:tc>
        <w:tc>
          <w:tcPr>
            <w:tcW w:w="60" w:type="dxa"/>
            <w:tcBorders>
              <w:bottom w:val="single" w:sz="12" w:space="0" w:color="7CBC3E"/>
            </w:tcBorders>
            <w:shd w:fill="auto" w:val="clear"/>
            <w:vAlign w:val="center"/>
          </w:tcPr>
          <w:p>
            <w:pPr>
              <w:pStyle w:val="TableContents"/>
              <w:spacing w:before="0" w:after="283"/>
              <w:rPr>
                <w:color w:val="7CBC3E"/>
              </w:rPr>
            </w:pPr>
            <w:r>
              <w:rPr>
                <w:color w:val="7CBC3E"/>
              </w:rPr>
              <w:t> </w:t>
            </w:r>
          </w:p>
        </w:tc>
        <w:tc>
          <w:tcPr>
            <w:tcW w:w="140" w:type="dxa"/>
            <w:tcBorders>
              <w:bottom w:val="single" w:sz="12" w:space="0" w:color="7CBC3E"/>
            </w:tcBorders>
            <w:shd w:fill="auto" w:val="clear"/>
            <w:vAlign w:val="center"/>
          </w:tcPr>
          <w:p>
            <w:pPr>
              <w:pStyle w:val="TableContents"/>
              <w:spacing w:before="0" w:after="283"/>
              <w:jc w:val="left"/>
              <w:rPr>
                <w:b/>
                <w:color w:val="7CBC3E"/>
              </w:rPr>
            </w:pPr>
            <w:r>
              <w:rPr>
                <w:b/>
                <w:color w:val="7CBC3E"/>
              </w:rPr>
              <w:t>$</w:t>
            </w:r>
          </w:p>
        </w:tc>
        <w:tc>
          <w:tcPr>
            <w:tcW w:w="980" w:type="dxa"/>
            <w:tcBorders>
              <w:bottom w:val="single" w:sz="12" w:space="0" w:color="7CBC3E"/>
            </w:tcBorders>
            <w:shd w:fill="auto" w:val="clear"/>
            <w:vAlign w:val="center"/>
          </w:tcPr>
          <w:p>
            <w:pPr>
              <w:pStyle w:val="TableContents"/>
              <w:spacing w:before="0" w:after="283"/>
              <w:jc w:val="right"/>
              <w:rPr>
                <w:b/>
                <w:color w:val="7CBC3E"/>
              </w:rPr>
            </w:pPr>
            <w:r>
              <w:rPr>
                <w:b/>
                <w:color w:val="7CBC3E"/>
              </w:rPr>
              <w:t>2,106,000</w:t>
            </w:r>
          </w:p>
        </w:tc>
        <w:tc>
          <w:tcPr>
            <w:tcW w:w="60" w:type="dxa"/>
            <w:tcBorders>
              <w:bottom w:val="single" w:sz="12" w:space="0" w:color="7CBC3E"/>
            </w:tcBorders>
            <w:shd w:fill="auto" w:val="clear"/>
            <w:vAlign w:val="center"/>
          </w:tcPr>
          <w:p>
            <w:pPr>
              <w:pStyle w:val="TableContents"/>
              <w:spacing w:before="0" w:after="283"/>
              <w:jc w:val="left"/>
              <w:rPr>
                <w:color w:val="7CBC3E"/>
              </w:rPr>
            </w:pPr>
            <w:r>
              <w:rPr>
                <w:color w:val="7CBC3E"/>
              </w:rPr>
              <w:t> </w:t>
            </w:r>
          </w:p>
        </w:tc>
        <w:tc>
          <w:tcPr>
            <w:tcW w:w="60" w:type="dxa"/>
            <w:tcBorders>
              <w:bottom w:val="single" w:sz="12" w:space="0" w:color="7CBC3E"/>
            </w:tcBorders>
            <w:shd w:fill="auto" w:val="clear"/>
            <w:vAlign w:val="center"/>
          </w:tcPr>
          <w:p>
            <w:pPr>
              <w:pStyle w:val="TableContents"/>
              <w:spacing w:before="0" w:after="283"/>
              <w:rPr>
                <w:color w:val="7CBC3E"/>
              </w:rPr>
            </w:pPr>
            <w:r>
              <w:rPr>
                <w:color w:val="7CBC3E"/>
              </w:rPr>
              <w:t> </w:t>
            </w:r>
          </w:p>
        </w:tc>
        <w:tc>
          <w:tcPr>
            <w:tcW w:w="140" w:type="dxa"/>
            <w:tcBorders>
              <w:bottom w:val="single" w:sz="12" w:space="0" w:color="7CBC3E"/>
            </w:tcBorders>
            <w:shd w:fill="auto" w:val="clear"/>
            <w:vAlign w:val="center"/>
          </w:tcPr>
          <w:p>
            <w:pPr>
              <w:pStyle w:val="TableContents"/>
              <w:spacing w:before="0" w:after="283"/>
              <w:jc w:val="left"/>
              <w:rPr>
                <w:b/>
                <w:color w:val="7CBC3E"/>
              </w:rPr>
            </w:pPr>
            <w:r>
              <w:rPr>
                <w:b/>
                <w:color w:val="7CBC3E"/>
              </w:rPr>
              <w:t>$</w:t>
            </w:r>
          </w:p>
        </w:tc>
        <w:tc>
          <w:tcPr>
            <w:tcW w:w="980" w:type="dxa"/>
            <w:tcBorders>
              <w:bottom w:val="single" w:sz="12" w:space="0" w:color="7CBC3E"/>
            </w:tcBorders>
            <w:shd w:fill="auto" w:val="clear"/>
            <w:vAlign w:val="center"/>
          </w:tcPr>
          <w:p>
            <w:pPr>
              <w:pStyle w:val="TableContents"/>
              <w:spacing w:before="0" w:after="283"/>
              <w:jc w:val="right"/>
              <w:rPr>
                <w:b/>
                <w:color w:val="7CBC3E"/>
              </w:rPr>
            </w:pPr>
            <w:r>
              <w:rPr>
                <w:b/>
                <w:color w:val="7CBC3E"/>
              </w:rPr>
              <w:t>1,812,000</w:t>
            </w:r>
          </w:p>
        </w:tc>
        <w:tc>
          <w:tcPr>
            <w:tcW w:w="75" w:type="dxa"/>
            <w:tcBorders>
              <w:bottom w:val="single" w:sz="12" w:space="0" w:color="7CBC3E"/>
            </w:tcBorders>
            <w:shd w:fill="auto" w:val="clear"/>
            <w:vAlign w:val="center"/>
          </w:tcPr>
          <w:p>
            <w:pPr>
              <w:pStyle w:val="TableContents"/>
              <w:spacing w:before="0" w:after="283"/>
              <w:jc w:val="left"/>
              <w:rPr>
                <w:color w:val="7CBC3E"/>
              </w:rPr>
            </w:pPr>
            <w:r>
              <w:rPr>
                <w:color w:val="7CBC3E"/>
              </w:rPr>
              <w:t> </w:t>
            </w:r>
          </w:p>
        </w:tc>
      </w:tr>
    </w:tbl>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rPr/>
            </w:pPr>
            <w:r>
              <w:rPr/>
              <w:t>(1)</w:t>
            </w:r>
          </w:p>
        </w:tc>
        <w:tc>
          <w:tcPr>
            <w:tcW w:w="9958" w:type="dxa"/>
            <w:tcBorders/>
            <w:shd w:fill="auto" w:val="clear"/>
            <w:vAlign w:val="center"/>
          </w:tcPr>
          <w:p>
            <w:pPr>
              <w:pStyle w:val="TableContents"/>
              <w:spacing w:before="0" w:after="283"/>
              <w:jc w:val="both"/>
              <w:rPr/>
            </w:pPr>
            <w:r>
              <w:rPr/>
              <w:t>Audit fees consist of the aggregate fees billed for professional services rendered for the audit of our annual financial statements included in our annual reports on Form 10-K; the review of our interim financial statements included in our quarterly reports on Form 10-Q; consultation on technical accounting matters; assistance with registration statements filed with the SEC; and the issuance of comfort letters and consents.</w:t>
            </w:r>
          </w:p>
        </w:tc>
      </w:tr>
      <w:tr>
        <w:trPr/>
        <w:tc>
          <w:tcPr>
            <w:tcW w:w="247" w:type="dxa"/>
            <w:tcBorders/>
            <w:shd w:fill="auto" w:val="clear"/>
            <w:vAlign w:val="center"/>
          </w:tcPr>
          <w:p>
            <w:pPr>
              <w:pStyle w:val="TableContents"/>
              <w:spacing w:before="0" w:after="283"/>
              <w:rPr/>
            </w:pPr>
            <w:r>
              <w:rPr/>
              <w:t>(2)</w:t>
            </w:r>
          </w:p>
        </w:tc>
        <w:tc>
          <w:tcPr>
            <w:tcW w:w="9958" w:type="dxa"/>
            <w:tcBorders/>
            <w:shd w:fill="auto" w:val="clear"/>
            <w:vAlign w:val="center"/>
          </w:tcPr>
          <w:p>
            <w:pPr>
              <w:pStyle w:val="TableContents"/>
              <w:spacing w:before="0" w:after="283"/>
              <w:rPr/>
            </w:pPr>
            <w:r>
              <w:rPr/>
              <w:t>Tax fees principally include fees for tax compliance and tax advice.</w:t>
            </w:r>
          </w:p>
        </w:tc>
      </w:tr>
    </w:tbl>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28</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jc w:val="both"/>
        <w:rPr>
          <w:rFonts w:ascii="Arial;Helvetica;Sans-Serif" w:hAnsi="Arial;Helvetica;Sans-Serif"/>
          <w:b/>
          <w:i w:val="false"/>
          <w:caps w:val="false"/>
          <w:smallCaps w:val="false"/>
          <w:sz w:val="28"/>
        </w:rPr>
      </w:pPr>
      <w:bookmarkStart w:id="63" w:name="lrarea061"/>
      <w:bookmarkEnd w:id="63"/>
      <w:r>
        <w:rPr>
          <w:rFonts w:ascii="Arial;Helvetica;Sans-Serif" w:hAnsi="Arial;Helvetica;Sans-Serif"/>
          <w:b/>
          <w:i w:val="false"/>
          <w:caps w:val="false"/>
          <w:smallCaps w:val="false"/>
          <w:sz w:val="28"/>
        </w:rPr>
        <w:t>Vote Required</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Ratification of the selection of the independent registered public accounting firm requires the affirmative vote of a majority of the votes cast. Because abstentions and broker non-votes, if any, are not counted as votes cast for or against this proposal, they will have no effect on the outcome of the vote.</w:t>
      </w:r>
    </w:p>
    <w:p>
      <w:pPr>
        <w:pStyle w:val="TextBody"/>
        <w:jc w:val="both"/>
        <w:rPr>
          <w:caps w:val="false"/>
          <w:smallCaps w:val="false"/>
        </w:rPr>
      </w:pPr>
      <w:r>
        <w:rPr>
          <w:caps w:val="false"/>
          <w:smallCaps w:val="false"/>
        </w:rPr>
        <w:t> </w:t>
      </w:r>
    </w:p>
    <w:tbl>
      <w:tblPr>
        <w:tblW w:w="9485" w:type="dxa"/>
        <w:jc w:val="left"/>
        <w:tblInd w:w="0" w:type="dxa"/>
        <w:tblCellMar>
          <w:top w:w="0" w:type="dxa"/>
          <w:left w:w="0" w:type="dxa"/>
          <w:bottom w:w="0" w:type="dxa"/>
          <w:right w:w="0" w:type="dxa"/>
        </w:tblCellMar>
      </w:tblPr>
      <w:tblGrid>
        <w:gridCol w:w="315"/>
        <w:gridCol w:w="9170"/>
      </w:tblGrid>
      <w:tr>
        <w:trPr/>
        <w:tc>
          <w:tcPr>
            <w:tcW w:w="315" w:type="dxa"/>
            <w:tcBorders/>
            <w:shd w:fill="EFF6EA" w:val="clear"/>
            <w:vAlign w:val="center"/>
          </w:tcPr>
          <w:p>
            <w:pPr>
              <w:pStyle w:val="TableContents"/>
              <w:spacing w:before="0" w:after="283"/>
              <w:rPr/>
            </w:pPr>
            <w:r>
              <w:rPr/>
              <w:drawing>
                <wp:inline distT="0" distB="0" distL="0" distR="0">
                  <wp:extent cx="190500" cy="190500"/>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50"/>
                          <a:stretch>
                            <a:fillRect/>
                          </a:stretch>
                        </pic:blipFill>
                        <pic:spPr bwMode="auto">
                          <a:xfrm>
                            <a:off x="0" y="0"/>
                            <a:ext cx="190500" cy="190500"/>
                          </a:xfrm>
                          <a:prstGeom prst="rect">
                            <a:avLst/>
                          </a:prstGeom>
                        </pic:spPr>
                      </pic:pic>
                    </a:graphicData>
                  </a:graphic>
                </wp:inline>
              </w:drawing>
            </w:r>
          </w:p>
        </w:tc>
        <w:tc>
          <w:tcPr>
            <w:tcW w:w="9170" w:type="dxa"/>
            <w:tcBorders/>
            <w:shd w:fill="EFF6EA" w:val="clear"/>
            <w:vAlign w:val="center"/>
          </w:tcPr>
          <w:p>
            <w:pPr>
              <w:pStyle w:val="TableContents"/>
              <w:spacing w:before="0" w:after="283"/>
              <w:jc w:val="left"/>
              <w:rPr>
                <w:b/>
              </w:rPr>
            </w:pPr>
            <w:r>
              <w:rPr>
                <w:b/>
              </w:rPr>
              <w:t>THE BOARD OF DIRECTORS RECOMMENDS A VOTE “</w:t>
            </w:r>
            <w:r>
              <w:rPr>
                <w:b/>
                <w:color w:val="7CBC3E"/>
              </w:rPr>
              <w:t>FOR</w:t>
            </w:r>
            <w:r>
              <w:rPr>
                <w:b/>
              </w:rPr>
              <w:t>” PROPOSAL NO. 4.</w:t>
            </w:r>
          </w:p>
        </w:tc>
      </w:tr>
    </w:tbl>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29</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2"/>
        <w:jc w:val="both"/>
        <w:rPr>
          <w:rFonts w:ascii="Arial;Helvetica;Sans-Serif" w:hAnsi="Arial;Helvetica;Sans-Serif"/>
          <w:b/>
          <w:i w:val="false"/>
          <w:caps w:val="false"/>
          <w:smallCaps w:val="false"/>
          <w:color w:val="7CBC3E"/>
          <w:sz w:val="40"/>
        </w:rPr>
      </w:pPr>
      <w:bookmarkStart w:id="64" w:name="lrarea062"/>
      <w:bookmarkEnd w:id="64"/>
      <w:r>
        <w:rPr>
          <w:rFonts w:ascii="Arial;Helvetica;Sans-Serif" w:hAnsi="Arial;Helvetica;Sans-Serif"/>
          <w:b/>
          <w:i w:val="false"/>
          <w:caps w:val="false"/>
          <w:smallCaps w:val="false"/>
          <w:color w:val="7CBC3E"/>
          <w:sz w:val="40"/>
        </w:rPr>
        <w:t>Report of the Audit Committee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The Audit Committee evaluates auditor performance, manages relations with our independent registered public accounting firm, and evaluates policies and procedures relating to internal control systems. The Audit Committee operates under a written Audit Committee Charter that has been adopted by the Board, a copy of which is available on our website at </w:t>
      </w:r>
      <w:r>
        <w:rPr>
          <w:rFonts w:ascii="Arial;Helvetica;Sans-Serif" w:hAnsi="Arial;Helvetica;Sans-Serif"/>
          <w:b w:val="false"/>
          <w:i/>
          <w:caps w:val="false"/>
          <w:smallCaps w:val="false"/>
          <w:sz w:val="18"/>
        </w:rPr>
        <w:t>www.ultragenyx.com</w:t>
      </w:r>
      <w:r>
        <w:rPr>
          <w:rFonts w:ascii="Arial;Helvetica;Sans-Serif" w:hAnsi="Arial;Helvetica;Sans-Serif"/>
          <w:b w:val="false"/>
          <w:i w:val="false"/>
          <w:caps w:val="false"/>
          <w:smallCaps w:val="false"/>
          <w:sz w:val="18"/>
        </w:rPr>
        <w:t>. All members of the Audit Committee currently meet the independence and qualification standards for Audit Committee membership set forth in the listing standards and rules of Nasdaq and the SEC.</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member of the Audit Committee is a professional accountant or auditor.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oversees our financial reporting process on behalf of the Board. Our management has the primary responsibility for the financial statements and reporting process, including our system of internal controls over financial reporting. In fulfilling its oversight responsibilities, the Audit Committee reviewed and discussed with management the audited financial statements included in the Annual Report on Form 10-K for the fiscal year ended December 31, 2022. This review included a discussion of the quality and the acceptability of our financial reporting, including the nature and extent of disclosures in the financial statements and the accompanying notes.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discussed with our independent registered public accounting firm, which is responsible for expressing an opinion on the conformity of the audited financial statements with accounting principles generally accepted in the United States of America, their judgments as to the quality and the acceptability of our financial reporting and such other matters as are required to be discussed with the Committee pursuant to applicable rules of the PCAOB and the SEC. The Audit Committee has received the written disclosures and the letter from the independent registered public accounting firm required by the applicable rules of the PCAOB regarding the independent accountant’s communications with the Audit Committee concerning independence. The Audit Committee discussed with the independent registered public accounting firm their independence.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to the matters specified above, the Audit Committee discussed with our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our financial reporting, and the independent registered public accounting firm’s reviews of the quarterly financial statements and drafts of the quarterly and annual reports.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Based on the reviews and discussions referred to above, the Audit Committee recommended to the Board that our audited financial statements should be included in our Annual Report on Form 10-K for the fiscal year ended December 31, 2022.</w:t>
      </w:r>
    </w:p>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Submitted by the Audit Committee of the Board of Directors</w:t>
      </w:r>
    </w:p>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Matthew Fust, Chairperson</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Corsee D. Sanders, Ph.D.</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Michael Narachi</w:t>
      </w:r>
    </w:p>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30</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both"/>
        <w:rPr>
          <w:rFonts w:ascii="Arial;Helvetica;Sans-Serif" w:hAnsi="Arial;Helvetica;Sans-Serif"/>
          <w:b/>
          <w:i w:val="false"/>
          <w:caps w:val="false"/>
          <w:smallCaps w:val="false"/>
          <w:color w:val="743F7B"/>
          <w:sz w:val="28"/>
        </w:rPr>
      </w:pPr>
      <w:bookmarkStart w:id="65" w:name="lrarea063"/>
      <w:bookmarkEnd w:id="65"/>
      <w:r>
        <w:rPr>
          <w:rFonts w:ascii="Arial;Helvetica;Sans-Serif" w:hAnsi="Arial;Helvetica;Sans-Serif"/>
          <w:b/>
          <w:i w:val="false"/>
          <w:caps w:val="false"/>
          <w:smallCaps w:val="false"/>
          <w:color w:val="743F7B"/>
          <w:sz w:val="28"/>
        </w:rPr>
        <w:t>PROPOSAL 5</w:t>
      </w:r>
    </w:p>
    <w:p>
      <w:pPr>
        <w:pStyle w:val="Heading2"/>
        <w:jc w:val="left"/>
        <w:rPr>
          <w:rFonts w:ascii="Arial;Helvetica;Sans-Serif" w:hAnsi="Arial;Helvetica;Sans-Serif"/>
          <w:b/>
          <w:i w:val="false"/>
          <w:caps w:val="false"/>
          <w:smallCaps w:val="false"/>
          <w:color w:val="7CBC3E"/>
          <w:sz w:val="40"/>
        </w:rPr>
      </w:pPr>
      <w:r>
        <w:rPr>
          <w:rFonts w:ascii="Arial;Helvetica;Sans-Serif" w:hAnsi="Arial;Helvetica;Sans-Serif"/>
          <w:b/>
          <w:i w:val="false"/>
          <w:caps w:val="false"/>
          <w:smallCaps w:val="false"/>
          <w:color w:val="7CBC3E"/>
          <w:sz w:val="40"/>
        </w:rPr>
        <w:t>Advisory (Non-Binding) Vote to Approve the Compensation of our Named Executive Officers</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66" w:name="lrarea064"/>
      <w:bookmarkEnd w:id="66"/>
      <w:r>
        <w:rPr>
          <w:rFonts w:ascii="Arial;Helvetica;Sans-Serif" w:hAnsi="Arial;Helvetica;Sans-Serif"/>
          <w:b/>
          <w:i w:val="false"/>
          <w:caps w:val="false"/>
          <w:smallCaps w:val="false"/>
          <w:sz w:val="28"/>
        </w:rPr>
        <w:t>Background</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Section 14A of the Securities Exchange Act of 1934, as amended (Exchange Act), as adopted pursuant to the Dodd-Frank Wall Street Reform and Consumer Protection Act (Dodd-Frank Act) requires that stockholders have the opportunity to cast an advisory (non-binding) vote to approve the compensation of our named executive officers (say-on-pay vote).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say-on-pay vote is a non-binding vote on the compensation of our “named executive officers,” as described in the Compensation Discussion and Analysis section, the tabular disclosure regarding such compensation, and the accompanying narrative disclosure, set forth in this Proxy Statement. The say-on-pay vote is not a vote on our general compensation policies, compensation of our Board of Directors, our compensation policies as they relate to risk management, or our pay ratio.</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philosophy in setting compensation policies for executive officers has two fundamental objectives: (1) to attract and retain a highly-skilled team of talented executives and (2) to align our executives’ interests with those of our stockholders by rewarding short-term and long-term performance and tying compensation to increases in stockholder value. The Compensation Committee believes that executive compensation should be directly linked to performance, including continuous improvements in corporate performance and accomplishments of our strategic plan that are expected to increase stockholder value. The Compensation Discussion and Analysis section starting on page 46 provides a more detailed discussion of the executive compensation program and compensation philosophy.</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vote under this Proposal No. 5 is advisory and therefore not binding on us, the Board, or our Compensation Committee. However, our Board, including our Compensation Committee, values the opinions of our stockholders and, to the extent there is any significant vote against this proposal, we will consider our stockholders’ concerns and evaluate what actions may be appropriate to address those concerns. The Dodd-Frank Act requires us to hold the say-on-pay vote at least once every three years, and we have determined to hold a say-on-pay vote every year. Unless the Board modifies its policy on the frequency of holding say-on-pay advisory votes, the next say-on-pay vote will occur in 2024.</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Stockholders will be asked at the Annual Meeting to approve the following resolution pursuant to this Proposal No. 5:</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RESOLVED, that the stockholders of Ultragenyx Pharmaceutical Inc. approve, on an advisory basis, the compensation of the Company’s “named executive officers” (as defined in the Company’s definitive proxy statement for the 2023 Annual Meeting of Stockholders (the “Proxy Statement”)), as such compensation is described in the Compensation Discussion and Analysis section, the tabular disclosure regarding such compensation, and the accompanying narrative disclosure, set forth in the Company’s Proxy Statement.</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67" w:name="lrarea065"/>
      <w:bookmarkEnd w:id="67"/>
      <w:r>
        <w:rPr>
          <w:rFonts w:ascii="Arial;Helvetica;Sans-Serif" w:hAnsi="Arial;Helvetica;Sans-Serif"/>
          <w:b/>
          <w:i w:val="false"/>
          <w:caps w:val="false"/>
          <w:smallCaps w:val="false"/>
          <w:sz w:val="28"/>
        </w:rPr>
        <w:t>Vote Required</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Approval of this resolution requires the affirmative vote of a majority of the votes cast on this proposal. Because abstentions and broker non-votes, if any, are not counted as votes cast for or against this resolution, they will have no effect on the outcome of the vote.</w:t>
      </w:r>
    </w:p>
    <w:p>
      <w:pPr>
        <w:pStyle w:val="TextBody"/>
        <w:jc w:val="both"/>
        <w:rPr>
          <w:caps w:val="false"/>
          <w:smallCaps w:val="false"/>
        </w:rPr>
      </w:pPr>
      <w:r>
        <w:rPr>
          <w:caps w:val="false"/>
          <w:smallCaps w:val="false"/>
        </w:rPr>
        <w:t> </w:t>
      </w:r>
    </w:p>
    <w:tbl>
      <w:tblPr>
        <w:tblW w:w="9485" w:type="dxa"/>
        <w:jc w:val="left"/>
        <w:tblInd w:w="0" w:type="dxa"/>
        <w:tblCellMar>
          <w:top w:w="0" w:type="dxa"/>
          <w:left w:w="0" w:type="dxa"/>
          <w:bottom w:w="0" w:type="dxa"/>
          <w:right w:w="0" w:type="dxa"/>
        </w:tblCellMar>
      </w:tblPr>
      <w:tblGrid>
        <w:gridCol w:w="315"/>
        <w:gridCol w:w="9170"/>
      </w:tblGrid>
      <w:tr>
        <w:trPr/>
        <w:tc>
          <w:tcPr>
            <w:tcW w:w="315" w:type="dxa"/>
            <w:tcBorders/>
            <w:shd w:fill="EFF6EA" w:val="clear"/>
            <w:vAlign w:val="center"/>
          </w:tcPr>
          <w:p>
            <w:pPr>
              <w:pStyle w:val="TableContents"/>
              <w:spacing w:before="0" w:after="283"/>
              <w:rPr/>
            </w:pPr>
            <w:r>
              <w:rPr/>
              <w:drawing>
                <wp:inline distT="0" distB="0" distL="0" distR="0">
                  <wp:extent cx="190500" cy="190500"/>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51"/>
                          <a:stretch>
                            <a:fillRect/>
                          </a:stretch>
                        </pic:blipFill>
                        <pic:spPr bwMode="auto">
                          <a:xfrm>
                            <a:off x="0" y="0"/>
                            <a:ext cx="190500" cy="190500"/>
                          </a:xfrm>
                          <a:prstGeom prst="rect">
                            <a:avLst/>
                          </a:prstGeom>
                        </pic:spPr>
                      </pic:pic>
                    </a:graphicData>
                  </a:graphic>
                </wp:inline>
              </w:drawing>
            </w:r>
          </w:p>
        </w:tc>
        <w:tc>
          <w:tcPr>
            <w:tcW w:w="9170" w:type="dxa"/>
            <w:tcBorders/>
            <w:shd w:fill="EFF6EA" w:val="clear"/>
            <w:vAlign w:val="center"/>
          </w:tcPr>
          <w:p>
            <w:pPr>
              <w:pStyle w:val="TableContents"/>
              <w:spacing w:before="0" w:after="283"/>
              <w:jc w:val="left"/>
              <w:rPr>
                <w:b/>
              </w:rPr>
            </w:pPr>
            <w:r>
              <w:rPr>
                <w:b/>
              </w:rPr>
              <w:t>THE BOARD OF DIRECTORS RECOMMENDS A VOTE “</w:t>
            </w:r>
            <w:r>
              <w:rPr>
                <w:b/>
                <w:color w:val="7CBC3E"/>
              </w:rPr>
              <w:t>FOR</w:t>
            </w:r>
            <w:r>
              <w:rPr>
                <w:b/>
              </w:rPr>
              <w:t>” PROPOSAL NO. 5.</w:t>
            </w:r>
          </w:p>
        </w:tc>
      </w:tr>
    </w:tbl>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31</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2"/>
        <w:jc w:val="both"/>
        <w:rPr>
          <w:rFonts w:ascii="Arial;Helvetica;Sans-Serif" w:hAnsi="Arial;Helvetica;Sans-Serif"/>
          <w:b/>
          <w:i w:val="false"/>
          <w:caps w:val="false"/>
          <w:smallCaps w:val="false"/>
          <w:color w:val="7CBC3E"/>
          <w:sz w:val="40"/>
        </w:rPr>
      </w:pPr>
      <w:bookmarkStart w:id="68" w:name="lrarea066"/>
      <w:bookmarkEnd w:id="68"/>
      <w:r>
        <w:rPr>
          <w:rFonts w:ascii="Arial;Helvetica;Sans-Serif" w:hAnsi="Arial;Helvetica;Sans-Serif"/>
          <w:b/>
          <w:i w:val="false"/>
          <w:caps w:val="false"/>
          <w:smallCaps w:val="false"/>
          <w:color w:val="7CBC3E"/>
          <w:sz w:val="40"/>
        </w:rPr>
        <w:t>Corporate Governance</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69" w:name="lrarea067"/>
      <w:bookmarkEnd w:id="69"/>
      <w:r>
        <w:rPr>
          <w:rFonts w:ascii="Arial;Helvetica;Sans-Serif" w:hAnsi="Arial;Helvetica;Sans-Serif"/>
          <w:b/>
          <w:i w:val="false"/>
          <w:caps w:val="false"/>
          <w:smallCaps w:val="false"/>
          <w:sz w:val="28"/>
        </w:rPr>
        <w:t>Director Independence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currently consists of nine members. Our Board has determined that Dr. Dunsire, Dr. Ekman, Mr. Fust, Mr. Narachi, Dr. Ray, Dr. Sanders, Dr. Suliman, and Mr. Welch qualify as “independent” directors in accordance with Nasdaq listing requirements and rules. Dr. Kakkis is not considered independent because he is an employee of the Company. Former director William Aliski, whose term expired at the 2022 annual meeting of stockholders, was independent during the period he served on the Board. Under Nasdaq rules, the Board’s determination of a director’s independence considers objective tests, such as whether the director is, or has been within the last three years, an employee of the Company and whether the director or any of his or her family members has engaged in certain types of business dealings with us. Under Nasdaq rules, our Board also evaluates whether any relationships exist that, in the opinion of our Board, would interfere with the exercise of independent judgment in carrying out the responsibilities of a director. In making these independence determinations, our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70" w:name="lrarea068"/>
      <w:bookmarkEnd w:id="70"/>
      <w:r>
        <w:rPr>
          <w:rFonts w:ascii="Arial;Helvetica;Sans-Serif" w:hAnsi="Arial;Helvetica;Sans-Serif"/>
          <w:b/>
          <w:i w:val="false"/>
          <w:caps w:val="false"/>
          <w:smallCaps w:val="false"/>
          <w:sz w:val="28"/>
        </w:rPr>
        <w:t>Director Overboarding Policy</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believes that all members of the Board must have sufficient time to focus on his or her Board duties. Our Corporate Governance Guidelines limit the total number of public company boards that a director may serve as follows:</w:t>
      </w:r>
    </w:p>
    <w:p>
      <w:pPr>
        <w:pStyle w:val="TextBody"/>
        <w:jc w:val="both"/>
        <w:rPr>
          <w:caps w:val="false"/>
          <w:smallCaps w:val="false"/>
        </w:rPr>
      </w:pPr>
      <w:r>
        <w:rPr>
          <w:caps w:val="false"/>
          <w:smallCaps w:val="false"/>
        </w:rPr>
        <w:t> </w:t>
      </w:r>
    </w:p>
    <w:tbl>
      <w:tblPr>
        <w:tblW w:w="10180" w:type="dxa"/>
        <w:jc w:val="left"/>
        <w:tblInd w:w="0" w:type="dxa"/>
        <w:tblCellMar>
          <w:top w:w="0" w:type="dxa"/>
          <w:left w:w="0" w:type="dxa"/>
          <w:bottom w:w="0" w:type="dxa"/>
          <w:right w:w="0" w:type="dxa"/>
        </w:tblCellMar>
      </w:tblPr>
      <w:tblGrid>
        <w:gridCol w:w="125"/>
        <w:gridCol w:w="10055"/>
      </w:tblGrid>
      <w:tr>
        <w:trPr/>
        <w:tc>
          <w:tcPr>
            <w:tcW w:w="125" w:type="dxa"/>
            <w:tcBorders/>
            <w:shd w:fill="auto" w:val="clear"/>
            <w:vAlign w:val="center"/>
          </w:tcPr>
          <w:p>
            <w:pPr>
              <w:pStyle w:val="TableContents"/>
              <w:spacing w:before="0" w:after="283"/>
              <w:rPr>
                <w:color w:val="7CBC3E"/>
              </w:rPr>
            </w:pPr>
            <w:r>
              <w:rPr>
                <w:color w:val="7CBC3E"/>
              </w:rPr>
              <w:t>•</w:t>
            </w:r>
          </w:p>
        </w:tc>
        <w:tc>
          <w:tcPr>
            <w:tcW w:w="10055" w:type="dxa"/>
            <w:tcBorders/>
            <w:shd w:fill="auto" w:val="clear"/>
            <w:vAlign w:val="center"/>
          </w:tcPr>
          <w:p>
            <w:pPr>
              <w:pStyle w:val="TableContents"/>
              <w:spacing w:before="0" w:after="283"/>
              <w:rPr/>
            </w:pPr>
            <w:r>
              <w:rPr>
                <w:i/>
              </w:rPr>
              <w:t xml:space="preserve">Director who is not a public company Chief Executive Officer: </w:t>
            </w:r>
            <w:r>
              <w:rPr/>
              <w:t xml:space="preserve">five total public company boards </w:t>
            </w:r>
          </w:p>
        </w:tc>
      </w:tr>
      <w:tr>
        <w:trPr/>
        <w:tc>
          <w:tcPr>
            <w:tcW w:w="125" w:type="dxa"/>
            <w:tcBorders/>
            <w:shd w:fill="auto" w:val="clear"/>
            <w:vAlign w:val="center"/>
          </w:tcPr>
          <w:p>
            <w:pPr>
              <w:pStyle w:val="TableContents"/>
              <w:spacing w:before="0" w:after="283"/>
              <w:rPr>
                <w:color w:val="7CBC3E"/>
              </w:rPr>
            </w:pPr>
            <w:r>
              <w:rPr>
                <w:color w:val="7CBC3E"/>
              </w:rPr>
              <w:t>•</w:t>
            </w:r>
          </w:p>
        </w:tc>
        <w:tc>
          <w:tcPr>
            <w:tcW w:w="10055" w:type="dxa"/>
            <w:tcBorders/>
            <w:shd w:fill="auto" w:val="clear"/>
            <w:vAlign w:val="center"/>
          </w:tcPr>
          <w:p>
            <w:pPr>
              <w:pStyle w:val="TableContents"/>
              <w:spacing w:before="0" w:after="283"/>
              <w:jc w:val="both"/>
              <w:rPr/>
            </w:pPr>
            <w:r>
              <w:rPr>
                <w:i/>
              </w:rPr>
              <w:t xml:space="preserve">Director who serves as a Chief Executive Officer of a public company: </w:t>
            </w:r>
            <w:r>
              <w:rPr/>
              <w:t xml:space="preserve">three total public company boards </w:t>
            </w:r>
          </w:p>
        </w:tc>
      </w:tr>
    </w:tbl>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of our directors are currently in compliance with our policy.</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71" w:name="lrarea069"/>
      <w:bookmarkEnd w:id="71"/>
      <w:r>
        <w:rPr>
          <w:rFonts w:ascii="Arial;Helvetica;Sans-Serif" w:hAnsi="Arial;Helvetica;Sans-Serif"/>
          <w:b/>
          <w:i w:val="false"/>
          <w:caps w:val="false"/>
          <w:smallCaps w:val="false"/>
          <w:sz w:val="28"/>
        </w:rPr>
        <w:t>Global Code of Conduct</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We have adopted a Global Code of Conduct that applies to all of our employees, officers, and directors, including our principal executive officer, principal financial officer, principal accounting officer or controller, or persons performing similar functions. Our Global Code of Conduct is available on our website, </w:t>
      </w:r>
      <w:r>
        <w:rPr>
          <w:rFonts w:ascii="Arial;Helvetica;Sans-Serif" w:hAnsi="Arial;Helvetica;Sans-Serif"/>
          <w:b w:val="false"/>
          <w:i/>
          <w:caps w:val="false"/>
          <w:smallCaps w:val="false"/>
          <w:sz w:val="18"/>
        </w:rPr>
        <w:t>www.ultragenyx.com</w:t>
      </w:r>
      <w:r>
        <w:rPr>
          <w:rFonts w:ascii="Arial;Helvetica;Sans-Serif" w:hAnsi="Arial;Helvetica;Sans-Serif"/>
          <w:b w:val="false"/>
          <w:i w:val="false"/>
          <w:caps w:val="false"/>
          <w:smallCaps w:val="false"/>
          <w:sz w:val="18"/>
        </w:rPr>
        <w:t>, under the “Corporate Governance” subsection of the “Investors” tab. We intend to promptly disclose on our website any future changes or amendments to the Global Code of Conduct that we are required to disclose under applicable rules, and any waivers of our Global Code of Conduct granted to our Chairman of the Board, any of our executive officers, or any member of our Board. Our Board is responsible for applying and interpreting the Global Code of Conduct in situations where questions are presented to it.</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72" w:name="lrarea070"/>
      <w:bookmarkEnd w:id="72"/>
      <w:r>
        <w:rPr>
          <w:rFonts w:ascii="Arial;Helvetica;Sans-Serif" w:hAnsi="Arial;Helvetica;Sans-Serif"/>
          <w:b/>
          <w:i w:val="false"/>
          <w:caps w:val="false"/>
          <w:smallCaps w:val="false"/>
          <w:sz w:val="28"/>
        </w:rPr>
        <w:t>Anti-Hedging Policy</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insider trading policy prohibits our directors and employees, including our executive officers, from engaging in hedging transactions that are designed to hedge, offset or transfer with respect to equity compensation received by a director or employee or other equity securities held (directly or indirectly) by a director or employee, all or a portion of the risk of a decline in the market price of shares of our stock.</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73" w:name="lrarea071"/>
      <w:bookmarkEnd w:id="73"/>
      <w:r>
        <w:rPr>
          <w:rFonts w:ascii="Arial;Helvetica;Sans-Serif" w:hAnsi="Arial;Helvetica;Sans-Serif"/>
          <w:b/>
          <w:i w:val="false"/>
          <w:caps w:val="false"/>
          <w:smallCaps w:val="false"/>
          <w:sz w:val="28"/>
        </w:rPr>
        <w:t>Stockholder Communications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Generally, stockholders who have questions or concerns regarding the Company should contact our Investor Relations department at (844) 280-7681. However, any stockholders who wish to address questions regarding our business or affairs directly with the Board, or any individual director, should direct his or her questions in writing to the Chairman of the Board, c/o Ultragenyx Pharmaceutical Inc., 60 Leveroni Court, Novato, California 94949. At the request of the Chairman of the Board, the Corporate Secretary reviews all correspondence addressed to the Chairman, organizes the correspondence, and provides it to the Chairman or to individual directors, as appropriate. Our independent directors have requested that certain items that inappropriate or are unrelated to the Board’s duties, such as spam, junk mail, mass mailings, solicitations, resumes, and job inquiries not be provided to directors.</w:t>
      </w:r>
    </w:p>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32</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2"/>
        <w:jc w:val="both"/>
        <w:rPr>
          <w:rFonts w:ascii="Arial;Helvetica;Sans-Serif" w:hAnsi="Arial;Helvetica;Sans-Serif"/>
          <w:b/>
          <w:i w:val="false"/>
          <w:caps w:val="false"/>
          <w:smallCaps w:val="false"/>
          <w:color w:val="7CBC3E"/>
          <w:sz w:val="40"/>
        </w:rPr>
      </w:pPr>
      <w:bookmarkStart w:id="74" w:name="lrarea072"/>
      <w:bookmarkEnd w:id="74"/>
      <w:r>
        <w:rPr>
          <w:rFonts w:ascii="Arial;Helvetica;Sans-Serif" w:hAnsi="Arial;Helvetica;Sans-Serif"/>
          <w:b/>
          <w:i w:val="false"/>
          <w:caps w:val="false"/>
          <w:smallCaps w:val="false"/>
          <w:color w:val="7CBC3E"/>
          <w:sz w:val="40"/>
        </w:rPr>
        <w:t>Board of Directors and Committees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During fiscal 2022, our Board met five times. Each of our current directors attended at least 90% of the aggregate meetings of the Board and meetings of the committees of which the director was a member in fiscal 2022 held during the period when the director served on the Board or the committees, as applicable.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has a standing Audit Committee, Compensation Committee, Nominating and Corporate Governance Committee, and Research and Development Committee. All members of the Audit, Compensation, and Nominating and Corporate Governance Committees are non- employee directors whom the Board has determined are independent under applicable independence standards (including the heightened independence standards that apply to Audit Committee and Compensation Committee members).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Nine of the directors serving at the time of the 2022 Annual Meeting of Stockholders (2022 Annual Meeting) attended such annual meeting. Each director who is up for election at an annual meeting of stockholders or who has a term that continues after such annual meeting is encouraged to attend the annual meeting of stockholders.</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75" w:name="lrarea073"/>
      <w:bookmarkEnd w:id="75"/>
      <w:r>
        <w:rPr>
          <w:rFonts w:ascii="Arial;Helvetica;Sans-Serif" w:hAnsi="Arial;Helvetica;Sans-Serif"/>
          <w:b/>
          <w:i w:val="false"/>
          <w:caps w:val="false"/>
          <w:smallCaps w:val="false"/>
          <w:sz w:val="28"/>
        </w:rPr>
        <w:t>Board Leadership Structure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currently separate the positions of Chairman of the Board and Chief Executive Officer, which allows our Chief Executive Officer, Dr. Kakkis, to focus on our day-to-day business, while allowing the Chairman of the Board, Mr. Welch, to lead the Board in its fundamental role of providing advice to and independent oversight of management. Independent oversight of management is an important goal of the Board, which is why our Corporate Governance Guidelines provide that a lead independent director will be appointed by the Board if the Chairman is not independent. Additionally, our Board recognizes the time, effort, and energy that the Chief Executive Officer is required to devote to his position in the current business environment, as well as the commitment required to serve as our Chairman. Our Board also believes that the separation of the Chairman and Chief Executive Officer positions fosters a greater role for the independent directors in the oversight of our Company and active participation of the independent directors in setting agendas and establishing priorities and procedures for the work of our Board. The benefits of the separated Chairman and Chief Executive Officer positions are augmented by the independence of eight of our nine current directors, including our Chairman, and our independent Board committees that provide appropriate oversight in the areas described below. At executive sessions of independent directors, these directors can speak candidly on any matter of interest. The independent directors of the Board regularly meet in executive sessions, and met four times in 2022, and the Chairman presides at these sessions. We believe this structure provides effective oversight of our management and the Company.</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76" w:name="lrarea074"/>
      <w:bookmarkEnd w:id="76"/>
      <w:r>
        <w:rPr>
          <w:rFonts w:ascii="Arial;Helvetica;Sans-Serif" w:hAnsi="Arial;Helvetica;Sans-Serif"/>
          <w:b/>
          <w:i w:val="false"/>
          <w:caps w:val="false"/>
          <w:smallCaps w:val="false"/>
          <w:sz w:val="28"/>
        </w:rPr>
        <w:t>Role of the Board in Risk Oversight</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has overall responsibility for the oversight of our risk management process, which is designed to 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assessing what level of risk is acceptable and appropriate for us, taking into account the immediacy of any such risks, and evaluating risks and circumstances across various timeframes, including the short, medium and long term. Management is responsible for establishing our business strategy, identifying and assessing the related risks, and implementing appropriate risk management practices. The Board periodically reviews our business strategy and management’s assessment of the related risk and discusses with management the appropriate level of risk for us. The Board also periodically evaluates and discusses potential emerging risks with members of senior management as well as third-party advisors and experts. In 2022, the Board and the committees, as appropriate, reviewed with management the various risks and mitigation strategies related to the macroeconomic environment, cost containment strategies, prioritization of the Company’s pipeline programs and the Company’s initiatives related to ESG and sustainability matters. The Board also delegates to Board committees oversight of selected elements of risk as set forth below.</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77" w:name="lrarea075"/>
      <w:bookmarkEnd w:id="77"/>
      <w:r>
        <w:rPr>
          <w:rFonts w:ascii="Arial;Helvetica;Sans-Serif" w:hAnsi="Arial;Helvetica;Sans-Serif"/>
          <w:b/>
          <w:i w:val="false"/>
          <w:caps w:val="false"/>
          <w:smallCaps w:val="false"/>
          <w:sz w:val="28"/>
        </w:rPr>
        <w:t>Board Committees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currently has a standing Audit Committee, Compensation Committee, Nominating and Governance Committee and Research and Development Committee. Each of these committees operates under a written charter which sets forth the functions and responsibilities of the committee, a copy of which is available on our website at www.ultragenyx.com under the “Corporate Governance” subsection of the “Investors” tab.</w:t>
      </w:r>
    </w:p>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33</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3967"/>
        <w:gridCol w:w="300"/>
        <w:gridCol w:w="5938"/>
      </w:tblGrid>
      <w:tr>
        <w:trPr/>
        <w:tc>
          <w:tcPr>
            <w:tcW w:w="3967" w:type="dxa"/>
            <w:tcBorders/>
            <w:shd w:fill="7CBC3E" w:val="clear"/>
            <w:vAlign w:val="center"/>
          </w:tcPr>
          <w:p>
            <w:pPr>
              <w:pStyle w:val="TableContents"/>
              <w:spacing w:before="0" w:after="283"/>
              <w:jc w:val="both"/>
              <w:rPr>
                <w:b/>
                <w:color w:val="FFFFFF"/>
              </w:rPr>
            </w:pPr>
            <w:r>
              <w:rPr>
                <w:b/>
                <w:color w:val="FFFFFF"/>
              </w:rPr>
              <w:t>Audit Committee</w:t>
            </w:r>
          </w:p>
        </w:tc>
        <w:tc>
          <w:tcPr>
            <w:tcW w:w="300" w:type="dxa"/>
            <w:tcBorders/>
            <w:shd w:fill="7CBC3E" w:val="clear"/>
            <w:vAlign w:val="center"/>
          </w:tcPr>
          <w:p>
            <w:pPr>
              <w:pStyle w:val="TableContents"/>
              <w:spacing w:before="0" w:after="283"/>
              <w:jc w:val="both"/>
              <w:rPr/>
            </w:pPr>
            <w:r>
              <w:rPr/>
              <w:t>     </w:t>
            </w:r>
          </w:p>
        </w:tc>
        <w:tc>
          <w:tcPr>
            <w:tcW w:w="5938" w:type="dxa"/>
            <w:tcBorders/>
            <w:shd w:fill="7CBC3E" w:val="clear"/>
            <w:vAlign w:val="center"/>
          </w:tcPr>
          <w:p>
            <w:pPr>
              <w:pStyle w:val="TableContents"/>
              <w:spacing w:before="0" w:after="283"/>
              <w:jc w:val="both"/>
              <w:rPr>
                <w:b/>
                <w:color w:val="FFFFFF"/>
              </w:rPr>
            </w:pPr>
            <w:r>
              <w:rPr>
                <w:b/>
                <w:color w:val="FFFFFF"/>
              </w:rPr>
              <w:t>Key Responsibilities</w:t>
            </w:r>
          </w:p>
        </w:tc>
      </w:tr>
      <w:tr>
        <w:trPr/>
        <w:tc>
          <w:tcPr>
            <w:tcW w:w="3967" w:type="dxa"/>
            <w:tcBorders>
              <w:bottom w:val="single" w:sz="12" w:space="0" w:color="7CBC3E"/>
            </w:tcBorders>
            <w:shd w:fill="auto" w:val="clear"/>
            <w:tcMar>
              <w:bottom w:w="40" w:type="dxa"/>
            </w:tcMar>
            <w:vAlign w:val="center"/>
          </w:tcPr>
          <w:p>
            <w:pPr>
              <w:pStyle w:val="TableContents"/>
              <w:jc w:val="both"/>
              <w:rPr/>
            </w:pPr>
            <w:r>
              <w:rPr>
                <w:b/>
              </w:rPr>
              <w:t>Members</w:t>
            </w:r>
            <w:r>
              <w:rPr/>
              <w:t>:</w:t>
            </w:r>
          </w:p>
          <w:p>
            <w:pPr>
              <w:pStyle w:val="TableContents"/>
              <w:rPr/>
            </w:pPr>
            <w:r>
              <w:rPr/>
              <w:t>Matthew K. Fust (Chairperson)</w:t>
              <w:br/>
              <w:t>Michael Narachi</w:t>
              <w:br/>
              <w:t>Corsee D. Sanders, Ph.D.</w:t>
            </w:r>
          </w:p>
          <w:p>
            <w:pPr>
              <w:pStyle w:val="TableContents"/>
              <w:jc w:val="both"/>
              <w:rPr/>
            </w:pPr>
            <w:r>
              <w:rPr/>
              <w:t> </w:t>
            </w:r>
          </w:p>
          <w:p>
            <w:pPr>
              <w:pStyle w:val="TableContents"/>
              <w:jc w:val="both"/>
              <w:rPr/>
            </w:pPr>
            <w:r>
              <w:rPr>
                <w:i/>
              </w:rPr>
              <w:t>All members of the Audit Committee satisfy the current independence and financial literacy standards promulgated by Nasdaq and the SEC, and the Board has determined that Mr. Fust qualifies as an “audit committee financial expert,” as the SEC has defined that term in Item 407 of Regulation S-K</w:t>
            </w:r>
            <w:r>
              <w:rPr/>
              <w:t xml:space="preserve">  </w:t>
            </w:r>
          </w:p>
          <w:p>
            <w:pPr>
              <w:pStyle w:val="TableContents"/>
              <w:jc w:val="both"/>
              <w:rPr/>
            </w:pPr>
            <w:r>
              <w:rPr/>
              <w:t> </w:t>
            </w:r>
          </w:p>
          <w:p>
            <w:pPr>
              <w:pStyle w:val="TableContents"/>
              <w:spacing w:before="0" w:after="283"/>
              <w:jc w:val="both"/>
              <w:rPr>
                <w:b/>
              </w:rPr>
            </w:pPr>
            <w:r>
              <w:rPr>
                <w:b/>
              </w:rPr>
              <w:t xml:space="preserve">Meetings held during 2022: </w:t>
            </w:r>
            <w:r>
              <w:rPr>
                <w:b/>
                <w:color w:val="7CBC3E"/>
              </w:rPr>
              <w:t>Six</w:t>
            </w:r>
          </w:p>
        </w:tc>
        <w:tc>
          <w:tcPr>
            <w:tcW w:w="300" w:type="dxa"/>
            <w:tcBorders>
              <w:bottom w:val="single" w:sz="12" w:space="0" w:color="7CBC3E"/>
            </w:tcBorders>
            <w:shd w:fill="auto" w:val="clear"/>
            <w:tcMar>
              <w:bottom w:w="40" w:type="dxa"/>
            </w:tcMar>
            <w:vAlign w:val="center"/>
          </w:tcPr>
          <w:p>
            <w:pPr>
              <w:pStyle w:val="TableContents"/>
              <w:spacing w:before="0" w:after="283"/>
              <w:jc w:val="both"/>
              <w:rPr/>
            </w:pPr>
            <w:r>
              <w:rPr/>
              <w:t> </w:t>
            </w:r>
          </w:p>
        </w:tc>
        <w:tc>
          <w:tcPr>
            <w:tcW w:w="5938" w:type="dxa"/>
            <w:tcBorders>
              <w:bottom w:val="single" w:sz="12" w:space="0" w:color="7CBC3E"/>
            </w:tcBorders>
            <w:shd w:fill="auto" w:val="clear"/>
            <w:tcMar>
              <w:bottom w:w="40" w:type="dxa"/>
            </w:tcMar>
            <w:vAlign w:val="center"/>
          </w:tcPr>
          <w:p>
            <w:pPr>
              <w:pStyle w:val="TableContents"/>
              <w:jc w:val="both"/>
              <w:rPr/>
            </w:pPr>
            <w:r>
              <w:rPr/>
              <w:t>The Audit Committee has been delegated the task of overseeing significant financial risks facing us and steps management has undertaken to mitigate these risks. The Audit Committee reports back to the Board regarding these risks. In 2022, the Audit Committee reviewed with management, in particular, the risks and mitigation strategies related to cybersecurity and the security programs related to our information technology systems. The Audit Committee is also responsible for the following:</w:t>
            </w:r>
          </w:p>
          <w:p>
            <w:pPr>
              <w:pStyle w:val="TableContents"/>
              <w:jc w:val="both"/>
              <w:rPr>
                <w:color w:val="7CBC3E"/>
              </w:rPr>
            </w:pPr>
            <w:r>
              <w:rPr>
                <w:color w:val="7CBC3E"/>
              </w:rPr>
              <w:t> </w:t>
            </w:r>
          </w:p>
          <w:p>
            <w:pPr>
              <w:pStyle w:val="TableContents"/>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Appoints, approves the compensation of, reviews the performance of, and assesses the independence of our independent registered public accounting firm</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Approves audit and permissible non-audit services, and the terms of such services, to be provided by our independent registered public accounting firm  </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Reviews the audit plan with the independent registered public accounting firm and members of management responsible for preparing our financial statements</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Reviews and discusses with management and the independent registered public accounting firm our annual and quarterly financial statements and related disclosures and critical accounting policies</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Reviews the adequacy of our internal control over financial reporting; establishes policies and procedures for the receipt and retention of accounting-related complaints and concerns</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Recommends whether our audited financial statements shall be included in our annual reports on Form 10-K</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Prepares the audit committee report to be included in our annual proxy statements</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Reviews all related-person transactions</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Reviews policies related to financial risk assessment and management</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Establishes, maintains, and oversees our Global Code of Conduct</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Assists the Nominating and Corporate Governance Committee by overseeing our compliance program with respect to legal and regulatory requirements impacting areas of financial risk</w:t>
            </w:r>
          </w:p>
          <w:p>
            <w:pPr>
              <w:pStyle w:val="TableContents"/>
              <w:rPr>
                <w:color w:val="093C79"/>
              </w:rPr>
            </w:pPr>
            <w:r>
              <w:rPr>
                <w:caps w:val="false"/>
                <w:smallCaps w:val="false"/>
                <w:color w:val="7CBC3E"/>
              </w:rPr>
              <w:t>•</w:t>
            </w:r>
            <w:r>
              <w:rPr>
                <w:caps w:val="false"/>
                <w:smallCaps w:val="false"/>
                <w:color w:val="093C79"/>
              </w:rPr>
              <w:t>  </w:t>
            </w:r>
          </w:p>
          <w:p>
            <w:pPr>
              <w:pStyle w:val="TableContents"/>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Annually reviews and reassesses the adequacy of the Audit Committee charter and performs other duties, as specified in the charter</w:t>
            </w:r>
          </w:p>
        </w:tc>
      </w:tr>
    </w:tbl>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34</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2691"/>
        <w:gridCol w:w="300"/>
        <w:gridCol w:w="7214"/>
      </w:tblGrid>
      <w:tr>
        <w:trPr/>
        <w:tc>
          <w:tcPr>
            <w:tcW w:w="2691" w:type="dxa"/>
            <w:tcBorders/>
            <w:shd w:fill="7CBC3E" w:val="clear"/>
            <w:vAlign w:val="center"/>
          </w:tcPr>
          <w:p>
            <w:pPr>
              <w:pStyle w:val="TableContents"/>
              <w:spacing w:before="0" w:after="283"/>
              <w:jc w:val="both"/>
              <w:rPr>
                <w:b/>
                <w:color w:val="FFFFFF"/>
              </w:rPr>
            </w:pPr>
            <w:r>
              <w:rPr>
                <w:b/>
                <w:color w:val="FFFFFF"/>
              </w:rPr>
              <w:t>Compensation Committee</w:t>
            </w:r>
          </w:p>
        </w:tc>
        <w:tc>
          <w:tcPr>
            <w:tcW w:w="300" w:type="dxa"/>
            <w:tcBorders/>
            <w:shd w:fill="7CBC3E" w:val="clear"/>
            <w:vAlign w:val="center"/>
          </w:tcPr>
          <w:p>
            <w:pPr>
              <w:pStyle w:val="TableContents"/>
              <w:spacing w:before="0" w:after="283"/>
              <w:jc w:val="both"/>
              <w:rPr/>
            </w:pPr>
            <w:r>
              <w:rPr/>
              <w:t>     </w:t>
            </w:r>
          </w:p>
        </w:tc>
        <w:tc>
          <w:tcPr>
            <w:tcW w:w="7214" w:type="dxa"/>
            <w:tcBorders/>
            <w:shd w:fill="7CBC3E" w:val="clear"/>
            <w:vAlign w:val="center"/>
          </w:tcPr>
          <w:p>
            <w:pPr>
              <w:pStyle w:val="TableContents"/>
              <w:spacing w:before="0" w:after="283"/>
              <w:jc w:val="both"/>
              <w:rPr>
                <w:b/>
                <w:color w:val="FFFFFF"/>
              </w:rPr>
            </w:pPr>
            <w:r>
              <w:rPr>
                <w:b/>
                <w:color w:val="FFFFFF"/>
              </w:rPr>
              <w:t>Key Responsibilities</w:t>
            </w:r>
          </w:p>
        </w:tc>
      </w:tr>
      <w:tr>
        <w:trPr/>
        <w:tc>
          <w:tcPr>
            <w:tcW w:w="2691" w:type="dxa"/>
            <w:tcBorders>
              <w:bottom w:val="single" w:sz="12" w:space="0" w:color="7CBC3E"/>
            </w:tcBorders>
            <w:shd w:fill="auto" w:val="clear"/>
            <w:tcMar>
              <w:bottom w:w="40" w:type="dxa"/>
            </w:tcMar>
            <w:vAlign w:val="center"/>
          </w:tcPr>
          <w:p>
            <w:pPr>
              <w:pStyle w:val="TableContents"/>
              <w:jc w:val="both"/>
              <w:rPr/>
            </w:pPr>
            <w:r>
              <w:rPr>
                <w:b/>
              </w:rPr>
              <w:t>Members</w:t>
            </w:r>
            <w:r>
              <w:rPr/>
              <w:t>:</w:t>
            </w:r>
          </w:p>
          <w:p>
            <w:pPr>
              <w:pStyle w:val="TableContents"/>
              <w:rPr/>
            </w:pPr>
            <w:r>
              <w:rPr/>
              <w:t>Michael Narachi (Chairperson)</w:t>
              <w:br/>
              <w:t>Deborah Dunsire, M.D.</w:t>
              <w:br/>
              <w:t>Daniel G. Welch    </w:t>
            </w:r>
          </w:p>
          <w:p>
            <w:pPr>
              <w:pStyle w:val="TableContents"/>
              <w:jc w:val="both"/>
              <w:rPr/>
            </w:pPr>
            <w:r>
              <w:rPr/>
              <w:t> </w:t>
            </w:r>
          </w:p>
          <w:p>
            <w:pPr>
              <w:pStyle w:val="TableContents"/>
              <w:jc w:val="both"/>
              <w:rPr/>
            </w:pPr>
            <w:r>
              <w:rPr>
                <w:i/>
              </w:rPr>
              <w:t>All members of the Compensation Committee satisfy the current Nasdaq and SEC independence standards</w:t>
            </w:r>
            <w:r>
              <w:rPr/>
              <w:t xml:space="preserve">  </w:t>
            </w:r>
          </w:p>
          <w:p>
            <w:pPr>
              <w:pStyle w:val="TableContents"/>
              <w:jc w:val="both"/>
              <w:rPr/>
            </w:pPr>
            <w:r>
              <w:rPr/>
              <w:t> </w:t>
            </w:r>
          </w:p>
          <w:p>
            <w:pPr>
              <w:pStyle w:val="TableContents"/>
              <w:spacing w:before="0" w:after="283"/>
              <w:jc w:val="both"/>
              <w:rPr>
                <w:b/>
              </w:rPr>
            </w:pPr>
            <w:r>
              <w:rPr>
                <w:b/>
              </w:rPr>
              <w:t xml:space="preserve">Meetings held during 2022: </w:t>
            </w:r>
            <w:r>
              <w:rPr>
                <w:b/>
                <w:color w:val="7CBC3E"/>
              </w:rPr>
              <w:t>Four</w:t>
            </w:r>
          </w:p>
        </w:tc>
        <w:tc>
          <w:tcPr>
            <w:tcW w:w="300" w:type="dxa"/>
            <w:tcBorders>
              <w:bottom w:val="single" w:sz="12" w:space="0" w:color="7CBC3E"/>
            </w:tcBorders>
            <w:shd w:fill="auto" w:val="clear"/>
            <w:tcMar>
              <w:bottom w:w="40" w:type="dxa"/>
            </w:tcMar>
            <w:vAlign w:val="center"/>
          </w:tcPr>
          <w:p>
            <w:pPr>
              <w:pStyle w:val="TableContents"/>
              <w:spacing w:before="0" w:after="283"/>
              <w:jc w:val="both"/>
              <w:rPr/>
            </w:pPr>
            <w:r>
              <w:rPr/>
              <w:t> </w:t>
            </w:r>
          </w:p>
        </w:tc>
        <w:tc>
          <w:tcPr>
            <w:tcW w:w="7214" w:type="dxa"/>
            <w:tcBorders>
              <w:bottom w:val="single" w:sz="12" w:space="0" w:color="7CBC3E"/>
            </w:tcBorders>
            <w:shd w:fill="auto" w:val="clear"/>
            <w:tcMar>
              <w:bottom w:w="40" w:type="dxa"/>
            </w:tcMar>
            <w:vAlign w:val="center"/>
          </w:tcPr>
          <w:p>
            <w:pPr>
              <w:pStyle w:val="TableContents"/>
              <w:jc w:val="both"/>
              <w:rPr/>
            </w:pPr>
            <w:r>
              <w:rPr/>
              <w:t>The Compensation Committee has been delegated the task of overseeing risks related to our compensation policies and programs. In 2022, the Compensation Committee reviewed with management in particular the risks and mitigation strategies related to human capital management and strategies related to employee retention and the Company’s management of outstanding equity awards. The Compensation Committee is also responsible for the following:</w:t>
            </w:r>
          </w:p>
          <w:p>
            <w:pPr>
              <w:pStyle w:val="TableContents"/>
              <w:jc w:val="both"/>
              <w:rPr>
                <w:color w:val="7CBC3E"/>
              </w:rPr>
            </w:pPr>
            <w:r>
              <w:rPr>
                <w:color w:val="7CBC3E"/>
              </w:rPr>
              <w:t> </w:t>
            </w:r>
          </w:p>
          <w:p>
            <w:pPr>
              <w:pStyle w:val="TableContents"/>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Annually reviews and approves corporate goals and objectives relevant to the compensation of our executive officers  </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Evaluates the performance of our executive officers in light of such goals and objectives, and determines the compensation of our executive officers</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Appoints, compensates, and oversees the work of any compensation consultant, legal counsel, or other advisor retained by the Compensation Committee</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Conducts the independence assessment outlined in Nasdaq rules with respect to any compensation consultant, legal counsel, or other advisor retained by the Compensation Committee</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Oversees, and has the authority to administer, our compensation and benefit plans</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Reviews and approves our policies and procedures for the grant of equity-based awards</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Reviews and makes recommendations to the Board with respect to director compensation</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Reviews and discusses with management the compensation discussion and analysis, if any, to be included in our annual proxy statements or annual reports on Form 10-K</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Oversees the maintenance and presentation to the Board of management’s plans for succession to senior management positions</w:t>
            </w:r>
          </w:p>
          <w:p>
            <w:pPr>
              <w:pStyle w:val="TableContents"/>
              <w:rPr>
                <w:color w:val="093C79"/>
              </w:rPr>
            </w:pPr>
            <w:r>
              <w:rPr>
                <w:caps w:val="false"/>
                <w:smallCaps w:val="false"/>
                <w:color w:val="7CBC3E"/>
              </w:rPr>
              <w:t>•</w:t>
            </w:r>
            <w:r>
              <w:rPr>
                <w:caps w:val="false"/>
                <w:smallCaps w:val="false"/>
                <w:color w:val="093C79"/>
              </w:rPr>
              <w:t>  </w:t>
            </w:r>
          </w:p>
          <w:p>
            <w:pPr>
              <w:pStyle w:val="TableContents"/>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Annually reviews and reassesses the adequacy of the Compensation Committee charter and performs other duties, as specified in the charter</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84"/>
        <w:gridCol w:w="300"/>
        <w:gridCol w:w="7521"/>
      </w:tblGrid>
      <w:tr>
        <w:trPr/>
        <w:tc>
          <w:tcPr>
            <w:tcW w:w="2384" w:type="dxa"/>
            <w:tcBorders/>
            <w:shd w:fill="7CBC3E" w:val="clear"/>
            <w:vAlign w:val="center"/>
          </w:tcPr>
          <w:p>
            <w:pPr>
              <w:pStyle w:val="TableContents"/>
              <w:spacing w:before="0" w:after="283"/>
              <w:rPr>
                <w:b/>
                <w:color w:val="FFFFFF"/>
              </w:rPr>
            </w:pPr>
            <w:r>
              <w:rPr>
                <w:b/>
                <w:color w:val="FFFFFF"/>
              </w:rPr>
              <w:t>Nominating and Corporate</w:t>
              <w:br/>
              <w:t>Governance Committee</w:t>
            </w:r>
          </w:p>
        </w:tc>
        <w:tc>
          <w:tcPr>
            <w:tcW w:w="300" w:type="dxa"/>
            <w:tcBorders/>
            <w:shd w:fill="7CBC3E" w:val="clear"/>
            <w:vAlign w:val="center"/>
          </w:tcPr>
          <w:p>
            <w:pPr>
              <w:pStyle w:val="TableContents"/>
              <w:spacing w:before="0" w:after="283"/>
              <w:rPr/>
            </w:pPr>
            <w:r>
              <w:rPr/>
              <w:t>     </w:t>
            </w:r>
          </w:p>
        </w:tc>
        <w:tc>
          <w:tcPr>
            <w:tcW w:w="7521" w:type="dxa"/>
            <w:tcBorders/>
            <w:shd w:fill="7CBC3E" w:val="clear"/>
            <w:vAlign w:val="center"/>
          </w:tcPr>
          <w:p>
            <w:pPr>
              <w:pStyle w:val="TableContents"/>
              <w:spacing w:before="0" w:after="283"/>
              <w:jc w:val="left"/>
              <w:rPr>
                <w:b/>
                <w:color w:val="FFFFFF"/>
              </w:rPr>
            </w:pPr>
            <w:r>
              <w:rPr>
                <w:b/>
                <w:color w:val="FFFFFF"/>
              </w:rPr>
              <w:t>Key Responsibilities</w:t>
            </w:r>
          </w:p>
        </w:tc>
      </w:tr>
      <w:tr>
        <w:trPr/>
        <w:tc>
          <w:tcPr>
            <w:tcW w:w="2384" w:type="dxa"/>
            <w:tcBorders>
              <w:bottom w:val="single" w:sz="12" w:space="0" w:color="7CBC3E"/>
            </w:tcBorders>
            <w:shd w:fill="auto" w:val="clear"/>
            <w:tcMar>
              <w:bottom w:w="28" w:type="dxa"/>
            </w:tcMar>
            <w:vAlign w:val="center"/>
          </w:tcPr>
          <w:p>
            <w:pPr>
              <w:pStyle w:val="TableContents"/>
              <w:jc w:val="both"/>
              <w:rPr/>
            </w:pPr>
            <w:r>
              <w:rPr>
                <w:b/>
              </w:rPr>
              <w:t>Members</w:t>
            </w:r>
            <w:r>
              <w:rPr/>
              <w:t>:</w:t>
            </w:r>
          </w:p>
          <w:p>
            <w:pPr>
              <w:pStyle w:val="TableContents"/>
              <w:rPr/>
            </w:pPr>
            <w:r>
              <w:rPr/>
              <w:t>Shehnaaz Suliman, M.D. (Chairperson)</w:t>
              <w:br/>
              <w:t>Matthew K. Fust</w:t>
              <w:br/>
              <w:t>Daniel G. Welch    </w:t>
            </w:r>
          </w:p>
          <w:p>
            <w:pPr>
              <w:pStyle w:val="TableContents"/>
              <w:jc w:val="both"/>
              <w:rPr/>
            </w:pPr>
            <w:r>
              <w:rPr/>
              <w:t> </w:t>
            </w:r>
          </w:p>
          <w:p>
            <w:pPr>
              <w:pStyle w:val="TableContents"/>
              <w:jc w:val="both"/>
              <w:rPr/>
            </w:pPr>
            <w:r>
              <w:rPr>
                <w:i/>
              </w:rPr>
              <w:t>All members of the Nominating and Corporate Governance Committee satisfy the current Nasdaq and SEC independence standards</w:t>
            </w:r>
            <w:r>
              <w:rPr/>
              <w:t xml:space="preserve">  </w:t>
            </w:r>
          </w:p>
          <w:p>
            <w:pPr>
              <w:pStyle w:val="TableContents"/>
              <w:jc w:val="both"/>
              <w:rPr/>
            </w:pPr>
            <w:r>
              <w:rPr/>
              <w:t> </w:t>
            </w:r>
          </w:p>
          <w:p>
            <w:pPr>
              <w:pStyle w:val="TableContents"/>
              <w:spacing w:before="0" w:after="283"/>
              <w:jc w:val="both"/>
              <w:rPr>
                <w:b/>
              </w:rPr>
            </w:pPr>
            <w:r>
              <w:rPr>
                <w:b/>
              </w:rPr>
              <w:t xml:space="preserve">Meetings held during 2022: </w:t>
            </w:r>
            <w:r>
              <w:rPr>
                <w:b/>
                <w:color w:val="7CBC3E"/>
              </w:rPr>
              <w:t>Four</w:t>
            </w:r>
          </w:p>
        </w:tc>
        <w:tc>
          <w:tcPr>
            <w:tcW w:w="300" w:type="dxa"/>
            <w:tcBorders>
              <w:bottom w:val="single" w:sz="12" w:space="0" w:color="7CBC3E"/>
            </w:tcBorders>
            <w:shd w:fill="auto" w:val="clear"/>
            <w:tcMar>
              <w:bottom w:w="28" w:type="dxa"/>
            </w:tcMar>
            <w:vAlign w:val="center"/>
          </w:tcPr>
          <w:p>
            <w:pPr>
              <w:pStyle w:val="TableContents"/>
              <w:spacing w:before="0" w:after="283"/>
              <w:rPr/>
            </w:pPr>
            <w:r>
              <w:rPr/>
              <w:t> </w:t>
            </w:r>
          </w:p>
        </w:tc>
        <w:tc>
          <w:tcPr>
            <w:tcW w:w="7521" w:type="dxa"/>
            <w:tcBorders>
              <w:bottom w:val="single" w:sz="12" w:space="0" w:color="7CBC3E"/>
            </w:tcBorders>
            <w:shd w:fill="auto" w:val="clear"/>
            <w:tcMar>
              <w:bottom w:w="28" w:type="dxa"/>
            </w:tcMar>
            <w:vAlign w:val="center"/>
          </w:tcPr>
          <w:p>
            <w:pPr>
              <w:pStyle w:val="TableContents"/>
              <w:jc w:val="both"/>
              <w:rPr/>
            </w:pPr>
            <w:r>
              <w:rPr/>
              <w:t>The Nominating and Corporate Governance Committee has been delegated the task of overseeing all risks facing us, other than those overseen by the Audit Committee and by the Compensation Committee, and reporting back to the Board regarding the same. In 2022, the Nominating and Corporate Governance Committee reviewed with management, in particular, the risks and mitigation strategies related to ESG matters, our director refreshment practice and the Company’s governance structure to assess the continued appropriateness of the classified board and other structural elements for the Company. The Nominating and Corporate Governance Committee is also responsible for the following:</w:t>
            </w:r>
          </w:p>
          <w:p>
            <w:pPr>
              <w:pStyle w:val="TableContents"/>
              <w:jc w:val="both"/>
              <w:rPr>
                <w:color w:val="7CBC3E"/>
              </w:rPr>
            </w:pPr>
            <w:r>
              <w:rPr>
                <w:color w:val="7CBC3E"/>
              </w:rPr>
              <w:t> </w:t>
            </w:r>
          </w:p>
          <w:p>
            <w:pPr>
              <w:pStyle w:val="TableContents"/>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Develops and recommends to the Board criteria for Board and committee membership  </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Establishes procedures for identifying and evaluating Board candidates, including nominees recommended by stockholders; identifies individuals qualified to become members of the Board</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Recommends to the Board the persons to be nominated for election as directors and to each of the Board’s committees</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Develops and recommends to the Board a set of corporate governance guidelines</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Oversees the maintenance and presentation to the Board of plans for succession to the position of Chief Executive Officer</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Assists the Compensation Committee in its oversight of succession planning for other senior management positions</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Oversees our compliance program</w:t>
            </w:r>
          </w:p>
          <w:p>
            <w:pPr>
              <w:pStyle w:val="TableContents"/>
              <w:rPr>
                <w:color w:val="093C79"/>
              </w:rPr>
            </w:pPr>
            <w:r>
              <w:rPr>
                <w:caps w:val="false"/>
                <w:smallCaps w:val="false"/>
                <w:color w:val="7CBC3E"/>
              </w:rPr>
              <w:t>•</w:t>
            </w:r>
            <w:r>
              <w:rPr>
                <w:caps w:val="false"/>
                <w:smallCaps w:val="false"/>
                <w:color w:val="093C79"/>
              </w:rPr>
              <w:t>  </w:t>
            </w:r>
          </w:p>
          <w:p>
            <w:pPr>
              <w:pStyle w:val="TableContents"/>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Annually reviews and reassesses the adequacy of the Nominating and Corporate Governance Committee charter and performs other duties, as specified in the charter</w:t>
            </w:r>
          </w:p>
        </w:tc>
      </w:tr>
    </w:tbl>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35</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1758"/>
        <w:gridCol w:w="300"/>
        <w:gridCol w:w="8147"/>
      </w:tblGrid>
      <w:tr>
        <w:trPr/>
        <w:tc>
          <w:tcPr>
            <w:tcW w:w="1758" w:type="dxa"/>
            <w:tcBorders/>
            <w:shd w:fill="7CBC3E" w:val="clear"/>
            <w:vAlign w:val="center"/>
          </w:tcPr>
          <w:p>
            <w:pPr>
              <w:pStyle w:val="TableContents"/>
              <w:spacing w:before="0" w:after="283"/>
              <w:rPr>
                <w:b/>
                <w:color w:val="FFFFFF"/>
              </w:rPr>
            </w:pPr>
            <w:r>
              <w:rPr>
                <w:b/>
                <w:color w:val="FFFFFF"/>
              </w:rPr>
              <w:t>Research and Development</w:t>
              <w:br/>
              <w:t>Committee</w:t>
            </w:r>
          </w:p>
        </w:tc>
        <w:tc>
          <w:tcPr>
            <w:tcW w:w="300" w:type="dxa"/>
            <w:tcBorders/>
            <w:shd w:fill="7CBC3E" w:val="clear"/>
            <w:vAlign w:val="center"/>
          </w:tcPr>
          <w:p>
            <w:pPr>
              <w:pStyle w:val="TableContents"/>
              <w:spacing w:before="0" w:after="283"/>
              <w:rPr/>
            </w:pPr>
            <w:r>
              <w:rPr/>
              <w:t>     </w:t>
            </w:r>
          </w:p>
        </w:tc>
        <w:tc>
          <w:tcPr>
            <w:tcW w:w="8147" w:type="dxa"/>
            <w:tcBorders/>
            <w:shd w:fill="7CBC3E" w:val="clear"/>
            <w:vAlign w:val="center"/>
          </w:tcPr>
          <w:p>
            <w:pPr>
              <w:pStyle w:val="TableContents"/>
              <w:spacing w:before="0" w:after="283"/>
              <w:rPr>
                <w:b/>
                <w:color w:val="FFFFFF"/>
              </w:rPr>
            </w:pPr>
            <w:r>
              <w:rPr>
                <w:b/>
                <w:color w:val="FFFFFF"/>
              </w:rPr>
              <w:t>Key Responsibilities</w:t>
            </w:r>
          </w:p>
        </w:tc>
      </w:tr>
      <w:tr>
        <w:trPr/>
        <w:tc>
          <w:tcPr>
            <w:tcW w:w="1758" w:type="dxa"/>
            <w:tcBorders>
              <w:bottom w:val="single" w:sz="12" w:space="0" w:color="7CBC3E"/>
            </w:tcBorders>
            <w:shd w:fill="auto" w:val="clear"/>
            <w:tcMar>
              <w:bottom w:w="40" w:type="dxa"/>
            </w:tcMar>
            <w:vAlign w:val="center"/>
          </w:tcPr>
          <w:p>
            <w:pPr>
              <w:pStyle w:val="TableContents"/>
              <w:rPr/>
            </w:pPr>
            <w:r>
              <w:rPr>
                <w:b/>
              </w:rPr>
              <w:t>Members</w:t>
            </w:r>
            <w:r>
              <w:rPr/>
              <w:t>:</w:t>
            </w:r>
          </w:p>
          <w:p>
            <w:pPr>
              <w:pStyle w:val="TableContents"/>
              <w:rPr/>
            </w:pPr>
            <w:r>
              <w:rPr/>
              <w:t>Lars Ekman M.D., Ph.D. (Chairperson)</w:t>
              <w:br/>
              <w:t>Emil Kakkis, M.D., Ph.D.</w:t>
              <w:br/>
              <w:t>Amrit Ray, M.D.</w:t>
              <w:br/>
              <w:t>Corsee D. Sanders, Ph.D.</w:t>
              <w:br/>
              <w:t>Shehnaaz Suliman, M.D.</w:t>
            </w:r>
          </w:p>
          <w:p>
            <w:pPr>
              <w:pStyle w:val="TableContents"/>
              <w:rPr/>
            </w:pPr>
            <w:r>
              <w:rPr/>
              <w:t> </w:t>
            </w:r>
          </w:p>
          <w:p>
            <w:pPr>
              <w:pStyle w:val="TableContents"/>
              <w:spacing w:before="0" w:after="283"/>
              <w:rPr/>
            </w:pPr>
            <w:r>
              <w:rPr>
                <w:b/>
              </w:rPr>
              <w:t xml:space="preserve">Meetings held during 2022: </w:t>
            </w:r>
            <w:r>
              <w:rPr>
                <w:b/>
                <w:color w:val="7CBC3E"/>
              </w:rPr>
              <w:t>Two</w:t>
            </w:r>
            <w:r>
              <w:rPr/>
              <w:t xml:space="preserve">  </w:t>
            </w:r>
          </w:p>
        </w:tc>
        <w:tc>
          <w:tcPr>
            <w:tcW w:w="300" w:type="dxa"/>
            <w:tcBorders>
              <w:bottom w:val="single" w:sz="12" w:space="0" w:color="7CBC3E"/>
            </w:tcBorders>
            <w:shd w:fill="auto" w:val="clear"/>
            <w:tcMar>
              <w:bottom w:w="40" w:type="dxa"/>
            </w:tcMar>
            <w:vAlign w:val="center"/>
          </w:tcPr>
          <w:p>
            <w:pPr>
              <w:pStyle w:val="TableContents"/>
              <w:spacing w:before="0" w:after="283"/>
              <w:jc w:val="both"/>
              <w:rPr/>
            </w:pPr>
            <w:r>
              <w:rPr/>
              <w:t> </w:t>
            </w:r>
          </w:p>
        </w:tc>
        <w:tc>
          <w:tcPr>
            <w:tcW w:w="8147" w:type="dxa"/>
            <w:tcBorders>
              <w:bottom w:val="single" w:sz="12" w:space="0" w:color="7CBC3E"/>
            </w:tcBorders>
            <w:shd w:fill="auto" w:val="clear"/>
            <w:tcMar>
              <w:bottom w:w="40" w:type="dxa"/>
            </w:tcMar>
            <w:vAlign w:val="center"/>
          </w:tcPr>
          <w:p>
            <w:pPr>
              <w:pStyle w:val="TableContents"/>
              <w:jc w:val="both"/>
              <w:rPr/>
            </w:pPr>
            <w:r>
              <w:rPr/>
              <w:t>The Research and Development Committee assists the Board in its oversight of the strategic direction for our pipeline and investment in research and development. In 2022, the Research and Development Committee reviewed with management in particular the risks and mitigation strategies related to the Company’s prioritization of its clinical and pre-clinical programs. The Research and Development Committee is also responsible for the following:</w:t>
            </w:r>
          </w:p>
          <w:p>
            <w:pPr>
              <w:pStyle w:val="TableContents"/>
              <w:jc w:val="both"/>
              <w:rPr/>
            </w:pPr>
            <w:r>
              <w:rPr/>
              <w:t> </w:t>
            </w:r>
          </w:p>
          <w:p>
            <w:pPr>
              <w:pStyle w:val="TableContents"/>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Evaluates and advises on our key R&amp;D activities and early pipeline development goals and strategy</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Assesses the resources and budget allocated to R&amp;D spend and provides guidance regarding the investment of resources in pipeline growth</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Evaluates and provides input with respect to the quality of the science being conducted and overall program execution</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Assesses the overall quality of the R&amp;D programs and prospects for progression to monitor our pipeline to maintain product flow</w:t>
            </w:r>
          </w:p>
          <w:p>
            <w:pPr>
              <w:pStyle w:val="TableContents"/>
              <w:spacing w:before="0" w:after="100"/>
              <w:rPr>
                <w:color w:val="093C79"/>
              </w:rPr>
            </w:pPr>
            <w:r>
              <w:rPr>
                <w:caps w:val="false"/>
                <w:smallCaps w:val="false"/>
                <w:color w:val="7CBC3E"/>
              </w:rPr>
              <w:t>•</w:t>
            </w:r>
            <w:r>
              <w:rPr>
                <w:caps w:val="false"/>
                <w:smallCaps w:val="false"/>
                <w:color w:val="093C79"/>
              </w:rPr>
              <w:t>  </w:t>
            </w:r>
          </w:p>
          <w:p>
            <w:pPr>
              <w:pStyle w:val="TableContents"/>
              <w:spacing w:before="0" w:after="10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Evaluates our clinical-stage pipeline and its progress, as well as those operational execution initiatives that are important for filing and approval of products in our pipeline</w:t>
            </w:r>
          </w:p>
          <w:p>
            <w:pPr>
              <w:pStyle w:val="TableContents"/>
              <w:rPr>
                <w:color w:val="093C79"/>
              </w:rPr>
            </w:pPr>
            <w:r>
              <w:rPr>
                <w:caps w:val="false"/>
                <w:smallCaps w:val="false"/>
                <w:color w:val="7CBC3E"/>
              </w:rPr>
              <w:t>•</w:t>
            </w:r>
            <w:r>
              <w:rPr>
                <w:caps w:val="false"/>
                <w:smallCaps w:val="false"/>
                <w:color w:val="093C79"/>
              </w:rPr>
              <w:t>  </w:t>
            </w:r>
          </w:p>
          <w:p>
            <w:pPr>
              <w:pStyle w:val="TableContents"/>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Performs other duties as specified in the Research and Development Committee Charter</w:t>
            </w:r>
          </w:p>
        </w:tc>
      </w:tr>
    </w:tbl>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78" w:name="lrarea076"/>
      <w:bookmarkEnd w:id="78"/>
      <w:r>
        <w:rPr>
          <w:rFonts w:ascii="Arial;Helvetica;Sans-Serif" w:hAnsi="Arial;Helvetica;Sans-Serif"/>
          <w:b/>
          <w:i w:val="false"/>
          <w:caps w:val="false"/>
          <w:smallCaps w:val="false"/>
          <w:sz w:val="28"/>
        </w:rPr>
        <w:t>Compensation Committee Interlocks and Insider Participation</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During fiscal 2022, the Compensation Committee consisted of Dr. Dunsire and Messrs. Narachi and Welch. 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or Compensation Committee.</w:t>
      </w:r>
    </w:p>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36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2"/>
        <w:jc w:val="left"/>
        <w:rPr>
          <w:rFonts w:ascii="Arial;Helvetica;Sans-Serif" w:hAnsi="Arial;Helvetica;Sans-Serif"/>
          <w:b/>
          <w:i w:val="false"/>
          <w:caps w:val="false"/>
          <w:smallCaps w:val="false"/>
          <w:color w:val="7CBC3E"/>
          <w:sz w:val="40"/>
        </w:rPr>
      </w:pPr>
      <w:bookmarkStart w:id="79" w:name="lrarea077"/>
      <w:bookmarkEnd w:id="79"/>
      <w:r>
        <w:rPr>
          <w:rFonts w:ascii="Arial;Helvetica;Sans-Serif" w:hAnsi="Arial;Helvetica;Sans-Serif"/>
          <w:b/>
          <w:i w:val="false"/>
          <w:caps w:val="false"/>
          <w:smallCaps w:val="false"/>
          <w:color w:val="7CBC3E"/>
          <w:sz w:val="40"/>
        </w:rPr>
        <w:t>Environmental, Social and Governance (ESG) Matters*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 Ultragenyx, our purpose is to lead the future of rare disease medicine as we seek to treat individuals afflicted by diseases with limited or no treatment options, and we recognize that their lives and well-being are dependent upon our collective efforts to develop new therapies. For this reason, we are passionate about developing these therapies with the utmost urgency and care. Our strong commitment to ethics, integrity and corporate responsibility is centered around partnering with the rare disease community, improving access to treatments, maintaining a people-first culture, and investing in innovation.</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2022, we published our inaugural ESG report based on our strategic ESG framework consisting of five pillars: Patients, People, Communities, Planet and Governance. We were recognized in the top 5% of companies in the biotechnology sector by the S&amp;P Global Corporate Sustainability Assessment based in part on our inaugural report.</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2023 ESG report is expected to be published in May 2023 and to be available in digital format on our website at www.ultragenyx.com under “Investors - Corporate Sustainability”. Our 2023 ESG report is expected to be based on the five pillars discussed in our inaugural 2022 ESG report, however, with further refinement of our “Patients” pillar to focus on two distinct topics, “Innovation” which focuses on our innovative clinical pipeline and “Patients,” which centers on our partnership with the rare disease community to achieve access and influence policy. The contents of our ESG reports are not deemed to be part of this Proxy Statement or incorporated by reference herein.</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80" w:name="lrarea078"/>
      <w:bookmarkEnd w:id="80"/>
      <w:r>
        <w:rPr>
          <w:rFonts w:ascii="Arial;Helvetica;Sans-Serif" w:hAnsi="Arial;Helvetica;Sans-Serif"/>
          <w:b/>
          <w:i w:val="false"/>
          <w:caps w:val="false"/>
          <w:smallCaps w:val="false"/>
          <w:sz w:val="28"/>
        </w:rPr>
        <w:t>Innovation</w:t>
      </w:r>
    </w:p>
    <w:p>
      <w:pPr>
        <w:pStyle w:val="TextBody"/>
        <w:jc w:val="both"/>
        <w:rPr>
          <w:caps w:val="false"/>
          <w:smallCaps w:val="false"/>
        </w:rPr>
      </w:pPr>
      <w:r>
        <w:rPr>
          <w:caps w:val="false"/>
          <w:smallCaps w:val="false"/>
        </w:rPr>
        <w:t> </w:t>
      </w:r>
    </w:p>
    <w:p>
      <w:pPr>
        <w:pStyle w:val="TextBody"/>
        <w:jc w:val="center"/>
        <w:rPr>
          <w:caps w:val="false"/>
          <w:smallCaps w:val="false"/>
        </w:rPr>
      </w:pPr>
      <w:r>
        <w:rPr>
          <w:caps w:val="false"/>
          <w:smallCaps w:val="false"/>
        </w:rPr>
        <w:drawing>
          <wp:inline distT="0" distB="0" distL="0" distR="0">
            <wp:extent cx="1495425" cy="149542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52"/>
                    <a:stretch>
                      <a:fillRect/>
                    </a:stretch>
                  </pic:blipFill>
                  <pic:spPr bwMode="auto">
                    <a:xfrm>
                      <a:off x="0" y="0"/>
                      <a:ext cx="1495425" cy="1495425"/>
                    </a:xfrm>
                    <a:prstGeom prst="rect">
                      <a:avLst/>
                    </a:prstGeom>
                  </pic:spPr>
                </pic:pic>
              </a:graphicData>
            </a:graphic>
          </wp:inline>
        </w:drawing>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committed to delivering novel, disease modifying treatments with speed and urgency to rare disease communities with limited or no treatment options. In the coming years, we anticipate developing 6-7 clinical therapies with the potential to reach 150,000 patients.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In 2022, we initiated four pivotal studies across our clinical pipeline. We commenced a late-stage clinical development program for UX143 in osteogenesis imperfecta (OI), launching the pivotal Phase 2/3 </w:t>
      </w:r>
      <w:r>
        <w:rPr>
          <w:rFonts w:ascii="Arial;Helvetica;Sans-Serif" w:hAnsi="Arial;Helvetica;Sans-Serif"/>
          <w:b w:val="false"/>
          <w:i/>
          <w:caps w:val="false"/>
          <w:smallCaps w:val="false"/>
          <w:sz w:val="18"/>
        </w:rPr>
        <w:t xml:space="preserve">Orbit </w:t>
      </w:r>
      <w:r>
        <w:rPr>
          <w:rFonts w:ascii="Arial;Helvetica;Sans-Serif" w:hAnsi="Arial;Helvetica;Sans-Serif"/>
          <w:b w:val="false"/>
          <w:i w:val="false"/>
          <w:caps w:val="false"/>
          <w:smallCaps w:val="false"/>
          <w:sz w:val="18"/>
        </w:rPr>
        <w:t>study in pediatric patients. We also advanced three gene therapies into pivotal studies: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The Phase 3 </w:t>
            </w:r>
            <w:r>
              <w:rPr>
                <w:i/>
              </w:rPr>
              <w:t xml:space="preserve">GlucoGene </w:t>
            </w:r>
            <w:r>
              <w:rPr/>
              <w:t xml:space="preserve">study is underway to evaluate the ability of DTX401 to reduce the use of cornstarch while maintaining or improving glucose control as well as the therapy’s impact on patients’ quality of life. DTX401 has been granted Orphan Drug Designation in the United States, EU and United Kingdom, and Regenerative Medicine Advanced Therapy (RMAT) designation and Fast Track designation in the United States. </w:t>
            </w:r>
          </w:p>
        </w:tc>
      </w:tr>
      <w:tr>
        <w:trPr/>
        <w:tc>
          <w:tcPr>
            <w:tcW w:w="125" w:type="dxa"/>
            <w:tcBorders/>
            <w:shd w:fill="auto" w:val="clear"/>
            <w:vAlign w:val="center"/>
          </w:tcPr>
          <w:p>
            <w:pPr>
              <w:pStyle w:val="TableContents"/>
              <w:spacing w:before="0" w:after="283"/>
              <w:jc w:val="both"/>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The Phase 3 </w:t>
            </w:r>
            <w:r>
              <w:rPr>
                <w:i/>
              </w:rPr>
              <w:t xml:space="preserve">Enh3ance </w:t>
            </w:r>
            <w:r>
              <w:rPr/>
              <w:t>study is underway to evaluate the effect of DTX301 on ammonia and its ability to reduce patients’ need for ammonia scavenger medication and a protein-restricted diet, the current standard of care. DTX301 has been granted Orphan Drug Designation in the United States, EU and United Kingdom and Fast Track Designation in the United States.</w:t>
            </w:r>
          </w:p>
        </w:tc>
      </w:tr>
      <w:tr>
        <w:trPr/>
        <w:tc>
          <w:tcPr>
            <w:tcW w:w="125" w:type="dxa"/>
            <w:tcBorders/>
            <w:shd w:fill="auto" w:val="clear"/>
            <w:vAlign w:val="center"/>
          </w:tcPr>
          <w:p>
            <w:pPr>
              <w:pStyle w:val="TableContents"/>
              <w:spacing w:before="0" w:after="283"/>
              <w:jc w:val="both"/>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The seamless </w:t>
            </w:r>
            <w:r>
              <w:rPr>
                <w:i/>
              </w:rPr>
              <w:t>Cyprus2</w:t>
            </w:r>
            <w:r>
              <w:rPr/>
              <w:t>+ Phase 1/2/3 study is underway to evaluate the effect of UX701 on liver copper accumulation, increased ceruloplasmin levels and improved liver pathology in Wilson disease. UX701 leverages Ultragenyx’s Pinnacle PCL™ Platform and has been granted Orphan Drug Designation in the United States and European Union and Fast Track Designation in the United States. DTX401 has also been accepted into the EMA’s Priority Medicines program (PRIME), enabling more frequent interactions with the EMA and the potential for an accelerated approval.</w:t>
            </w:r>
          </w:p>
        </w:tc>
      </w:tr>
    </w:tbl>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Last year, we also provided interim data from the Phase 1/2 study of GTX-102 for the treatment of Angelman syndrome and exercised our option to acquire GeneTx. The Phase 1/2 study is evaluating the tolerability and safety of GTX-102 and its effect on all major domains of Angelman syndrome in pediatric patients and is currently ongoing in the U.S., U.K. and Canada.</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committed to helping the rare disease community by sharing our science and expertise to advance future drug development, whether by us our others. We host a recurring Rare Bootcamp, where we share our knowledge, expertise, insights and connections to help patient families, foundations and other organizations seeking to develop novel treatments for rare diseases. Our bootcamp is designed for incredibly determined patient families and advocates who have started funding their own rare disease research and are looking to better coordinate and build structure around their efforts. Since 2017, we have held six bootcamps with over 100 individuals from 80 organizations attending.</w:t>
      </w:r>
    </w:p>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37</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jc w:val="both"/>
        <w:rPr>
          <w:rFonts w:ascii="Arial;Helvetica;Sans-Serif" w:hAnsi="Arial;Helvetica;Sans-Serif"/>
          <w:b/>
          <w:i w:val="false"/>
          <w:caps w:val="false"/>
          <w:smallCaps w:val="false"/>
          <w:sz w:val="28"/>
        </w:rPr>
      </w:pPr>
      <w:bookmarkStart w:id="81" w:name="lrarea079"/>
      <w:bookmarkEnd w:id="81"/>
      <w:r>
        <w:rPr>
          <w:rFonts w:ascii="Arial;Helvetica;Sans-Serif" w:hAnsi="Arial;Helvetica;Sans-Serif"/>
          <w:b/>
          <w:i w:val="false"/>
          <w:caps w:val="false"/>
          <w:smallCaps w:val="false"/>
          <w:sz w:val="28"/>
        </w:rPr>
        <w:t>Patients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committed to supporting the broader rare disease community through our efforts to develop novel therapies, share our science and expertise, achieve broad access to screening and treatment, and partner with policy makers for meaningful change. We believe that the greatest impact we can have on the lives of individuals with rare disease is to make our treatments accessible and affordable, and to engage and support rare disease families along their journey.</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pricing should not be a barrier to accessing treatment and are committed to pricing our medicines responsibly. We set our drug prices with global pricing in mind and in the U.S., we use our best efforts to help make it possible that no patient foregoes treatment for financial reasons. In 2022, our U.S. price increases remained aligned with the Consumer Price Index for all of our commercially available products.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policy and regulation are critical to the cost-effective and timely development and commercialization of treatments individuals living with rare diseases. Our Global Policy Committee determines priority policy areas for our engagement and advocacy. The goal of the committee is to educate and inspire key decision makers in the field of rare disease with the aim of enabling all people living with a rare disease to receive an accurate diagnosis, quality care and available therapy as quickly as possible.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a founding member of the Rare Disease Company Coalition (RDCC), a coalition of 21 companies that educates policymakers on the distinct considerations of life science companies operating in the rare disease space and focuses on three priorities: supporting robust development and innovation, ensuring accessibility, and enabling earlier diagnosis.</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82" w:name="lrarea080"/>
      <w:bookmarkEnd w:id="82"/>
      <w:r>
        <w:rPr>
          <w:rFonts w:ascii="Arial;Helvetica;Sans-Serif" w:hAnsi="Arial;Helvetica;Sans-Serif"/>
          <w:b/>
          <w:i w:val="false"/>
          <w:caps w:val="false"/>
          <w:smallCaps w:val="false"/>
          <w:sz w:val="28"/>
        </w:rPr>
        <w:t>People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committed to maintaining a diverse, inclusive, safe and healthy environment. We are also committed to fair and equitable compensation practices that are transparent and free from bias.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have taken several steps to bolster inclusion and diversity (I&amp;D) within our company, including expanding workshop and engagement opportunities. In 2022, 90% of employees participated in the I&amp;D curriculum. Highlights of our other initiatives in 2022 include the following:</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Hired a dedicated I&amp;D leader to expand our efforts and lead the I&amp;D action team comprised of I&amp;D champions across the company. </w:t>
            </w:r>
          </w:p>
        </w:tc>
      </w:tr>
      <w:tr>
        <w:trPr/>
        <w:tc>
          <w:tcPr>
            <w:tcW w:w="125" w:type="dxa"/>
            <w:tcBorders/>
            <w:shd w:fill="auto" w:val="clear"/>
            <w:vAlign w:val="center"/>
          </w:tcPr>
          <w:p>
            <w:pPr>
              <w:pStyle w:val="TableContents"/>
              <w:spacing w:before="0" w:after="283"/>
              <w:jc w:val="both"/>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Conducted an external cultural audit to gain additional perspectives on opportunities for growth and enhancement of our I&amp;D program. </w:t>
            </w:r>
          </w:p>
        </w:tc>
      </w:tr>
      <w:tr>
        <w:trPr/>
        <w:tc>
          <w:tcPr>
            <w:tcW w:w="125" w:type="dxa"/>
            <w:tcBorders/>
            <w:shd w:fill="auto" w:val="clear"/>
            <w:vAlign w:val="center"/>
          </w:tcPr>
          <w:p>
            <w:pPr>
              <w:pStyle w:val="TableContents"/>
              <w:spacing w:before="0" w:after="283"/>
              <w:jc w:val="both"/>
              <w:rPr>
                <w:color w:val="7CBC3E"/>
              </w:rPr>
            </w:pPr>
            <w:r>
              <w:rPr>
                <w:color w:val="7CBC3E"/>
              </w:rPr>
              <w:t>•</w:t>
            </w:r>
          </w:p>
        </w:tc>
        <w:tc>
          <w:tcPr>
            <w:tcW w:w="10080" w:type="dxa"/>
            <w:tcBorders/>
            <w:shd w:fill="auto" w:val="clear"/>
            <w:vAlign w:val="center"/>
          </w:tcPr>
          <w:p>
            <w:pPr>
              <w:pStyle w:val="TableContents"/>
              <w:spacing w:before="0" w:after="283"/>
              <w:jc w:val="both"/>
              <w:rPr/>
            </w:pPr>
            <w:r>
              <w:rPr/>
              <w:t>Hosted our first annual Employee Resource Group (ERG) Summit exhibiting how ERGs play a vital role in driving the growth of our business and our overall culture of inclusion. The summit provided us the opportunity to share experiences, learn, collaborate, problem-solve and network with one another.</w:t>
            </w:r>
          </w:p>
        </w:tc>
      </w:tr>
      <w:tr>
        <w:trPr/>
        <w:tc>
          <w:tcPr>
            <w:tcW w:w="125" w:type="dxa"/>
            <w:tcBorders/>
            <w:shd w:fill="auto" w:val="clear"/>
            <w:vAlign w:val="center"/>
          </w:tcPr>
          <w:p>
            <w:pPr>
              <w:pStyle w:val="TableContents"/>
              <w:spacing w:before="0" w:after="283"/>
              <w:jc w:val="both"/>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Continued our UltraTalks series, with featured guest speakers on equality and inclusion, fat shaming awareness, team collaboration and other topics. </w:t>
            </w:r>
          </w:p>
        </w:tc>
      </w:tr>
      <w:tr>
        <w:trPr/>
        <w:tc>
          <w:tcPr>
            <w:tcW w:w="125" w:type="dxa"/>
            <w:tcBorders/>
            <w:shd w:fill="auto" w:val="clear"/>
            <w:vAlign w:val="center"/>
          </w:tcPr>
          <w:p>
            <w:pPr>
              <w:pStyle w:val="TableContents"/>
              <w:spacing w:before="0" w:after="283"/>
              <w:jc w:val="both"/>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Launched the Power + Privilege diversity education workshop for the EU and Latin America customized to those regions. </w:t>
            </w:r>
          </w:p>
        </w:tc>
      </w:tr>
      <w:tr>
        <w:trPr/>
        <w:tc>
          <w:tcPr>
            <w:tcW w:w="125" w:type="dxa"/>
            <w:tcBorders/>
            <w:shd w:fill="auto" w:val="clear"/>
            <w:vAlign w:val="center"/>
          </w:tcPr>
          <w:p>
            <w:pPr>
              <w:pStyle w:val="TableContents"/>
              <w:spacing w:before="0" w:after="283"/>
              <w:jc w:val="both"/>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Launched the new Dispelling Fear and Stigma workshop to develop a greater understanding of the disability community, the wide array of disabilities people may face and how to shape disability-inclusive workplaces. This workshop is designed to help challenge preconceived notions about what it means to be a person with a disability and to help equip attendees to be better allies. </w:t>
            </w:r>
          </w:p>
        </w:tc>
      </w:tr>
      <w:tr>
        <w:trPr/>
        <w:tc>
          <w:tcPr>
            <w:tcW w:w="125" w:type="dxa"/>
            <w:tcBorders/>
            <w:shd w:fill="auto" w:val="clear"/>
            <w:vAlign w:val="center"/>
          </w:tcPr>
          <w:p>
            <w:pPr>
              <w:pStyle w:val="TableContents"/>
              <w:spacing w:before="0" w:after="283"/>
              <w:jc w:val="both"/>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Increased ongoing I&amp;D dialogues and engagement through our internal ERGs. </w:t>
            </w:r>
          </w:p>
        </w:tc>
      </w:tr>
      <w:tr>
        <w:trPr/>
        <w:tc>
          <w:tcPr>
            <w:tcW w:w="125" w:type="dxa"/>
            <w:tcBorders/>
            <w:shd w:fill="auto" w:val="clear"/>
            <w:vAlign w:val="center"/>
          </w:tcPr>
          <w:p>
            <w:pPr>
              <w:pStyle w:val="TableContents"/>
              <w:spacing w:before="0" w:after="283"/>
              <w:jc w:val="both"/>
              <w:rPr>
                <w:color w:val="7CBC3E"/>
              </w:rPr>
            </w:pPr>
            <w:r>
              <w:rPr>
                <w:color w:val="7CBC3E"/>
              </w:rPr>
              <w:t>•</w:t>
            </w:r>
          </w:p>
        </w:tc>
        <w:tc>
          <w:tcPr>
            <w:tcW w:w="10080" w:type="dxa"/>
            <w:tcBorders/>
            <w:shd w:fill="auto" w:val="clear"/>
            <w:vAlign w:val="center"/>
          </w:tcPr>
          <w:p>
            <w:pPr>
              <w:pStyle w:val="TableContents"/>
              <w:spacing w:before="0" w:after="283"/>
              <w:jc w:val="both"/>
              <w:rPr/>
            </w:pPr>
            <w:r>
              <w:rPr/>
              <w:t>Continued our participation in the Healthcare Businesswomen’s Association (HBA) and the National Sales Network (NSN).</w:t>
            </w:r>
          </w:p>
        </w:tc>
      </w:tr>
    </w:tbl>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38</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center"/>
        <w:rPr>
          <w:rFonts w:ascii="Arial;Helvetica;Sans-Serif" w:hAnsi="Arial;Helvetica;Sans-Serif"/>
          <w:b/>
          <w:i/>
          <w:caps w:val="false"/>
          <w:smallCaps w:val="false"/>
          <w:sz w:val="18"/>
        </w:rPr>
      </w:pPr>
      <w:r>
        <w:rPr>
          <w:rFonts w:ascii="Arial;Helvetica;Sans-Serif" w:hAnsi="Arial;Helvetica;Sans-Serif"/>
          <w:b/>
          <w:i/>
          <w:caps w:val="false"/>
          <w:smallCaps w:val="false"/>
          <w:sz w:val="18"/>
        </w:rPr>
        <w:t>Employee Diversity Data*</w:t>
      </w:r>
    </w:p>
    <w:p>
      <w:pPr>
        <w:pStyle w:val="TextBody"/>
        <w:rPr>
          <w:caps w:val="false"/>
          <w:smallCaps w:val="false"/>
        </w:rPr>
      </w:pPr>
      <w:r>
        <w:rPr>
          <w:caps w:val="false"/>
          <w:smallCaps w:val="false"/>
        </w:rPr>
        <w:t> </w:t>
      </w:r>
    </w:p>
    <w:tbl>
      <w:tblPr>
        <w:tblW w:w="10205" w:type="dxa"/>
        <w:jc w:val="left"/>
        <w:tblInd w:w="0" w:type="dxa"/>
        <w:tblCellMar>
          <w:top w:w="40" w:type="dxa"/>
          <w:left w:w="0" w:type="dxa"/>
          <w:bottom w:w="0" w:type="dxa"/>
          <w:right w:w="0" w:type="dxa"/>
        </w:tblCellMar>
      </w:tblPr>
      <w:tblGrid>
        <w:gridCol w:w="9570"/>
        <w:gridCol w:w="635"/>
      </w:tblGrid>
      <w:tr>
        <w:trPr/>
        <w:tc>
          <w:tcPr>
            <w:tcW w:w="9570" w:type="dxa"/>
            <w:tcBorders>
              <w:top w:val="single" w:sz="12" w:space="0" w:color="7CBC3E"/>
            </w:tcBorders>
            <w:shd w:fill="auto" w:val="clear"/>
            <w:vAlign w:val="center"/>
          </w:tcPr>
          <w:p>
            <w:pPr>
              <w:pStyle w:val="TableContents"/>
              <w:spacing w:before="0" w:after="283"/>
              <w:ind w:left="0" w:right="0" w:hanging="200"/>
              <w:rPr/>
            </w:pPr>
            <w:r>
              <w:rPr/>
              <w:t>Total Number of Employees</w:t>
            </w:r>
          </w:p>
        </w:tc>
        <w:tc>
          <w:tcPr>
            <w:tcW w:w="635" w:type="dxa"/>
            <w:tcBorders>
              <w:top w:val="single" w:sz="12" w:space="0" w:color="7CBC3E"/>
            </w:tcBorders>
            <w:shd w:fill="auto" w:val="clear"/>
            <w:vAlign w:val="center"/>
          </w:tcPr>
          <w:p>
            <w:pPr>
              <w:pStyle w:val="TableContents"/>
              <w:spacing w:before="0" w:after="283"/>
              <w:ind w:left="0" w:right="0" w:hanging="200"/>
              <w:jc w:val="center"/>
              <w:rPr/>
            </w:pPr>
            <w:r>
              <w:rPr/>
              <w:t>1,311</w:t>
            </w:r>
          </w:p>
        </w:tc>
      </w:tr>
      <w:tr>
        <w:trPr/>
        <w:tc>
          <w:tcPr>
            <w:tcW w:w="9570" w:type="dxa"/>
            <w:tcBorders/>
            <w:shd w:fill="EFF6EA" w:val="clear"/>
            <w:tcMar>
              <w:top w:w="0" w:type="dxa"/>
            </w:tcMar>
            <w:vAlign w:val="center"/>
          </w:tcPr>
          <w:p>
            <w:pPr>
              <w:pStyle w:val="TableContents"/>
              <w:spacing w:before="0" w:after="283"/>
              <w:rPr/>
            </w:pPr>
            <w:r>
              <w:rPr/>
              <w:t>Proportion of women</w:t>
            </w:r>
          </w:p>
        </w:tc>
        <w:tc>
          <w:tcPr>
            <w:tcW w:w="635" w:type="dxa"/>
            <w:tcBorders/>
            <w:shd w:fill="EFF6EA" w:val="clear"/>
            <w:tcMar>
              <w:top w:w="0" w:type="dxa"/>
            </w:tcMar>
            <w:vAlign w:val="center"/>
          </w:tcPr>
          <w:p>
            <w:pPr>
              <w:pStyle w:val="TableContents"/>
              <w:spacing w:before="0" w:after="283"/>
              <w:ind w:left="0" w:right="0" w:hanging="200"/>
              <w:jc w:val="center"/>
              <w:rPr/>
            </w:pPr>
            <w:r>
              <w:rPr/>
              <w:t>56.8%</w:t>
            </w:r>
          </w:p>
        </w:tc>
      </w:tr>
      <w:tr>
        <w:trPr/>
        <w:tc>
          <w:tcPr>
            <w:tcW w:w="9570" w:type="dxa"/>
            <w:tcBorders/>
            <w:shd w:fill="auto" w:val="clear"/>
            <w:tcMar>
              <w:top w:w="0" w:type="dxa"/>
            </w:tcMar>
            <w:vAlign w:val="center"/>
          </w:tcPr>
          <w:p>
            <w:pPr>
              <w:pStyle w:val="TableContents"/>
              <w:spacing w:before="0" w:after="283"/>
              <w:rPr/>
            </w:pPr>
            <w:r>
              <w:rPr/>
              <w:t>Proportion of employees with a disability</w:t>
            </w:r>
          </w:p>
        </w:tc>
        <w:tc>
          <w:tcPr>
            <w:tcW w:w="635" w:type="dxa"/>
            <w:tcBorders/>
            <w:shd w:fill="auto" w:val="clear"/>
            <w:tcMar>
              <w:top w:w="0" w:type="dxa"/>
            </w:tcMar>
            <w:vAlign w:val="center"/>
          </w:tcPr>
          <w:p>
            <w:pPr>
              <w:pStyle w:val="TableContents"/>
              <w:spacing w:before="0" w:after="283"/>
              <w:ind w:left="0" w:right="0" w:hanging="200"/>
              <w:jc w:val="center"/>
              <w:rPr/>
            </w:pPr>
            <w:r>
              <w:rPr/>
              <w:t>3.4%</w:t>
            </w:r>
          </w:p>
        </w:tc>
      </w:tr>
      <w:tr>
        <w:trPr/>
        <w:tc>
          <w:tcPr>
            <w:tcW w:w="9570" w:type="dxa"/>
            <w:tcBorders/>
            <w:shd w:fill="EFF6EA" w:val="clear"/>
            <w:tcMar>
              <w:top w:w="0" w:type="dxa"/>
            </w:tcMar>
            <w:vAlign w:val="center"/>
          </w:tcPr>
          <w:p>
            <w:pPr>
              <w:pStyle w:val="TableContents"/>
              <w:spacing w:before="0" w:after="283"/>
              <w:rPr/>
            </w:pPr>
            <w:r>
              <w:rPr/>
              <w:t>Total Number of U.S. Employees</w:t>
            </w:r>
          </w:p>
        </w:tc>
        <w:tc>
          <w:tcPr>
            <w:tcW w:w="635" w:type="dxa"/>
            <w:tcBorders/>
            <w:shd w:fill="EFF6EA" w:val="clear"/>
            <w:tcMar>
              <w:top w:w="0" w:type="dxa"/>
            </w:tcMar>
            <w:vAlign w:val="center"/>
          </w:tcPr>
          <w:p>
            <w:pPr>
              <w:pStyle w:val="TableContents"/>
              <w:spacing w:before="0" w:after="283"/>
              <w:ind w:left="0" w:right="0" w:hanging="200"/>
              <w:jc w:val="center"/>
              <w:rPr/>
            </w:pPr>
            <w:r>
              <w:rPr/>
              <w:t>1,155</w:t>
            </w:r>
          </w:p>
        </w:tc>
      </w:tr>
      <w:tr>
        <w:trPr/>
        <w:tc>
          <w:tcPr>
            <w:tcW w:w="9570" w:type="dxa"/>
            <w:tcBorders/>
            <w:shd w:fill="auto" w:val="clear"/>
            <w:tcMar>
              <w:top w:w="0" w:type="dxa"/>
            </w:tcMar>
            <w:vAlign w:val="center"/>
          </w:tcPr>
          <w:p>
            <w:pPr>
              <w:pStyle w:val="TableContents"/>
              <w:spacing w:before="0" w:after="283"/>
              <w:rPr/>
            </w:pPr>
            <w:r>
              <w:rPr/>
              <w:t>Proportion of women</w:t>
            </w:r>
          </w:p>
        </w:tc>
        <w:tc>
          <w:tcPr>
            <w:tcW w:w="635" w:type="dxa"/>
            <w:tcBorders/>
            <w:shd w:fill="auto" w:val="clear"/>
            <w:tcMar>
              <w:top w:w="0" w:type="dxa"/>
            </w:tcMar>
            <w:vAlign w:val="center"/>
          </w:tcPr>
          <w:p>
            <w:pPr>
              <w:pStyle w:val="TableContents"/>
              <w:spacing w:before="0" w:after="283"/>
              <w:ind w:left="0" w:right="0" w:hanging="200"/>
              <w:jc w:val="center"/>
              <w:rPr/>
            </w:pPr>
            <w:r>
              <w:rPr/>
              <w:t>57.1%</w:t>
            </w:r>
          </w:p>
        </w:tc>
      </w:tr>
      <w:tr>
        <w:trPr/>
        <w:tc>
          <w:tcPr>
            <w:tcW w:w="9570" w:type="dxa"/>
            <w:tcBorders/>
            <w:shd w:fill="EFF6EA" w:val="clear"/>
            <w:tcMar>
              <w:top w:w="0" w:type="dxa"/>
            </w:tcMar>
            <w:vAlign w:val="center"/>
          </w:tcPr>
          <w:p>
            <w:pPr>
              <w:pStyle w:val="TableContents"/>
              <w:spacing w:before="0" w:after="283"/>
              <w:rPr/>
            </w:pPr>
            <w:r>
              <w:rPr/>
              <w:t>Proportion of U.S. employees who self-report as members of diverse populations**</w:t>
            </w:r>
          </w:p>
        </w:tc>
        <w:tc>
          <w:tcPr>
            <w:tcW w:w="635" w:type="dxa"/>
            <w:tcBorders/>
            <w:shd w:fill="EFF6EA" w:val="clear"/>
            <w:tcMar>
              <w:top w:w="0" w:type="dxa"/>
            </w:tcMar>
            <w:vAlign w:val="center"/>
          </w:tcPr>
          <w:p>
            <w:pPr>
              <w:pStyle w:val="TableContents"/>
              <w:spacing w:before="0" w:after="283"/>
              <w:ind w:left="0" w:right="0" w:hanging="200"/>
              <w:jc w:val="center"/>
              <w:rPr/>
            </w:pPr>
            <w:r>
              <w:rPr/>
              <w:t>44.9%</w:t>
            </w:r>
          </w:p>
        </w:tc>
      </w:tr>
      <w:tr>
        <w:trPr/>
        <w:tc>
          <w:tcPr>
            <w:tcW w:w="9570" w:type="dxa"/>
            <w:tcBorders/>
            <w:shd w:fill="auto" w:val="clear"/>
            <w:tcMar>
              <w:top w:w="0" w:type="dxa"/>
            </w:tcMar>
            <w:vAlign w:val="center"/>
          </w:tcPr>
          <w:p>
            <w:pPr>
              <w:pStyle w:val="TableContents"/>
              <w:spacing w:before="0" w:after="283"/>
              <w:rPr/>
            </w:pPr>
            <w:r>
              <w:rPr/>
              <w:t>Asian</w:t>
            </w:r>
          </w:p>
        </w:tc>
        <w:tc>
          <w:tcPr>
            <w:tcW w:w="635" w:type="dxa"/>
            <w:tcBorders/>
            <w:shd w:fill="auto" w:val="clear"/>
            <w:tcMar>
              <w:top w:w="0" w:type="dxa"/>
            </w:tcMar>
            <w:vAlign w:val="center"/>
          </w:tcPr>
          <w:p>
            <w:pPr>
              <w:pStyle w:val="TableContents"/>
              <w:spacing w:before="0" w:after="283"/>
              <w:ind w:left="0" w:right="0" w:hanging="200"/>
              <w:jc w:val="center"/>
              <w:rPr/>
            </w:pPr>
            <w:r>
              <w:rPr/>
              <w:t>25.9%</w:t>
            </w:r>
          </w:p>
        </w:tc>
      </w:tr>
      <w:tr>
        <w:trPr/>
        <w:tc>
          <w:tcPr>
            <w:tcW w:w="9570" w:type="dxa"/>
            <w:tcBorders/>
            <w:shd w:fill="EFF6EA" w:val="clear"/>
            <w:tcMar>
              <w:top w:w="0" w:type="dxa"/>
            </w:tcMar>
            <w:vAlign w:val="center"/>
          </w:tcPr>
          <w:p>
            <w:pPr>
              <w:pStyle w:val="TableContents"/>
              <w:spacing w:before="0" w:after="283"/>
              <w:rPr/>
            </w:pPr>
            <w:r>
              <w:rPr/>
              <w:t>Black/African American</w:t>
            </w:r>
          </w:p>
        </w:tc>
        <w:tc>
          <w:tcPr>
            <w:tcW w:w="635" w:type="dxa"/>
            <w:tcBorders/>
            <w:shd w:fill="EFF6EA" w:val="clear"/>
            <w:tcMar>
              <w:top w:w="0" w:type="dxa"/>
            </w:tcMar>
            <w:vAlign w:val="center"/>
          </w:tcPr>
          <w:p>
            <w:pPr>
              <w:pStyle w:val="TableContents"/>
              <w:spacing w:before="0" w:after="283"/>
              <w:ind w:left="0" w:right="0" w:hanging="200"/>
              <w:jc w:val="center"/>
              <w:rPr/>
            </w:pPr>
            <w:r>
              <w:rPr/>
              <w:t>6.5%</w:t>
            </w:r>
          </w:p>
        </w:tc>
      </w:tr>
      <w:tr>
        <w:trPr/>
        <w:tc>
          <w:tcPr>
            <w:tcW w:w="9570" w:type="dxa"/>
            <w:tcBorders/>
            <w:shd w:fill="auto" w:val="clear"/>
            <w:tcMar>
              <w:top w:w="0" w:type="dxa"/>
            </w:tcMar>
            <w:vAlign w:val="center"/>
          </w:tcPr>
          <w:p>
            <w:pPr>
              <w:pStyle w:val="TableContents"/>
              <w:spacing w:before="0" w:after="283"/>
              <w:rPr/>
            </w:pPr>
            <w:r>
              <w:rPr/>
              <w:t>Hispanic or Latino</w:t>
            </w:r>
          </w:p>
        </w:tc>
        <w:tc>
          <w:tcPr>
            <w:tcW w:w="635" w:type="dxa"/>
            <w:tcBorders/>
            <w:shd w:fill="auto" w:val="clear"/>
            <w:tcMar>
              <w:top w:w="0" w:type="dxa"/>
            </w:tcMar>
            <w:vAlign w:val="center"/>
          </w:tcPr>
          <w:p>
            <w:pPr>
              <w:pStyle w:val="TableContents"/>
              <w:spacing w:before="0" w:after="283"/>
              <w:ind w:left="0" w:right="0" w:hanging="200"/>
              <w:jc w:val="center"/>
              <w:rPr/>
            </w:pPr>
            <w:r>
              <w:rPr/>
              <w:t>8.6%</w:t>
            </w:r>
          </w:p>
        </w:tc>
      </w:tr>
      <w:tr>
        <w:trPr/>
        <w:tc>
          <w:tcPr>
            <w:tcW w:w="9570" w:type="dxa"/>
            <w:tcBorders/>
            <w:shd w:fill="EFF6EA" w:val="clear"/>
            <w:tcMar>
              <w:top w:w="0" w:type="dxa"/>
            </w:tcMar>
            <w:vAlign w:val="center"/>
          </w:tcPr>
          <w:p>
            <w:pPr>
              <w:pStyle w:val="TableContents"/>
              <w:spacing w:before="0" w:after="283"/>
              <w:rPr/>
            </w:pPr>
            <w:r>
              <w:rPr/>
              <w:t>White</w:t>
            </w:r>
          </w:p>
        </w:tc>
        <w:tc>
          <w:tcPr>
            <w:tcW w:w="635" w:type="dxa"/>
            <w:tcBorders/>
            <w:shd w:fill="EFF6EA" w:val="clear"/>
            <w:tcMar>
              <w:top w:w="0" w:type="dxa"/>
            </w:tcMar>
            <w:vAlign w:val="center"/>
          </w:tcPr>
          <w:p>
            <w:pPr>
              <w:pStyle w:val="TableContents"/>
              <w:spacing w:before="0" w:after="283"/>
              <w:ind w:left="0" w:right="0" w:hanging="200"/>
              <w:jc w:val="center"/>
              <w:rPr/>
            </w:pPr>
            <w:r>
              <w:rPr/>
              <w:t>54.5%</w:t>
            </w:r>
          </w:p>
        </w:tc>
      </w:tr>
      <w:tr>
        <w:trPr/>
        <w:tc>
          <w:tcPr>
            <w:tcW w:w="9570" w:type="dxa"/>
            <w:tcBorders/>
            <w:shd w:fill="auto" w:val="clear"/>
            <w:tcMar>
              <w:top w:w="0" w:type="dxa"/>
            </w:tcMar>
            <w:vAlign w:val="center"/>
          </w:tcPr>
          <w:p>
            <w:pPr>
              <w:pStyle w:val="TableContents"/>
              <w:spacing w:before="0" w:after="283"/>
              <w:rPr/>
            </w:pPr>
            <w:r>
              <w:rPr/>
              <w:t>American Indian/Alaskan Native, Native Hawaiian or Other Pacific Islander, Two or More Race</w:t>
            </w:r>
          </w:p>
        </w:tc>
        <w:tc>
          <w:tcPr>
            <w:tcW w:w="635" w:type="dxa"/>
            <w:tcBorders/>
            <w:shd w:fill="auto" w:val="clear"/>
            <w:tcMar>
              <w:top w:w="0" w:type="dxa"/>
            </w:tcMar>
            <w:vAlign w:val="center"/>
          </w:tcPr>
          <w:p>
            <w:pPr>
              <w:pStyle w:val="TableContents"/>
              <w:spacing w:before="0" w:after="283"/>
              <w:ind w:left="0" w:right="0" w:hanging="200"/>
              <w:jc w:val="center"/>
              <w:rPr/>
            </w:pPr>
            <w:r>
              <w:rPr/>
              <w:t>3.5%</w:t>
            </w:r>
          </w:p>
        </w:tc>
      </w:tr>
      <w:tr>
        <w:trPr/>
        <w:tc>
          <w:tcPr>
            <w:tcW w:w="9570" w:type="dxa"/>
            <w:tcBorders/>
            <w:shd w:fill="EFF6EA" w:val="clear"/>
            <w:tcMar>
              <w:top w:w="0" w:type="dxa"/>
            </w:tcMar>
            <w:vAlign w:val="center"/>
          </w:tcPr>
          <w:p>
            <w:pPr>
              <w:pStyle w:val="TableContents"/>
              <w:spacing w:before="0" w:after="283"/>
              <w:rPr/>
            </w:pPr>
            <w:r>
              <w:rPr/>
              <w:t>Not Specified</w:t>
            </w:r>
          </w:p>
        </w:tc>
        <w:tc>
          <w:tcPr>
            <w:tcW w:w="635" w:type="dxa"/>
            <w:tcBorders/>
            <w:shd w:fill="EFF6EA" w:val="clear"/>
            <w:tcMar>
              <w:top w:w="0" w:type="dxa"/>
            </w:tcMar>
            <w:vAlign w:val="center"/>
          </w:tcPr>
          <w:p>
            <w:pPr>
              <w:pStyle w:val="TableContents"/>
              <w:spacing w:before="0" w:after="283"/>
              <w:ind w:left="0" w:right="0" w:hanging="200"/>
              <w:jc w:val="center"/>
              <w:rPr/>
            </w:pPr>
            <w:r>
              <w:rPr/>
              <w:t>1.1%</w:t>
            </w:r>
          </w:p>
        </w:tc>
      </w:tr>
      <w:tr>
        <w:trPr/>
        <w:tc>
          <w:tcPr>
            <w:tcW w:w="9570" w:type="dxa"/>
            <w:tcBorders/>
            <w:shd w:fill="auto" w:val="clear"/>
            <w:tcMar>
              <w:top w:w="0" w:type="dxa"/>
            </w:tcMar>
            <w:vAlign w:val="center"/>
          </w:tcPr>
          <w:p>
            <w:pPr>
              <w:pStyle w:val="TableContents"/>
              <w:spacing w:before="0" w:after="283"/>
              <w:rPr/>
            </w:pPr>
            <w:r>
              <w:rPr/>
              <w:t>Proportion of U.S. employees who self-report as members of diverse populations in management positions</w:t>
            </w:r>
          </w:p>
        </w:tc>
        <w:tc>
          <w:tcPr>
            <w:tcW w:w="635" w:type="dxa"/>
            <w:tcBorders/>
            <w:shd w:fill="auto" w:val="clear"/>
            <w:tcMar>
              <w:top w:w="0" w:type="dxa"/>
            </w:tcMar>
            <w:vAlign w:val="center"/>
          </w:tcPr>
          <w:p>
            <w:pPr>
              <w:pStyle w:val="TableContents"/>
              <w:spacing w:before="0" w:after="283"/>
              <w:ind w:left="0" w:right="0" w:hanging="200"/>
              <w:jc w:val="center"/>
              <w:rPr/>
            </w:pPr>
            <w:r>
              <w:rPr/>
              <w:t> </w:t>
            </w:r>
          </w:p>
        </w:tc>
      </w:tr>
      <w:tr>
        <w:trPr/>
        <w:tc>
          <w:tcPr>
            <w:tcW w:w="9570" w:type="dxa"/>
            <w:tcBorders/>
            <w:shd w:fill="EFF6EA" w:val="clear"/>
            <w:tcMar>
              <w:top w:w="0" w:type="dxa"/>
            </w:tcMar>
            <w:vAlign w:val="center"/>
          </w:tcPr>
          <w:p>
            <w:pPr>
              <w:pStyle w:val="TableContents"/>
              <w:spacing w:before="0" w:after="283"/>
              <w:rPr/>
            </w:pPr>
            <w:r>
              <w:rPr/>
              <w:t>Asian</w:t>
            </w:r>
          </w:p>
        </w:tc>
        <w:tc>
          <w:tcPr>
            <w:tcW w:w="635" w:type="dxa"/>
            <w:tcBorders/>
            <w:shd w:fill="EFF6EA" w:val="clear"/>
            <w:tcMar>
              <w:top w:w="0" w:type="dxa"/>
            </w:tcMar>
            <w:vAlign w:val="center"/>
          </w:tcPr>
          <w:p>
            <w:pPr>
              <w:pStyle w:val="TableContents"/>
              <w:spacing w:before="0" w:after="283"/>
              <w:ind w:left="0" w:right="0" w:hanging="200"/>
              <w:jc w:val="center"/>
              <w:rPr/>
            </w:pPr>
            <w:r>
              <w:rPr/>
              <w:t>23.2%</w:t>
            </w:r>
          </w:p>
        </w:tc>
      </w:tr>
      <w:tr>
        <w:trPr/>
        <w:tc>
          <w:tcPr>
            <w:tcW w:w="9570" w:type="dxa"/>
            <w:tcBorders/>
            <w:shd w:fill="auto" w:val="clear"/>
            <w:tcMar>
              <w:top w:w="0" w:type="dxa"/>
            </w:tcMar>
            <w:vAlign w:val="center"/>
          </w:tcPr>
          <w:p>
            <w:pPr>
              <w:pStyle w:val="TableContents"/>
              <w:spacing w:before="0" w:after="283"/>
              <w:rPr/>
            </w:pPr>
            <w:r>
              <w:rPr/>
              <w:t>Black/African American</w:t>
            </w:r>
          </w:p>
        </w:tc>
        <w:tc>
          <w:tcPr>
            <w:tcW w:w="635" w:type="dxa"/>
            <w:tcBorders/>
            <w:shd w:fill="auto" w:val="clear"/>
            <w:tcMar>
              <w:top w:w="0" w:type="dxa"/>
            </w:tcMar>
            <w:vAlign w:val="center"/>
          </w:tcPr>
          <w:p>
            <w:pPr>
              <w:pStyle w:val="TableContents"/>
              <w:spacing w:before="0" w:after="283"/>
              <w:ind w:left="0" w:right="0" w:hanging="200"/>
              <w:jc w:val="center"/>
              <w:rPr/>
            </w:pPr>
            <w:r>
              <w:rPr/>
              <w:t>4.0%</w:t>
            </w:r>
          </w:p>
        </w:tc>
      </w:tr>
      <w:tr>
        <w:trPr/>
        <w:tc>
          <w:tcPr>
            <w:tcW w:w="9570" w:type="dxa"/>
            <w:tcBorders/>
            <w:shd w:fill="EFF6EA" w:val="clear"/>
            <w:tcMar>
              <w:top w:w="0" w:type="dxa"/>
            </w:tcMar>
            <w:vAlign w:val="center"/>
          </w:tcPr>
          <w:p>
            <w:pPr>
              <w:pStyle w:val="TableContents"/>
              <w:spacing w:before="0" w:after="283"/>
              <w:rPr/>
            </w:pPr>
            <w:r>
              <w:rPr/>
              <w:t>Hispanic or Latino</w:t>
            </w:r>
          </w:p>
        </w:tc>
        <w:tc>
          <w:tcPr>
            <w:tcW w:w="635" w:type="dxa"/>
            <w:tcBorders/>
            <w:shd w:fill="EFF6EA" w:val="clear"/>
            <w:tcMar>
              <w:top w:w="0" w:type="dxa"/>
            </w:tcMar>
            <w:vAlign w:val="center"/>
          </w:tcPr>
          <w:p>
            <w:pPr>
              <w:pStyle w:val="TableContents"/>
              <w:spacing w:before="0" w:after="283"/>
              <w:ind w:left="0" w:right="0" w:hanging="200"/>
              <w:jc w:val="center"/>
              <w:rPr/>
            </w:pPr>
            <w:r>
              <w:rPr/>
              <w:t>8.6%</w:t>
            </w:r>
          </w:p>
        </w:tc>
      </w:tr>
      <w:tr>
        <w:trPr/>
        <w:tc>
          <w:tcPr>
            <w:tcW w:w="9570" w:type="dxa"/>
            <w:tcBorders/>
            <w:shd w:fill="auto" w:val="clear"/>
            <w:tcMar>
              <w:top w:w="0" w:type="dxa"/>
            </w:tcMar>
            <w:vAlign w:val="center"/>
          </w:tcPr>
          <w:p>
            <w:pPr>
              <w:pStyle w:val="TableContents"/>
              <w:spacing w:before="0" w:after="283"/>
              <w:rPr/>
            </w:pPr>
            <w:r>
              <w:rPr/>
              <w:t>White</w:t>
            </w:r>
          </w:p>
        </w:tc>
        <w:tc>
          <w:tcPr>
            <w:tcW w:w="635" w:type="dxa"/>
            <w:tcBorders/>
            <w:shd w:fill="auto" w:val="clear"/>
            <w:tcMar>
              <w:top w:w="0" w:type="dxa"/>
            </w:tcMar>
            <w:vAlign w:val="center"/>
          </w:tcPr>
          <w:p>
            <w:pPr>
              <w:pStyle w:val="TableContents"/>
              <w:spacing w:before="0" w:after="283"/>
              <w:ind w:left="0" w:right="0" w:hanging="200"/>
              <w:jc w:val="center"/>
              <w:rPr/>
            </w:pPr>
            <w:r>
              <w:rPr/>
              <w:t>60.6%</w:t>
            </w:r>
          </w:p>
        </w:tc>
      </w:tr>
      <w:tr>
        <w:trPr/>
        <w:tc>
          <w:tcPr>
            <w:tcW w:w="9570" w:type="dxa"/>
            <w:tcBorders/>
            <w:shd w:fill="EFF6EA" w:val="clear"/>
            <w:tcMar>
              <w:top w:w="0" w:type="dxa"/>
            </w:tcMar>
            <w:vAlign w:val="center"/>
          </w:tcPr>
          <w:p>
            <w:pPr>
              <w:pStyle w:val="TableContents"/>
              <w:spacing w:before="0" w:after="283"/>
              <w:rPr/>
            </w:pPr>
            <w:r>
              <w:rPr/>
              <w:t>American Indian/Alaskan Native, Native Hawaiian or Other Pacific Islander, Two or More Race</w:t>
            </w:r>
          </w:p>
        </w:tc>
        <w:tc>
          <w:tcPr>
            <w:tcW w:w="635" w:type="dxa"/>
            <w:tcBorders/>
            <w:shd w:fill="EFF6EA" w:val="clear"/>
            <w:tcMar>
              <w:top w:w="0" w:type="dxa"/>
            </w:tcMar>
            <w:vAlign w:val="center"/>
          </w:tcPr>
          <w:p>
            <w:pPr>
              <w:pStyle w:val="TableContents"/>
              <w:spacing w:before="0" w:after="283"/>
              <w:ind w:left="0" w:right="0" w:hanging="200"/>
              <w:jc w:val="center"/>
              <w:rPr/>
            </w:pPr>
            <w:r>
              <w:rPr/>
              <w:t>3.3%</w:t>
            </w:r>
          </w:p>
        </w:tc>
      </w:tr>
      <w:tr>
        <w:trPr/>
        <w:tc>
          <w:tcPr>
            <w:tcW w:w="9570" w:type="dxa"/>
            <w:tcBorders/>
            <w:shd w:fill="auto" w:val="clear"/>
            <w:tcMar>
              <w:top w:w="0" w:type="dxa"/>
            </w:tcMar>
            <w:vAlign w:val="center"/>
          </w:tcPr>
          <w:p>
            <w:pPr>
              <w:pStyle w:val="TableContents"/>
              <w:spacing w:before="0" w:after="283"/>
              <w:rPr/>
            </w:pPr>
            <w:r>
              <w:rPr/>
              <w:t>Not Specified</w:t>
            </w:r>
          </w:p>
        </w:tc>
        <w:tc>
          <w:tcPr>
            <w:tcW w:w="635" w:type="dxa"/>
            <w:tcBorders/>
            <w:shd w:fill="auto" w:val="clear"/>
            <w:tcMar>
              <w:top w:w="0" w:type="dxa"/>
            </w:tcMar>
            <w:vAlign w:val="center"/>
          </w:tcPr>
          <w:p>
            <w:pPr>
              <w:pStyle w:val="TableContents"/>
              <w:spacing w:before="0" w:after="283"/>
              <w:ind w:left="0" w:right="0" w:hanging="200"/>
              <w:jc w:val="center"/>
              <w:rPr/>
            </w:pPr>
            <w:r>
              <w:rPr/>
              <w:t>0.3%</w:t>
            </w:r>
          </w:p>
        </w:tc>
      </w:tr>
      <w:tr>
        <w:trPr/>
        <w:tc>
          <w:tcPr>
            <w:tcW w:w="9570" w:type="dxa"/>
            <w:tcBorders/>
            <w:shd w:fill="EFF6EA" w:val="clear"/>
            <w:tcMar>
              <w:top w:w="0" w:type="dxa"/>
            </w:tcMar>
            <w:vAlign w:val="center"/>
          </w:tcPr>
          <w:p>
            <w:pPr>
              <w:pStyle w:val="TableContents"/>
              <w:spacing w:before="0" w:after="283"/>
              <w:rPr/>
            </w:pPr>
            <w:r>
              <w:rPr/>
              <w:t>Proportion of females in all management positions***</w:t>
            </w:r>
          </w:p>
        </w:tc>
        <w:tc>
          <w:tcPr>
            <w:tcW w:w="635" w:type="dxa"/>
            <w:tcBorders/>
            <w:shd w:fill="EFF6EA" w:val="clear"/>
            <w:tcMar>
              <w:top w:w="0" w:type="dxa"/>
            </w:tcMar>
            <w:vAlign w:val="center"/>
          </w:tcPr>
          <w:p>
            <w:pPr>
              <w:pStyle w:val="TableContents"/>
              <w:spacing w:before="0" w:after="283"/>
              <w:ind w:left="0" w:right="0" w:hanging="200"/>
              <w:jc w:val="center"/>
              <w:rPr/>
            </w:pPr>
            <w:r>
              <w:rPr/>
              <w:t>50.5%</w:t>
            </w:r>
          </w:p>
        </w:tc>
      </w:tr>
      <w:tr>
        <w:trPr/>
        <w:tc>
          <w:tcPr>
            <w:tcW w:w="9570" w:type="dxa"/>
            <w:tcBorders/>
            <w:shd w:fill="auto" w:val="clear"/>
            <w:tcMar>
              <w:top w:w="0" w:type="dxa"/>
            </w:tcMar>
            <w:vAlign w:val="center"/>
          </w:tcPr>
          <w:p>
            <w:pPr>
              <w:pStyle w:val="TableContents"/>
              <w:spacing w:before="0" w:after="283"/>
              <w:rPr/>
            </w:pPr>
            <w:r>
              <w:rPr/>
              <w:t>Proportion of females in Vice President positions or above***</w:t>
            </w:r>
          </w:p>
        </w:tc>
        <w:tc>
          <w:tcPr>
            <w:tcW w:w="635" w:type="dxa"/>
            <w:tcBorders/>
            <w:shd w:fill="auto" w:val="clear"/>
            <w:tcMar>
              <w:top w:w="0" w:type="dxa"/>
            </w:tcMar>
            <w:vAlign w:val="center"/>
          </w:tcPr>
          <w:p>
            <w:pPr>
              <w:pStyle w:val="TableContents"/>
              <w:spacing w:before="0" w:after="283"/>
              <w:ind w:left="0" w:right="0" w:hanging="200"/>
              <w:jc w:val="center"/>
              <w:rPr/>
            </w:pPr>
            <w:r>
              <w:rPr/>
              <w:t>45.6%</w:t>
            </w:r>
          </w:p>
        </w:tc>
      </w:tr>
      <w:tr>
        <w:trPr/>
        <w:tc>
          <w:tcPr>
            <w:tcW w:w="9570" w:type="dxa"/>
            <w:tcBorders/>
            <w:shd w:fill="EFF6EA" w:val="clear"/>
            <w:tcMar>
              <w:top w:w="0" w:type="dxa"/>
            </w:tcMar>
            <w:vAlign w:val="center"/>
          </w:tcPr>
          <w:p>
            <w:pPr>
              <w:pStyle w:val="TableContents"/>
              <w:spacing w:before="0" w:after="283"/>
              <w:rPr/>
            </w:pPr>
            <w:r>
              <w:rPr/>
              <w:t>Total Number of Members on Ultragenyx’s Executive Management Team</w:t>
            </w:r>
          </w:p>
        </w:tc>
        <w:tc>
          <w:tcPr>
            <w:tcW w:w="635" w:type="dxa"/>
            <w:tcBorders/>
            <w:shd w:fill="EFF6EA" w:val="clear"/>
            <w:tcMar>
              <w:top w:w="0" w:type="dxa"/>
            </w:tcMar>
            <w:vAlign w:val="center"/>
          </w:tcPr>
          <w:p>
            <w:pPr>
              <w:pStyle w:val="TableContents"/>
              <w:spacing w:before="0" w:after="283"/>
              <w:ind w:left="0" w:right="0" w:hanging="200"/>
              <w:jc w:val="center"/>
              <w:rPr/>
            </w:pPr>
            <w:r>
              <w:rPr/>
              <w:t>8</w:t>
            </w:r>
          </w:p>
        </w:tc>
      </w:tr>
      <w:tr>
        <w:trPr/>
        <w:tc>
          <w:tcPr>
            <w:tcW w:w="9570" w:type="dxa"/>
            <w:tcBorders/>
            <w:shd w:fill="auto" w:val="clear"/>
            <w:tcMar>
              <w:top w:w="0" w:type="dxa"/>
            </w:tcMar>
            <w:vAlign w:val="center"/>
          </w:tcPr>
          <w:p>
            <w:pPr>
              <w:pStyle w:val="TableContents"/>
              <w:spacing w:before="0" w:after="283"/>
              <w:rPr/>
            </w:pPr>
            <w:r>
              <w:rPr/>
              <w:t>Number of women on the Executive Management Team</w:t>
            </w:r>
          </w:p>
        </w:tc>
        <w:tc>
          <w:tcPr>
            <w:tcW w:w="635" w:type="dxa"/>
            <w:tcBorders/>
            <w:shd w:fill="auto" w:val="clear"/>
            <w:tcMar>
              <w:top w:w="0" w:type="dxa"/>
            </w:tcMar>
            <w:vAlign w:val="center"/>
          </w:tcPr>
          <w:p>
            <w:pPr>
              <w:pStyle w:val="TableContents"/>
              <w:spacing w:before="0" w:after="283"/>
              <w:ind w:left="0" w:right="0" w:hanging="200"/>
              <w:jc w:val="center"/>
              <w:rPr/>
            </w:pPr>
            <w:r>
              <w:rPr/>
              <w:t>2</w:t>
            </w:r>
          </w:p>
        </w:tc>
      </w:tr>
      <w:tr>
        <w:trPr/>
        <w:tc>
          <w:tcPr>
            <w:tcW w:w="9570" w:type="dxa"/>
            <w:tcBorders>
              <w:bottom w:val="single" w:sz="12" w:space="0" w:color="7CBC3E"/>
            </w:tcBorders>
            <w:shd w:fill="EFF6EA" w:val="clear"/>
            <w:tcMar>
              <w:top w:w="0" w:type="dxa"/>
              <w:bottom w:w="40" w:type="dxa"/>
            </w:tcMar>
            <w:vAlign w:val="center"/>
          </w:tcPr>
          <w:p>
            <w:pPr>
              <w:pStyle w:val="TableContents"/>
              <w:spacing w:before="0" w:after="283"/>
              <w:rPr/>
            </w:pPr>
            <w:r>
              <w:rPr/>
              <w:t>Executive Management Team who self-report as racially or ethnically diverse **</w:t>
            </w:r>
          </w:p>
        </w:tc>
        <w:tc>
          <w:tcPr>
            <w:tcW w:w="635" w:type="dxa"/>
            <w:tcBorders>
              <w:bottom w:val="single" w:sz="12" w:space="0" w:color="7CBC3E"/>
            </w:tcBorders>
            <w:shd w:fill="EFF6EA" w:val="clear"/>
            <w:tcMar>
              <w:top w:w="0" w:type="dxa"/>
              <w:bottom w:w="40" w:type="dxa"/>
            </w:tcMar>
            <w:vAlign w:val="center"/>
          </w:tcPr>
          <w:p>
            <w:pPr>
              <w:pStyle w:val="TableContents"/>
              <w:spacing w:before="0" w:after="283"/>
              <w:jc w:val="center"/>
              <w:rPr/>
            </w:pPr>
            <w:r>
              <w:rPr/>
              <w:t>3</w:t>
            </w:r>
          </w:p>
        </w:tc>
      </w:tr>
    </w:tbl>
    <w:tbl>
      <w:tblPr>
        <w:tblW w:w="10205" w:type="dxa"/>
        <w:jc w:val="left"/>
        <w:tblInd w:w="0" w:type="dxa"/>
        <w:tblCellMar>
          <w:top w:w="0" w:type="dxa"/>
          <w:left w:w="0" w:type="dxa"/>
          <w:bottom w:w="0" w:type="dxa"/>
          <w:right w:w="0" w:type="dxa"/>
        </w:tblCellMar>
      </w:tblPr>
      <w:tblGrid>
        <w:gridCol w:w="293"/>
        <w:gridCol w:w="9912"/>
      </w:tblGrid>
      <w:tr>
        <w:trPr/>
        <w:tc>
          <w:tcPr>
            <w:tcW w:w="293" w:type="dxa"/>
            <w:tcBorders/>
            <w:shd w:fill="auto" w:val="clear"/>
            <w:vAlign w:val="center"/>
          </w:tcPr>
          <w:p>
            <w:pPr>
              <w:pStyle w:val="TableContents"/>
              <w:spacing w:before="0" w:after="283"/>
              <w:rPr/>
            </w:pPr>
            <w:r>
              <w:rPr/>
              <w:t>*</w:t>
            </w:r>
          </w:p>
        </w:tc>
        <w:tc>
          <w:tcPr>
            <w:tcW w:w="9912" w:type="dxa"/>
            <w:tcBorders/>
            <w:shd w:fill="auto" w:val="clear"/>
            <w:vAlign w:val="center"/>
          </w:tcPr>
          <w:p>
            <w:pPr>
              <w:pStyle w:val="TableContents"/>
              <w:spacing w:before="0" w:after="283"/>
              <w:jc w:val="both"/>
              <w:rPr/>
            </w:pPr>
            <w:r>
              <w:rPr/>
              <w:t>As of December 31, 2022. U.S. employee data consistent with company’s submission on the U.S. Federal Employer Information Report Equal Opportunity (EEO-1) Form.</w:t>
            </w:r>
          </w:p>
        </w:tc>
      </w:tr>
      <w:tr>
        <w:trPr/>
        <w:tc>
          <w:tcPr>
            <w:tcW w:w="293" w:type="dxa"/>
            <w:tcBorders/>
            <w:shd w:fill="auto" w:val="clear"/>
            <w:vAlign w:val="center"/>
          </w:tcPr>
          <w:p>
            <w:pPr>
              <w:pStyle w:val="TableContents"/>
              <w:spacing w:before="0" w:after="283"/>
              <w:rPr/>
            </w:pPr>
            <w:r>
              <w:rPr/>
              <w:t>**</w:t>
            </w:r>
          </w:p>
        </w:tc>
        <w:tc>
          <w:tcPr>
            <w:tcW w:w="9912" w:type="dxa"/>
            <w:tcBorders/>
            <w:shd w:fill="auto" w:val="clear"/>
            <w:vAlign w:val="center"/>
          </w:tcPr>
          <w:p>
            <w:pPr>
              <w:pStyle w:val="TableContents"/>
              <w:spacing w:before="0" w:after="283"/>
              <w:rPr/>
            </w:pPr>
            <w:r>
              <w:rPr/>
              <w:t xml:space="preserve">Based on employees’ self-reporting race and ethnicity </w:t>
            </w:r>
          </w:p>
        </w:tc>
      </w:tr>
      <w:tr>
        <w:trPr/>
        <w:tc>
          <w:tcPr>
            <w:tcW w:w="293" w:type="dxa"/>
            <w:tcBorders/>
            <w:shd w:fill="auto" w:val="clear"/>
            <w:vAlign w:val="center"/>
          </w:tcPr>
          <w:p>
            <w:pPr>
              <w:pStyle w:val="TableContents"/>
              <w:spacing w:before="0" w:after="283"/>
              <w:rPr/>
            </w:pPr>
            <w:r>
              <w:rPr/>
              <w:t>***</w:t>
            </w:r>
          </w:p>
        </w:tc>
        <w:tc>
          <w:tcPr>
            <w:tcW w:w="9912" w:type="dxa"/>
            <w:tcBorders/>
            <w:shd w:fill="auto" w:val="clear"/>
            <w:vAlign w:val="center"/>
          </w:tcPr>
          <w:p>
            <w:pPr>
              <w:pStyle w:val="TableContents"/>
              <w:spacing w:before="0" w:after="283"/>
              <w:rPr/>
            </w:pPr>
            <w:r>
              <w:rPr/>
              <w:t>As a percentage of total management positions</w:t>
            </w:r>
          </w:p>
        </w:tc>
      </w:tr>
    </w:tbl>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committed to fair and equitable compensation practices within a pay-for-performance framework and believe these principles are critical in supporting our culture and achieving our mission. We regularly review our programs and practices as well as our employees’ pay with the goal of providing pay and opportunities that are equitable, transparent and free from bias. Our compensation decisions are based on role, performance, location, external and internal peer data, relevant experience, professional and personal contributions, and senior leadership review.</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83" w:name="lrarea081"/>
      <w:bookmarkEnd w:id="83"/>
      <w:r>
        <w:rPr>
          <w:rFonts w:ascii="Arial;Helvetica;Sans-Serif" w:hAnsi="Arial;Helvetica;Sans-Serif"/>
          <w:b/>
          <w:i w:val="false"/>
          <w:caps w:val="false"/>
          <w:smallCaps w:val="false"/>
          <w:sz w:val="28"/>
        </w:rPr>
        <w:t>Communities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committed to supporting initiatives that provide (1) impactful resources for the rare disease community, (2) public health and access to care, (3) Science, Technology, Engineering, the Arts and Mathematics (STEAM) education, and (4) local, at-risk communities. In 2022, we approved over $4 million in charitable donations, independent medical education and health-related grants. We offer employees the opportunity to take two paid volunteer days each year (16 hours), so that they can spend time giving back to our communities and contribute to local initiatives. We also expanded the representation and reach of our charitable giving programs from the U.S. to include Europe, Latin America and Japan.</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We partner with organizations that share in our mission to transform the lives of people with rare disease. Our rare disease community support includes patient and sibling programs, respite care and support programs for care partners, and awareness initiatives. </w:t>
            </w:r>
          </w:p>
        </w:tc>
      </w:tr>
      <w:tr>
        <w:trPr/>
        <w:tc>
          <w:tcPr>
            <w:tcW w:w="125" w:type="dxa"/>
            <w:tcBorders/>
            <w:shd w:fill="auto" w:val="clear"/>
            <w:vAlign w:val="center"/>
          </w:tcPr>
          <w:p>
            <w:pPr>
              <w:pStyle w:val="TableContents"/>
              <w:spacing w:before="0" w:after="283"/>
              <w:jc w:val="both"/>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We believe that equitable access to healthcare is key to a thriving and sustainable society. We support organizations that work to improve public health and increase access to care for local and underserved communities. Our equitable healthcare giving targets public health initiatives, access to services and wellness for these communities. </w:t>
            </w:r>
          </w:p>
        </w:tc>
      </w:tr>
      <w:tr>
        <w:trPr/>
        <w:tc>
          <w:tcPr>
            <w:tcW w:w="125" w:type="dxa"/>
            <w:tcBorders/>
            <w:shd w:fill="auto" w:val="clear"/>
            <w:vAlign w:val="center"/>
          </w:tcPr>
          <w:p>
            <w:pPr>
              <w:pStyle w:val="TableContents"/>
              <w:spacing w:before="0" w:after="283"/>
              <w:jc w:val="both"/>
              <w:rPr>
                <w:color w:val="7CBC3E"/>
              </w:rPr>
            </w:pPr>
            <w:r>
              <w:rPr>
                <w:color w:val="7CBC3E"/>
              </w:rPr>
              <w:t>•</w:t>
            </w:r>
          </w:p>
        </w:tc>
        <w:tc>
          <w:tcPr>
            <w:tcW w:w="10080" w:type="dxa"/>
            <w:tcBorders/>
            <w:shd w:fill="auto" w:val="clear"/>
            <w:vAlign w:val="center"/>
          </w:tcPr>
          <w:p>
            <w:pPr>
              <w:pStyle w:val="TableContents"/>
              <w:spacing w:before="0" w:after="283"/>
              <w:jc w:val="both"/>
              <w:rPr/>
            </w:pPr>
            <w:r>
              <w:rPr/>
              <w:t>To help inspire and advance the development of the next generation of Science, Technology, Engineering, the Arts and Mathematics (STEAM) leaders, we support locally implemented initiatives and organizations. Our STEAM education giving targets include diversity, equity and inclusion (DEI) initiatives, scholarships, and science events or programs</w:t>
            </w:r>
          </w:p>
        </w:tc>
      </w:tr>
    </w:tbl>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39</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have an employee resource group (ERG) called UltraGiving committed to connecting employees with opportunities to support nonprofit organizations assisting underserved communities. Once the connections are made, employees can choose to use their paid volunteer time, volunteer on their own or make donations. UltraGiving has chapters in the San Francisco Bay and Greater Boston areas, Utah and Latin America. Additionally, Ultragenyx employees volunteer their time to serve on the boards of directors for local nonprofits, such as North Marin Community Services and the Novato Chamber of Commerce.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to our philanthropic efforts, we support the rare disease community through educational initiatives, patient advocacy, research and access to information. Our specific focus is on patient and professional organizations that provide vital support to the rare disease community.</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84" w:name="lrarea082"/>
      <w:bookmarkEnd w:id="84"/>
      <w:r>
        <w:rPr>
          <w:rFonts w:ascii="Arial;Helvetica;Sans-Serif" w:hAnsi="Arial;Helvetica;Sans-Serif"/>
          <w:b/>
          <w:i w:val="false"/>
          <w:caps w:val="false"/>
          <w:smallCaps w:val="false"/>
          <w:sz w:val="28"/>
        </w:rPr>
        <w:t>Planet</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we look to advance a diverse portfolio of novel treatments in rare and ultra-rare diseases, we are committed to developing an environmental strategy that minimizes our environmental footprint across our business. In 2022, we developed and deployed several policies and procedures related to environmental data collection and environmental sustainability.</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few of our other initiatives are described below:</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rPr/>
            </w:pPr>
            <w:r>
              <w:rPr/>
              <w:t> </w:t>
            </w:r>
            <w:r>
              <w:rPr>
                <w:color w:val="7CBC3E"/>
              </w:rPr>
              <w:t>•</w:t>
            </w:r>
          </w:p>
        </w:tc>
        <w:tc>
          <w:tcPr>
            <w:tcW w:w="10020" w:type="dxa"/>
            <w:tcBorders/>
            <w:shd w:fill="auto" w:val="clear"/>
            <w:vAlign w:val="center"/>
          </w:tcPr>
          <w:p>
            <w:pPr>
              <w:pStyle w:val="TableContents"/>
              <w:spacing w:before="0" w:after="283"/>
              <w:jc w:val="both"/>
              <w:rPr/>
            </w:pPr>
            <w:r>
              <w:rPr/>
              <w:t>We purchase 100% renewable electricity through Marin Clean Energy’s Deep Green program for our corporate headquarters campus in Novato, California. Through the program, we are purchasing Green-e</w:t>
            </w:r>
            <w:r>
              <w:rPr>
                <w:position w:val="8"/>
                <w:sz w:val="19"/>
              </w:rPr>
              <w:t xml:space="preserve">® </w:t>
            </w:r>
            <w:r>
              <w:rPr/>
              <w:t>certified renewable electricity from solar and wind sources and eliminating greenhouse gas (GHG) emissions associated with our electricity use. Purchasing renewable electricity supports the City of Novato’s Climate Change Action Plan, which outlines strategies for the city to achieve a GHG reduction target of 40% below 2005 levels by 2035. In 2022, Ultragenyx purchased 1,988 megawatt-hours (MWh) of renewable electricity through this initiative, which avoided an estimated 465 MT CO2.</w:t>
            </w:r>
          </w:p>
        </w:tc>
      </w:tr>
      <w:tr>
        <w:trPr/>
        <w:tc>
          <w:tcPr>
            <w:tcW w:w="185" w:type="dxa"/>
            <w:tcBorders/>
            <w:shd w:fill="auto" w:val="clear"/>
            <w:vAlign w:val="center"/>
          </w:tcPr>
          <w:p>
            <w:pPr>
              <w:pStyle w:val="TableContents"/>
              <w:spacing w:before="0" w:after="283"/>
              <w:rPr>
                <w:color w:val="7CBC3E"/>
              </w:rPr>
            </w:pPr>
            <w:r>
              <w:rPr>
                <w:color w:val="7CBC3E"/>
              </w:rPr>
              <w:t>•</w:t>
            </w:r>
          </w:p>
        </w:tc>
        <w:tc>
          <w:tcPr>
            <w:tcW w:w="10020" w:type="dxa"/>
            <w:tcBorders/>
            <w:shd w:fill="auto" w:val="clear"/>
            <w:vAlign w:val="center"/>
          </w:tcPr>
          <w:p>
            <w:pPr>
              <w:pStyle w:val="TableContents"/>
              <w:spacing w:before="0" w:after="283"/>
              <w:jc w:val="both"/>
              <w:rPr/>
            </w:pPr>
            <w:r>
              <w:rPr/>
              <w:t>Electric vehicle (EV) charging stations are offered at the Novato and Brisbane, California, office complexes to support employees who drive electric vehicles. As of spring 2023, there are 11 EV charging connections, including two that comply with the Americans with Disabilities Act, across these two complexes. More EV charging stations are also planned in 2023.</w:t>
            </w:r>
          </w:p>
        </w:tc>
      </w:tr>
      <w:tr>
        <w:trPr/>
        <w:tc>
          <w:tcPr>
            <w:tcW w:w="185" w:type="dxa"/>
            <w:tcBorders/>
            <w:shd w:fill="auto" w:val="clear"/>
            <w:vAlign w:val="center"/>
          </w:tcPr>
          <w:p>
            <w:pPr>
              <w:pStyle w:val="TableContents"/>
              <w:spacing w:before="0" w:after="283"/>
              <w:rPr>
                <w:color w:val="7CBC3E"/>
              </w:rPr>
            </w:pPr>
            <w:r>
              <w:rPr>
                <w:color w:val="7CBC3E"/>
              </w:rPr>
              <w:t>•</w:t>
            </w:r>
          </w:p>
        </w:tc>
        <w:tc>
          <w:tcPr>
            <w:tcW w:w="10020" w:type="dxa"/>
            <w:tcBorders/>
            <w:shd w:fill="auto" w:val="clear"/>
            <w:vAlign w:val="center"/>
          </w:tcPr>
          <w:p>
            <w:pPr>
              <w:pStyle w:val="TableContents"/>
              <w:spacing w:before="0" w:after="283"/>
              <w:jc w:val="both"/>
              <w:rPr/>
            </w:pPr>
            <w:r>
              <w:rPr/>
              <w:t>We partnered with our waste services vendor in 2022 to launch a medical waste takeback program. Working with our vendor, the program is expected to allow most of our medical waste to be sent to private processing facilities where the waste will be sterilized, processed and repurposed into plastic lumber. The treatment process itself follows green chemistry principles and uses no air or water. It is designed to render source materials non-infectious and they become inert when absorbed into the plastic lumber end-product. This program is expected to significantly reduce Ultragenyx’s regulated medical waste from going ultimately to landfill and at the same time expand the company’s contribution to a circular economy by turning waste into productive value.</w:t>
            </w:r>
          </w:p>
        </w:tc>
      </w:tr>
    </w:tbl>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85" w:name="lrarea083"/>
      <w:bookmarkEnd w:id="85"/>
      <w:r>
        <w:rPr>
          <w:rFonts w:ascii="Arial;Helvetica;Sans-Serif" w:hAnsi="Arial;Helvetica;Sans-Serif"/>
          <w:b/>
          <w:i w:val="false"/>
          <w:caps w:val="false"/>
          <w:smallCaps w:val="false"/>
          <w:sz w:val="28"/>
        </w:rPr>
        <w:t>Governance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committed to maintaining responsible corporate governance practices to promote the long term interest of our stockholders and other stakeholders. A summary of our corporate governance practices is described in this Proxy Statement under “– Corporate Governance.”</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pPr>
            <w:r>
              <w:rPr/>
              <w:t>*</w:t>
            </w:r>
          </w:p>
        </w:tc>
        <w:tc>
          <w:tcPr>
            <w:tcW w:w="10050" w:type="dxa"/>
            <w:tcBorders/>
            <w:shd w:fill="auto" w:val="clear"/>
            <w:vAlign w:val="center"/>
          </w:tcPr>
          <w:p>
            <w:pPr>
              <w:pStyle w:val="TableContents"/>
              <w:spacing w:before="0" w:after="283"/>
              <w:jc w:val="both"/>
              <w:rPr/>
            </w:pPr>
            <w:r>
              <w:rPr/>
              <w:t>Our ESG commitments, goals and other forward-looking statements about our corporate ESG activities are aspirational and may change, and there is no guarantee or promise that they will be met.</w:t>
            </w:r>
          </w:p>
        </w:tc>
      </w:tr>
    </w:tbl>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40</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2"/>
        <w:jc w:val="both"/>
        <w:rPr>
          <w:rFonts w:ascii="Arial;Helvetica;Sans-Serif" w:hAnsi="Arial;Helvetica;Sans-Serif"/>
          <w:b/>
          <w:i w:val="false"/>
          <w:caps w:val="false"/>
          <w:smallCaps w:val="false"/>
          <w:color w:val="7CBC3E"/>
          <w:sz w:val="40"/>
        </w:rPr>
      </w:pPr>
      <w:bookmarkStart w:id="86" w:name="lrarea084"/>
      <w:bookmarkEnd w:id="86"/>
      <w:r>
        <w:rPr>
          <w:rFonts w:ascii="Arial;Helvetica;Sans-Serif" w:hAnsi="Arial;Helvetica;Sans-Serif"/>
          <w:b/>
          <w:i w:val="false"/>
          <w:caps w:val="false"/>
          <w:smallCaps w:val="false"/>
          <w:color w:val="7CBC3E"/>
          <w:sz w:val="40"/>
        </w:rPr>
        <w:t>Executive Officers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current executive officers, their respective ages as of the date of this Proxy Statement, and positions are set forth in the following table. Biographical information regarding each executive officer (other than Dr. Kakkis) is set forth following the table. Biographical information for Dr. Kakkis is set forth above under Proposal No. 1 (Election of Class I Directors). In March 2023, we announced that Eric Crombez, M.D., would assume the role of Executive Vice President, Chief Medical Officer, effective May 1, 2023 and that Dr. Bedrosian would assume a new role of Strategic Development Advisor effective as of such date.</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2424"/>
        <w:gridCol w:w="425"/>
        <w:gridCol w:w="7356"/>
      </w:tblGrid>
      <w:tr>
        <w:trPr/>
        <w:tc>
          <w:tcPr>
            <w:tcW w:w="2424" w:type="dxa"/>
            <w:tcBorders>
              <w:bottom w:val="single" w:sz="12" w:space="0" w:color="7CBC3E"/>
            </w:tcBorders>
            <w:shd w:fill="auto" w:val="clear"/>
            <w:vAlign w:val="center"/>
          </w:tcPr>
          <w:p>
            <w:pPr>
              <w:pStyle w:val="TableContents"/>
              <w:spacing w:before="0" w:after="283"/>
              <w:rPr>
                <w:b/>
              </w:rPr>
            </w:pPr>
            <w:r>
              <w:rPr>
                <w:b/>
              </w:rPr>
              <w:t>Name</w:t>
            </w:r>
          </w:p>
        </w:tc>
        <w:tc>
          <w:tcPr>
            <w:tcW w:w="425" w:type="dxa"/>
            <w:tcBorders>
              <w:bottom w:val="single" w:sz="12" w:space="0" w:color="7CBC3E"/>
            </w:tcBorders>
            <w:shd w:fill="auto" w:val="clear"/>
            <w:vAlign w:val="center"/>
          </w:tcPr>
          <w:p>
            <w:pPr>
              <w:pStyle w:val="TableContents"/>
              <w:spacing w:before="0" w:after="283"/>
              <w:jc w:val="center"/>
              <w:rPr>
                <w:b/>
              </w:rPr>
            </w:pPr>
            <w:r>
              <w:rPr>
                <w:b/>
              </w:rPr>
              <w:t>Age</w:t>
            </w:r>
          </w:p>
        </w:tc>
        <w:tc>
          <w:tcPr>
            <w:tcW w:w="7356" w:type="dxa"/>
            <w:tcBorders>
              <w:bottom w:val="single" w:sz="12" w:space="0" w:color="7CBC3E"/>
            </w:tcBorders>
            <w:shd w:fill="auto" w:val="clear"/>
            <w:vAlign w:val="center"/>
          </w:tcPr>
          <w:p>
            <w:pPr>
              <w:pStyle w:val="TableContents"/>
              <w:spacing w:before="0" w:after="283"/>
              <w:rPr>
                <w:b/>
              </w:rPr>
            </w:pPr>
            <w:r>
              <w:rPr>
                <w:b/>
              </w:rPr>
              <w:t>Position</w:t>
            </w:r>
          </w:p>
        </w:tc>
      </w:tr>
      <w:tr>
        <w:trPr/>
        <w:tc>
          <w:tcPr>
            <w:tcW w:w="2424" w:type="dxa"/>
            <w:tcBorders/>
            <w:shd w:fill="auto" w:val="clear"/>
            <w:tcMar>
              <w:bottom w:w="0" w:type="dxa"/>
            </w:tcMar>
            <w:vAlign w:val="center"/>
          </w:tcPr>
          <w:p>
            <w:pPr>
              <w:pStyle w:val="TableContents"/>
              <w:spacing w:before="0" w:after="283"/>
              <w:rPr/>
            </w:pPr>
            <w:r>
              <w:rPr/>
              <w:t>Emil D. Kakkis, M.D., Ph.D.</w:t>
            </w:r>
          </w:p>
        </w:tc>
        <w:tc>
          <w:tcPr>
            <w:tcW w:w="425" w:type="dxa"/>
            <w:tcBorders/>
            <w:shd w:fill="auto" w:val="clear"/>
            <w:tcMar>
              <w:bottom w:w="0" w:type="dxa"/>
            </w:tcMar>
            <w:vAlign w:val="center"/>
          </w:tcPr>
          <w:p>
            <w:pPr>
              <w:pStyle w:val="TableContents"/>
              <w:spacing w:before="0" w:after="283"/>
              <w:jc w:val="center"/>
              <w:rPr/>
            </w:pPr>
            <w:r>
              <w:rPr/>
              <w:t>62</w:t>
            </w:r>
          </w:p>
        </w:tc>
        <w:tc>
          <w:tcPr>
            <w:tcW w:w="7356" w:type="dxa"/>
            <w:tcBorders/>
            <w:shd w:fill="auto" w:val="clear"/>
            <w:tcMar>
              <w:bottom w:w="0" w:type="dxa"/>
            </w:tcMar>
            <w:vAlign w:val="center"/>
          </w:tcPr>
          <w:p>
            <w:pPr>
              <w:pStyle w:val="TableContents"/>
              <w:spacing w:before="0" w:after="283"/>
              <w:rPr/>
            </w:pPr>
            <w:r>
              <w:rPr/>
              <w:t>President and Chief Executive Officer, Director</w:t>
            </w:r>
          </w:p>
        </w:tc>
      </w:tr>
      <w:tr>
        <w:trPr/>
        <w:tc>
          <w:tcPr>
            <w:tcW w:w="2424" w:type="dxa"/>
            <w:tcBorders/>
            <w:shd w:fill="EFF6EA" w:val="clear"/>
            <w:tcMar>
              <w:bottom w:w="0" w:type="dxa"/>
            </w:tcMar>
            <w:vAlign w:val="center"/>
          </w:tcPr>
          <w:p>
            <w:pPr>
              <w:pStyle w:val="TableContents"/>
              <w:spacing w:before="0" w:after="283"/>
              <w:rPr/>
            </w:pPr>
            <w:r>
              <w:rPr/>
              <w:t>Camille L. Bedrosian, M.D.</w:t>
            </w:r>
          </w:p>
        </w:tc>
        <w:tc>
          <w:tcPr>
            <w:tcW w:w="425" w:type="dxa"/>
            <w:tcBorders/>
            <w:shd w:fill="EFF6EA" w:val="clear"/>
            <w:tcMar>
              <w:bottom w:w="0" w:type="dxa"/>
            </w:tcMar>
            <w:vAlign w:val="center"/>
          </w:tcPr>
          <w:p>
            <w:pPr>
              <w:pStyle w:val="TableContents"/>
              <w:spacing w:before="0" w:after="283"/>
              <w:jc w:val="center"/>
              <w:rPr/>
            </w:pPr>
            <w:r>
              <w:rPr/>
              <w:t>70</w:t>
            </w:r>
          </w:p>
        </w:tc>
        <w:tc>
          <w:tcPr>
            <w:tcW w:w="7356" w:type="dxa"/>
            <w:tcBorders/>
            <w:shd w:fill="EFF6EA" w:val="clear"/>
            <w:tcMar>
              <w:bottom w:w="0" w:type="dxa"/>
            </w:tcMar>
            <w:vAlign w:val="center"/>
          </w:tcPr>
          <w:p>
            <w:pPr>
              <w:pStyle w:val="TableContents"/>
              <w:spacing w:before="0" w:after="283"/>
              <w:rPr/>
            </w:pPr>
            <w:r>
              <w:rPr/>
              <w:t>Chief Medical Officer and Executive Vice President</w:t>
            </w:r>
          </w:p>
        </w:tc>
      </w:tr>
      <w:tr>
        <w:trPr/>
        <w:tc>
          <w:tcPr>
            <w:tcW w:w="2424" w:type="dxa"/>
            <w:tcBorders/>
            <w:shd w:fill="auto" w:val="clear"/>
            <w:tcMar>
              <w:bottom w:w="0" w:type="dxa"/>
            </w:tcMar>
            <w:vAlign w:val="center"/>
          </w:tcPr>
          <w:p>
            <w:pPr>
              <w:pStyle w:val="TableContents"/>
              <w:spacing w:before="0" w:after="283"/>
              <w:rPr/>
            </w:pPr>
            <w:r>
              <w:rPr/>
              <w:t>Erik Harris</w:t>
            </w:r>
          </w:p>
        </w:tc>
        <w:tc>
          <w:tcPr>
            <w:tcW w:w="425" w:type="dxa"/>
            <w:tcBorders/>
            <w:shd w:fill="auto" w:val="clear"/>
            <w:tcMar>
              <w:bottom w:w="0" w:type="dxa"/>
            </w:tcMar>
            <w:vAlign w:val="center"/>
          </w:tcPr>
          <w:p>
            <w:pPr>
              <w:pStyle w:val="TableContents"/>
              <w:spacing w:before="0" w:after="283"/>
              <w:jc w:val="center"/>
              <w:rPr/>
            </w:pPr>
            <w:r>
              <w:rPr/>
              <w:t>53</w:t>
            </w:r>
          </w:p>
        </w:tc>
        <w:tc>
          <w:tcPr>
            <w:tcW w:w="7356" w:type="dxa"/>
            <w:tcBorders/>
            <w:shd w:fill="auto" w:val="clear"/>
            <w:tcMar>
              <w:bottom w:w="0" w:type="dxa"/>
            </w:tcMar>
            <w:vAlign w:val="center"/>
          </w:tcPr>
          <w:p>
            <w:pPr>
              <w:pStyle w:val="TableContents"/>
              <w:spacing w:before="0" w:after="283"/>
              <w:rPr/>
            </w:pPr>
            <w:r>
              <w:rPr/>
              <w:t>Chief Commercial Officer and Executive Vice President</w:t>
            </w:r>
          </w:p>
        </w:tc>
      </w:tr>
      <w:tr>
        <w:trPr/>
        <w:tc>
          <w:tcPr>
            <w:tcW w:w="2424" w:type="dxa"/>
            <w:tcBorders/>
            <w:shd w:fill="EFF6EA" w:val="clear"/>
            <w:tcMar>
              <w:bottom w:w="0" w:type="dxa"/>
            </w:tcMar>
            <w:vAlign w:val="center"/>
          </w:tcPr>
          <w:p>
            <w:pPr>
              <w:pStyle w:val="TableContents"/>
              <w:spacing w:before="0" w:after="283"/>
              <w:jc w:val="left"/>
              <w:rPr/>
            </w:pPr>
            <w:r>
              <w:rPr/>
              <w:t>Dennis Huang</w:t>
            </w:r>
          </w:p>
        </w:tc>
        <w:tc>
          <w:tcPr>
            <w:tcW w:w="425" w:type="dxa"/>
            <w:tcBorders/>
            <w:shd w:fill="EFF6EA" w:val="clear"/>
            <w:tcMar>
              <w:bottom w:w="0" w:type="dxa"/>
            </w:tcMar>
            <w:vAlign w:val="center"/>
          </w:tcPr>
          <w:p>
            <w:pPr>
              <w:pStyle w:val="TableContents"/>
              <w:spacing w:before="0" w:after="283"/>
              <w:jc w:val="center"/>
              <w:rPr/>
            </w:pPr>
            <w:r>
              <w:rPr/>
              <w:t>58</w:t>
            </w:r>
          </w:p>
        </w:tc>
        <w:tc>
          <w:tcPr>
            <w:tcW w:w="7356" w:type="dxa"/>
            <w:tcBorders/>
            <w:shd w:fill="EFF6EA" w:val="clear"/>
            <w:tcMar>
              <w:bottom w:w="0" w:type="dxa"/>
            </w:tcMar>
            <w:vAlign w:val="center"/>
          </w:tcPr>
          <w:p>
            <w:pPr>
              <w:pStyle w:val="TableContents"/>
              <w:spacing w:before="0" w:after="283"/>
              <w:rPr/>
            </w:pPr>
            <w:r>
              <w:rPr/>
              <w:t>Chief Technical Operations Officer and Gene Therapy Operations and Executive Vice President</w:t>
            </w:r>
          </w:p>
        </w:tc>
      </w:tr>
      <w:tr>
        <w:trPr/>
        <w:tc>
          <w:tcPr>
            <w:tcW w:w="2424" w:type="dxa"/>
            <w:tcBorders/>
            <w:shd w:fill="auto" w:val="clear"/>
            <w:tcMar>
              <w:bottom w:w="0" w:type="dxa"/>
            </w:tcMar>
            <w:vAlign w:val="center"/>
          </w:tcPr>
          <w:p>
            <w:pPr>
              <w:pStyle w:val="TableContents"/>
              <w:spacing w:before="0" w:after="283"/>
              <w:rPr/>
            </w:pPr>
            <w:r>
              <w:rPr/>
              <w:t>Thomas Kassberg</w:t>
            </w:r>
          </w:p>
        </w:tc>
        <w:tc>
          <w:tcPr>
            <w:tcW w:w="425" w:type="dxa"/>
            <w:tcBorders/>
            <w:shd w:fill="auto" w:val="clear"/>
            <w:tcMar>
              <w:bottom w:w="0" w:type="dxa"/>
            </w:tcMar>
            <w:vAlign w:val="center"/>
          </w:tcPr>
          <w:p>
            <w:pPr>
              <w:pStyle w:val="TableContents"/>
              <w:spacing w:before="0" w:after="283"/>
              <w:jc w:val="center"/>
              <w:rPr/>
            </w:pPr>
            <w:r>
              <w:rPr/>
              <w:t>62</w:t>
            </w:r>
          </w:p>
        </w:tc>
        <w:tc>
          <w:tcPr>
            <w:tcW w:w="7356" w:type="dxa"/>
            <w:tcBorders/>
            <w:shd w:fill="auto" w:val="clear"/>
            <w:tcMar>
              <w:bottom w:w="0" w:type="dxa"/>
            </w:tcMar>
            <w:vAlign w:val="center"/>
          </w:tcPr>
          <w:p>
            <w:pPr>
              <w:pStyle w:val="TableContents"/>
              <w:spacing w:before="0" w:after="283"/>
              <w:rPr/>
            </w:pPr>
            <w:r>
              <w:rPr/>
              <w:t>Chief Business Officer and Executive Vice President</w:t>
            </w:r>
          </w:p>
        </w:tc>
      </w:tr>
      <w:tr>
        <w:trPr/>
        <w:tc>
          <w:tcPr>
            <w:tcW w:w="2424" w:type="dxa"/>
            <w:tcBorders/>
            <w:shd w:fill="EFF6EA" w:val="clear"/>
            <w:tcMar>
              <w:bottom w:w="0" w:type="dxa"/>
            </w:tcMar>
            <w:vAlign w:val="center"/>
          </w:tcPr>
          <w:p>
            <w:pPr>
              <w:pStyle w:val="TableContents"/>
              <w:spacing w:before="0" w:after="283"/>
              <w:rPr/>
            </w:pPr>
            <w:r>
              <w:rPr/>
              <w:t>Karah Parschauer</w:t>
            </w:r>
          </w:p>
        </w:tc>
        <w:tc>
          <w:tcPr>
            <w:tcW w:w="425" w:type="dxa"/>
            <w:tcBorders/>
            <w:shd w:fill="EFF6EA" w:val="clear"/>
            <w:tcMar>
              <w:bottom w:w="0" w:type="dxa"/>
            </w:tcMar>
            <w:vAlign w:val="center"/>
          </w:tcPr>
          <w:p>
            <w:pPr>
              <w:pStyle w:val="TableContents"/>
              <w:spacing w:before="0" w:after="283"/>
              <w:jc w:val="center"/>
              <w:rPr/>
            </w:pPr>
            <w:r>
              <w:rPr/>
              <w:t>45</w:t>
            </w:r>
          </w:p>
        </w:tc>
        <w:tc>
          <w:tcPr>
            <w:tcW w:w="7356" w:type="dxa"/>
            <w:tcBorders/>
            <w:shd w:fill="EFF6EA" w:val="clear"/>
            <w:tcMar>
              <w:bottom w:w="0" w:type="dxa"/>
            </w:tcMar>
            <w:vAlign w:val="center"/>
          </w:tcPr>
          <w:p>
            <w:pPr>
              <w:pStyle w:val="TableContents"/>
              <w:spacing w:before="0" w:after="283"/>
              <w:rPr/>
            </w:pPr>
            <w:r>
              <w:rPr/>
              <w:t>Chief Legal Officer and Executive Vice President</w:t>
            </w:r>
          </w:p>
        </w:tc>
      </w:tr>
      <w:tr>
        <w:trPr/>
        <w:tc>
          <w:tcPr>
            <w:tcW w:w="2424" w:type="dxa"/>
            <w:tcBorders>
              <w:bottom w:val="single" w:sz="12" w:space="0" w:color="7CBC3E"/>
            </w:tcBorders>
            <w:shd w:fill="auto" w:val="clear"/>
            <w:vAlign w:val="center"/>
          </w:tcPr>
          <w:p>
            <w:pPr>
              <w:pStyle w:val="TableContents"/>
              <w:spacing w:before="0" w:after="283"/>
              <w:rPr/>
            </w:pPr>
            <w:r>
              <w:rPr/>
              <w:t>John R. Pinion II</w:t>
            </w:r>
          </w:p>
        </w:tc>
        <w:tc>
          <w:tcPr>
            <w:tcW w:w="425" w:type="dxa"/>
            <w:tcBorders>
              <w:bottom w:val="single" w:sz="12" w:space="0" w:color="7CBC3E"/>
            </w:tcBorders>
            <w:shd w:fill="auto" w:val="clear"/>
            <w:vAlign w:val="center"/>
          </w:tcPr>
          <w:p>
            <w:pPr>
              <w:pStyle w:val="TableContents"/>
              <w:spacing w:before="0" w:after="283"/>
              <w:jc w:val="center"/>
              <w:rPr/>
            </w:pPr>
            <w:r>
              <w:rPr/>
              <w:t>57</w:t>
            </w:r>
          </w:p>
        </w:tc>
        <w:tc>
          <w:tcPr>
            <w:tcW w:w="7356" w:type="dxa"/>
            <w:tcBorders>
              <w:bottom w:val="single" w:sz="12" w:space="0" w:color="7CBC3E"/>
            </w:tcBorders>
            <w:shd w:fill="auto" w:val="clear"/>
            <w:vAlign w:val="center"/>
          </w:tcPr>
          <w:p>
            <w:pPr>
              <w:pStyle w:val="TableContents"/>
              <w:spacing w:before="0" w:after="283"/>
              <w:rPr/>
            </w:pPr>
            <w:r>
              <w:rPr/>
              <w:t>Chief Quality Officer and Executive Vice President of Translational Sciences</w:t>
            </w:r>
          </w:p>
        </w:tc>
      </w:tr>
    </w:tbl>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Camille L. Bedrosian, M.D. </w:t>
      </w:r>
      <w:r>
        <w:rPr>
          <w:rFonts w:ascii="Arial;Helvetica;Sans-Serif" w:hAnsi="Arial;Helvetica;Sans-Serif"/>
          <w:b w:val="false"/>
          <w:i w:val="false"/>
          <w:caps w:val="false"/>
          <w:smallCaps w:val="false"/>
          <w:sz w:val="18"/>
        </w:rPr>
        <w:t>has served as our Chief Medical Officer and Executive Vice President since January 2018. Prior to Ultragenyx, she served as Senior Vice President and Chief Medical Officer at Alexion Pharmaceuticals, Inc., a biopharmaceutical company, from May 2008 to January 2018. From September 2002 to April 2008, she served as Vice President and Chief Medical Officer at Ariad Pharmaceuticals, Inc., an oncology company. From 1997 to 2002, Dr. Bedrosian served in the Clinical Research and Development Department of Wyeth/Genetics Institute, Inc., most recently as Senior Director, Oncology/Hematology. From 1986 to 1997, she was a Fellow, an Associate, and then Assistant Professor of Medicine in the Division of Hematology and Oncology at Duke University Medical Center and the Duke Comprehensive Cancer Center. Dr. Bedrosian currently serves on the board of directors of Rhythm Pharmaceuticals, Inc., a public biopharmaceutical company, and on the board of directors of Crinetics Pharmaceuticals, Inc., a public clinical stage pharmaceutical company. Dr. Bedrosian holds an A.B. in Chemistry from Harvard University/Radcliffe College, a M.S. in Biophysics from M.I.T., and a M.D. from Harvard Medical School.</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Erik Harris </w:t>
      </w:r>
      <w:r>
        <w:rPr>
          <w:rFonts w:ascii="Arial;Helvetica;Sans-Serif" w:hAnsi="Arial;Helvetica;Sans-Serif"/>
          <w:b w:val="false"/>
          <w:i w:val="false"/>
          <w:caps w:val="false"/>
          <w:smallCaps w:val="false"/>
          <w:sz w:val="18"/>
        </w:rPr>
        <w:t>has served as our Chief Commercial Officer and Executive Vice President since June 2019. Prior to his appointment as our Chief Commercial Officer, Erik served as our Senior Vice President and Head of North American Commercial Operations from July 2017 to June 2019. Prior to Ultragenyx, Mr. Harris spent six years at Crescendo Bioscience, Inc., a molecular diagnostic company, most recently as Vice President of Commercial. Earlier in his career, Mr. Harris served as Vice President of Marketing at InterMune, Inc., a biotechnology company, and also held positions in the commercial organizations at Elan Pharmaceuticals, Inc., Genentech, Inc., and Bristol-Myers Squibb Company. At the start of his professional career, Mr. Harris served as a Lieutenant Commander in Naval Aviation and Congressional Fellow for the United States Navy. Mr. Harris currently serves on the board of directors of Denali Therapeutics Inc., a public biopharmaceutical company. Mr. Harris holds a B.S. from the United States Naval Academy and an M.B.A. from the Wharton School of Business.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Dennis Huang </w:t>
      </w:r>
      <w:r>
        <w:rPr>
          <w:rFonts w:ascii="Arial;Helvetica;Sans-Serif" w:hAnsi="Arial;Helvetica;Sans-Serif"/>
          <w:b w:val="false"/>
          <w:i w:val="false"/>
          <w:caps w:val="false"/>
          <w:smallCaps w:val="false"/>
          <w:sz w:val="18"/>
        </w:rPr>
        <w:t>has served as our Executive Vice President since January 2016, our Chief Technical Operations Officer since May 2015 and as our Chief Technical Operations Officer and Gene Therapy Operations since December 2021. From May 2015 to January 2016, he served as our Senior Vice President. Prior to Ultragenyx, Mr. Huang served as Senior Vice President of Manufacturing and Supply Chain at InterMune, Inc., a biotechnology company, from August 2013 to March 2015. Prior to InterMune, Mr. Huang served as Vice President of Biologic Manufacturing and Development at Allergan, Inc., a global pharmaceutical company, from May 2006 to August 2013. Mr. Huang currently serves on the board of directors of CytoDel, Inc., a private biopharmaceutical company. Mr. Huang holds a B.A. in Chemistry from Knox College in Galesburg, Illinois.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Thomas Kassberg </w:t>
      </w:r>
      <w:r>
        <w:rPr>
          <w:rFonts w:ascii="Arial;Helvetica;Sans-Serif" w:hAnsi="Arial;Helvetica;Sans-Serif"/>
          <w:b w:val="false"/>
          <w:i w:val="false"/>
          <w:caps w:val="false"/>
          <w:smallCaps w:val="false"/>
          <w:sz w:val="18"/>
        </w:rPr>
        <w:t>has served as our Executive Vice President since January 2016 and our Chief Business Officer since November 2011. From November 2011 to January 2016, he served as our Senior Vice President. Prior to Ultragenyx, Mr. Kassberg worked as Vice President of Business Development at Corium International, Inc., a biotechnology company, from July 2010 to October 2011. Prior to his work at Corium International, Inc., Mr. Kassberg worked as an independent consultant in corporate development and business strategy and consulted with a number of companies from March 2009 to June 2010, including Corium International, Inc., a biopharmaceutical company, and Rib-X Pharmaceuticals, Inc., a pharmaceutical company focused on the development of novel antibiotics. Before becoming a consultant, Mr. Kassberg worked at Proteolix, Inc., a biotechnology company subsequently acquired by Onyx Pharmaceuticals, from January 2008 to February 2009, where he served as Senior Vice President of Corporate Development. Mr. Kassberg holds a B.A. in Business Administration from Gustavus Adolphus College and an M.B.A. from Northwestern University.</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Karah Parschauer </w:t>
      </w:r>
      <w:r>
        <w:rPr>
          <w:rFonts w:ascii="Arial;Helvetica;Sans-Serif" w:hAnsi="Arial;Helvetica;Sans-Serif"/>
          <w:b w:val="false"/>
          <w:i w:val="false"/>
          <w:caps w:val="false"/>
          <w:smallCaps w:val="false"/>
          <w:sz w:val="18"/>
        </w:rPr>
        <w:t>has served as our Chief Legal Officer and Executive Vice President since December 2021 and as our General Counsel and Executive Vice President since June 2016. Prior to Ultragenyx, Ms. Parschauer served in various executive capacities, and most recently as Vice President, Associate General Counsel, at Allergan plc, a pharmaceutical company, from June 2005 to June 2016. Prior to Allergan, Ms. Parschauer was an attorney at Latham &amp; Watkins LLP, where she practiced in the areas of mergers and acquisitions, securities offerings and corporate governance. Ms. Parschauer currently serves on the board of directors of Evolus, Inc., a publicly traded performance</w:t>
      </w:r>
    </w:p>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41</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beauty company, the board of directors of Anebulo Pharmaceuticals, a publicly traded biotechnology company, and the board of directors of Tenaya Therapeutics, a publicly traded biotechnology company. Ms. Parschauer holds a B.A. in Biology from Miami University and a J.D. from Harvard Law School.</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John R. Pinion II </w:t>
      </w:r>
      <w:r>
        <w:rPr>
          <w:rFonts w:ascii="Arial;Helvetica;Sans-Serif" w:hAnsi="Arial;Helvetica;Sans-Serif"/>
          <w:b w:val="false"/>
          <w:i w:val="false"/>
          <w:caps w:val="false"/>
          <w:smallCaps w:val="false"/>
          <w:sz w:val="18"/>
        </w:rPr>
        <w:t>has served as our Chief Quality Officer and Executive Vice President of Translational Sciences since September 2017. From January 2016 to September 2017, he served as our Executive Vice President of Analytical Sciences and Research, and from July 2015 to September 2017, as our Chief Quality Operations Officer. From July 2015 to January 2016, he served as our Senior Vice President of Analytical Sciences and Research. Prior to Ultragenyx, Mr. Pinion served in various roles with increasing responsibilities at Genentech, a pharmaceutical company, from 2005 to June 2015, including his most recent position as the Senior Vice President and Global Head of Quality and Compliance for Roche/Genentech Pharma Technical Operations from October 2009 to July 2015. Mr. Pinion currently serves on the board of directors of Aroa Biosurgery, a soft tissue regeneration company listed on the Australian Securities Exchange. Mr. Pinion holds a B.S. of Science in Mechanical Engineering from the University of West Virginia.</w:t>
      </w:r>
    </w:p>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42</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2"/>
        <w:jc w:val="left"/>
        <w:rPr>
          <w:rFonts w:ascii="Arial;Helvetica;Sans-Serif" w:hAnsi="Arial;Helvetica;Sans-Serif"/>
          <w:b/>
          <w:i w:val="false"/>
          <w:caps w:val="false"/>
          <w:smallCaps w:val="false"/>
          <w:color w:val="7CBC3E"/>
          <w:sz w:val="40"/>
        </w:rPr>
      </w:pPr>
      <w:bookmarkStart w:id="87" w:name="lrarea085"/>
      <w:bookmarkEnd w:id="87"/>
      <w:r>
        <w:rPr>
          <w:rFonts w:ascii="Arial;Helvetica;Sans-Serif" w:hAnsi="Arial;Helvetica;Sans-Serif"/>
          <w:b/>
          <w:i w:val="false"/>
          <w:caps w:val="false"/>
          <w:smallCaps w:val="false"/>
          <w:color w:val="7CBC3E"/>
          <w:sz w:val="40"/>
        </w:rPr>
        <w:t>Certain Relationships and Related-Person Transactions</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88" w:name="lrarea086"/>
      <w:bookmarkEnd w:id="88"/>
      <w:r>
        <w:rPr>
          <w:rFonts w:ascii="Arial;Helvetica;Sans-Serif" w:hAnsi="Arial;Helvetica;Sans-Serif"/>
          <w:b/>
          <w:i w:val="false"/>
          <w:caps w:val="false"/>
          <w:smallCaps w:val="false"/>
          <w:sz w:val="28"/>
        </w:rPr>
        <w:t>Related-Person Transactions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Since January 1, 2022, we have not become, and are not currently proposed to be, a participant in any transactions required to be disclosed in the Proxy Statement under SEC rules with any “related persons,” which are generally considered to be our directors and executive officers, nominees for director, holders of more than 5% of our outstanding common stock, and members of their immediate families.</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89" w:name="lrarea087"/>
      <w:bookmarkEnd w:id="89"/>
      <w:r>
        <w:rPr>
          <w:rFonts w:ascii="Arial;Helvetica;Sans-Serif" w:hAnsi="Arial;Helvetica;Sans-Serif"/>
          <w:b/>
          <w:i w:val="false"/>
          <w:caps w:val="false"/>
          <w:smallCaps w:val="false"/>
          <w:sz w:val="28"/>
        </w:rPr>
        <w:t>Procedures for Related-Person Transactions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have adopted a written related-person transactions policy that governs the review, approval, and/or ratification of transactions with a related person where the amount involved exceeds $100,000 and in which any related person has or will have a direct or indirect interest. Under the policy, a “related person” is defined as any person described in Item 404(a) of Regulation S-K and includes any director, nominee for director, or executive officer of the Company; a beneficial owner of more than five percent of any class of our voting securities; and a person who is an immediate family member of any such director, nominee for director, executive officer, or more-than-five percent beneficial owner (the term “immediate family member” included any child, stepchild, parent, stepparent, spouse, sibling, mother-in-law, father-in-law, son-in-law, daughter-in-law, brother-in-law, or sister-in-law and any person (other than a tenant or employee) sharing the household of any such director, nominee for director, executive officer, or more-than-five percent beneficial owner).</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Pursuant to this policy, prior to entering into a transaction with a related person, our Chief Financial Officer (or Chief Legal Officer, in the case where the Chief Financial Officer has a direct or indirect interest in the transaction) will review the proposed transaction to determine if such transaction qualifies as a related-person transaction. If the Chief Financial Officer (or Chief Legal Officer, if applicable) determines that the proposed transaction is a related-person transaction, then the proposed transaction will be submitted to the Audit Committee for consideration at the next Audit Committee meeting; provided, however, that if the Chief Financial Officer (or Chief Legal Officer, if applicable), in consultation with the Chief Executive Officer, determines that it is not practicable or desirable to wait until the next meeting of the Audit Committee, then the Chief Financial Officer (or Chief Legal Officer, if applicable) shall submit the proposed transaction to the chairperson of the Audit Committee (who possesses delegated authority to act between meetings of the Audit Committee to pre- approve or ratify, as applicable, any related-person transaction in which the aggregate amount involved is expected to be less than $1 million).</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the event that our Chief Executive Officer or Chief Financial Officer (or Chief Legal Officer, if applicable) becomes aware of a related-person transaction that has not been previously approved or previously ratified under our related-person transaction policy, the transaction, if pending or ongoing, will be promptly submitted to the Audit Committee or the chairperson of the Audit Committee for consideration. If the transaction is already completed, the Audit Committee or the chairperson of the Audit Committee shall evaluate the transaction to determine if rescission of the transaction and/or any disciplinary action is appropriate.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evaluating these transactions, the Audit Committee or the chairperson of the Audit Committee, as applicable, will consider all of the relevant facts and circumstances available, including (if applicable) but not limited to: the benefits to us; the impact on a director’s independence in the event the related person is a director, an immediate family member of a director, or an entity in which a director has a position or relationship; the availability of other sources for comparable products or services; the terms of the transaction; and the terms available to unrelated third parties or to employees generally. The Audit Committee or the Chairperson of the Audit Committee, as applicable, will only approve related-person transactions that are in, or are not inconsistent with, the best interests of the Company and its stockholders, as the Audit Committee or the Chairperson of the Audit Committee determines in good faith.</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member of the Audit Committee shall participate in any review, consideration or approval of any related-person transaction with respect to which such member or any of his or her immediate family members is the related person.</w:t>
      </w:r>
    </w:p>
    <w:p>
      <w:pPr>
        <w:pStyle w:val="TextBody"/>
        <w:jc w:val="both"/>
        <w:rPr>
          <w:caps w:val="false"/>
          <w:smallCaps w:val="false"/>
        </w:rPr>
      </w:pPr>
      <w:r>
        <w:rPr>
          <w:caps w:val="false"/>
          <w:smallCaps w:val="false"/>
        </w:rPr>
        <w:t> </w:t>
      </w:r>
    </w:p>
    <w:p>
      <w:pPr>
        <w:pStyle w:val="Heading2"/>
        <w:jc w:val="both"/>
        <w:rPr>
          <w:rFonts w:ascii="Arial;Helvetica;Sans-Serif" w:hAnsi="Arial;Helvetica;Sans-Serif"/>
          <w:b/>
          <w:i w:val="false"/>
          <w:caps w:val="false"/>
          <w:smallCaps w:val="false"/>
          <w:color w:val="7CBC3E"/>
          <w:sz w:val="40"/>
        </w:rPr>
      </w:pPr>
      <w:bookmarkStart w:id="90" w:name="lrarea088"/>
      <w:bookmarkEnd w:id="90"/>
      <w:r>
        <w:rPr>
          <w:rFonts w:ascii="Arial;Helvetica;Sans-Serif" w:hAnsi="Arial;Helvetica;Sans-Serif"/>
          <w:b/>
          <w:i w:val="false"/>
          <w:caps w:val="false"/>
          <w:smallCaps w:val="false"/>
          <w:color w:val="7CBC3E"/>
          <w:sz w:val="40"/>
        </w:rPr>
        <w:t>Delinquent Section 16(a) Reports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Section 16(a) of the Exchange Act and SEC rules, our directors, executive officers and beneficial owners of more than 10% of any class of equity security are required to file periodic reports of their ownership, and changes in that ownership, with the SEC. To our knowledge, based solely on a review of copies of the reports filed with the SEC and written representations from our directors and executive officers that no Form 5 was required, other than one Form 4 to report two transactions with respect to Amrit Ray, one Form 4 to report two transactions with respect to Corsee D. Sanders and one Form 4 to report one transaction with respect to Theodore Alan Huizenga, which were not timely filed due to administrative error, all reports required to be filed by our executive officers, directors and beneficial owners of more than 10% of our common stock were timely filed in fiscal 2022.</w:t>
      </w:r>
    </w:p>
    <w:p>
      <w:pPr>
        <w:pStyle w:val="TextBody"/>
        <w:jc w:val="both"/>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43</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2"/>
        <w:spacing w:before="0" w:after="0"/>
        <w:ind w:left="0" w:right="0" w:hanging="0"/>
        <w:rPr>
          <w:rFonts w:ascii="Arial;Helvetica;Sans-Serif" w:hAnsi="Arial;Helvetica;Sans-Serif"/>
          <w:b/>
          <w:i w:val="false"/>
          <w:caps w:val="false"/>
          <w:smallCaps w:val="false"/>
          <w:color w:val="7CBC3E"/>
          <w:sz w:val="40"/>
        </w:rPr>
      </w:pPr>
      <w:bookmarkStart w:id="91" w:name="lrarea089"/>
      <w:bookmarkEnd w:id="91"/>
      <w:r>
        <w:rPr>
          <w:rFonts w:ascii="Arial;Helvetica;Sans-Serif" w:hAnsi="Arial;Helvetica;Sans-Serif"/>
          <w:b/>
          <w:i w:val="false"/>
          <w:caps w:val="false"/>
          <w:smallCaps w:val="false"/>
          <w:color w:val="7CBC3E"/>
          <w:sz w:val="40"/>
        </w:rPr>
        <w:t>Security Ownership of Certain Beneficial Owners and Management</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information relating to the beneficial ownership of our common stock as of April 10, 2023 (unless otherwise indicated), by:</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CBC3E"/>
              </w:rPr>
            </w:pPr>
            <w:r>
              <w:rPr>
                <w:color w:val="7CBC3E"/>
              </w:rPr>
              <w:t>•</w:t>
            </w:r>
          </w:p>
        </w:tc>
        <w:tc>
          <w:tcPr>
            <w:tcW w:w="10058" w:type="dxa"/>
            <w:tcBorders/>
            <w:shd w:fill="auto" w:val="clear"/>
            <w:vAlign w:val="center"/>
          </w:tcPr>
          <w:p>
            <w:pPr>
              <w:pStyle w:val="TableContents"/>
              <w:spacing w:before="0" w:after="283"/>
              <w:jc w:val="both"/>
              <w:rPr/>
            </w:pPr>
            <w:r>
              <w:rPr/>
              <w:t>each person, or group of affiliated persons, known by us to beneficially own more than 5% of our outstanding shares of common stock;</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77"/>
        <w:gridCol w:w="516"/>
        <w:gridCol w:w="9512"/>
      </w:tblGrid>
      <w:tr>
        <w:trPr/>
        <w:tc>
          <w:tcPr>
            <w:tcW w:w="177"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jc w:val="left"/>
              <w:rPr>
                <w:color w:val="7CBC3E"/>
              </w:rPr>
            </w:pPr>
            <w:r>
              <w:rPr>
                <w:color w:val="7CBC3E"/>
              </w:rPr>
              <w:t>•</w:t>
            </w:r>
          </w:p>
        </w:tc>
        <w:tc>
          <w:tcPr>
            <w:tcW w:w="9512" w:type="dxa"/>
            <w:tcBorders/>
            <w:shd w:fill="auto" w:val="clear"/>
            <w:vAlign w:val="center"/>
          </w:tcPr>
          <w:p>
            <w:pPr>
              <w:pStyle w:val="TableContents"/>
              <w:spacing w:before="0" w:after="283"/>
              <w:jc w:val="both"/>
              <w:rPr/>
            </w:pPr>
            <w:r>
              <w:rPr/>
              <w:t>each of our directors;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3"/>
        <w:gridCol w:w="272"/>
        <w:gridCol w:w="9840"/>
      </w:tblGrid>
      <w:tr>
        <w:trPr/>
        <w:tc>
          <w:tcPr>
            <w:tcW w:w="93"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jc w:val="left"/>
              <w:rPr>
                <w:color w:val="7CBC3E"/>
              </w:rPr>
            </w:pPr>
            <w:r>
              <w:rPr>
                <w:color w:val="7CBC3E"/>
              </w:rPr>
              <w:t>•</w:t>
            </w:r>
          </w:p>
        </w:tc>
        <w:tc>
          <w:tcPr>
            <w:tcW w:w="9840" w:type="dxa"/>
            <w:tcBorders/>
            <w:shd w:fill="auto" w:val="clear"/>
            <w:vAlign w:val="center"/>
          </w:tcPr>
          <w:p>
            <w:pPr>
              <w:pStyle w:val="TableContents"/>
              <w:spacing w:before="0" w:after="283"/>
              <w:jc w:val="both"/>
              <w:rPr/>
            </w:pPr>
            <w:r>
              <w:rPr/>
              <w:t>each of our named executive officers;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4"/>
        <w:gridCol w:w="215"/>
        <w:gridCol w:w="9916"/>
      </w:tblGrid>
      <w:tr>
        <w:trPr/>
        <w:tc>
          <w:tcPr>
            <w:tcW w:w="7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jc w:val="left"/>
              <w:rPr>
                <w:color w:val="7CBC3E"/>
              </w:rPr>
            </w:pPr>
            <w:r>
              <w:rPr>
                <w:color w:val="7CBC3E"/>
              </w:rPr>
              <w:t>•</w:t>
            </w:r>
          </w:p>
        </w:tc>
        <w:tc>
          <w:tcPr>
            <w:tcW w:w="9916" w:type="dxa"/>
            <w:tcBorders/>
            <w:shd w:fill="auto" w:val="clear"/>
            <w:vAlign w:val="center"/>
          </w:tcPr>
          <w:p>
            <w:pPr>
              <w:pStyle w:val="TableContents"/>
              <w:spacing w:before="0" w:after="283"/>
              <w:jc w:val="both"/>
              <w:rPr/>
            </w:pPr>
            <w:r>
              <w:rPr/>
              <w:t>all current directors and executive officers as a group.</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person has sole or shared voting power or investment power as well as any shares that the person has the right to acquire within 60 days through the exercise of any stock options, warrants or other rights. We believe, based on the information furnished to us, that except as otherwise indicated, and subject to applicable community property laws, the persons named in the table below have sole voting and investment power with respect to all shares of common stock held by that person.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percentage of shares beneficially owned is computed on the basis of 70,672,557 shares of our common stock outstanding as of April 10, 2023. Shares of our common stock that a person has the right to acquire within 60 days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Ultragenyx Pharmaceutical Inc., 60 Leveroni Court, Novato, California 94949.</w:t>
      </w:r>
    </w:p>
    <w:p>
      <w:pPr>
        <w:pStyle w:val="TextBody"/>
        <w:spacing w:before="0" w:after="0"/>
        <w:ind w:left="0" w:right="0" w:hanging="0"/>
        <w:jc w:val="both"/>
        <w:rPr>
          <w:caps w:val="false"/>
          <w:smallCaps w:val="false"/>
        </w:rPr>
      </w:pPr>
      <w:r>
        <w:rPr>
          <w:caps w:val="false"/>
          <w:smallCaps w:val="false"/>
        </w:rPr>
        <w:t> </w:t>
      </w:r>
    </w:p>
    <w:tbl>
      <w:tblPr>
        <w:tblW w:w="8205" w:type="dxa"/>
        <w:jc w:val="left"/>
        <w:tblInd w:w="0" w:type="dxa"/>
        <w:tblCellMar>
          <w:top w:w="0" w:type="dxa"/>
          <w:left w:w="0" w:type="dxa"/>
          <w:bottom w:w="0" w:type="dxa"/>
          <w:right w:w="0" w:type="dxa"/>
        </w:tblCellMar>
      </w:tblPr>
      <w:tblGrid>
        <w:gridCol w:w="5690"/>
        <w:gridCol w:w="1580"/>
        <w:gridCol w:w="60"/>
        <w:gridCol w:w="875"/>
      </w:tblGrid>
      <w:tr>
        <w:trPr/>
        <w:tc>
          <w:tcPr>
            <w:tcW w:w="5690" w:type="dxa"/>
            <w:tcBorders/>
            <w:shd w:fill="auto" w:val="clear"/>
            <w:vAlign w:val="center"/>
          </w:tcPr>
          <w:p>
            <w:pPr>
              <w:pStyle w:val="TableContents"/>
              <w:spacing w:before="0" w:after="283"/>
              <w:rPr/>
            </w:pPr>
            <w:r>
              <w:rPr/>
              <w:t> </w:t>
            </w:r>
          </w:p>
        </w:tc>
        <w:tc>
          <w:tcPr>
            <w:tcW w:w="2515" w:type="dxa"/>
            <w:gridSpan w:val="3"/>
            <w:tcBorders>
              <w:bottom w:val="single" w:sz="12" w:space="0" w:color="7CBC3E"/>
            </w:tcBorders>
            <w:shd w:fill="auto" w:val="clear"/>
            <w:tcMar>
              <w:bottom w:w="40" w:type="dxa"/>
            </w:tcMar>
            <w:vAlign w:val="center"/>
          </w:tcPr>
          <w:p>
            <w:pPr>
              <w:pStyle w:val="TableContents"/>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Beneficial Ownership</w:t>
            </w:r>
          </w:p>
        </w:tc>
      </w:tr>
      <w:tr>
        <w:trPr/>
        <w:tc>
          <w:tcPr>
            <w:tcW w:w="5690" w:type="dxa"/>
            <w:tcBorders>
              <w:bottom w:val="single" w:sz="12" w:space="0" w:color="7CBC3E"/>
            </w:tcBorders>
            <w:shd w:fill="auto" w:val="clear"/>
            <w:tcMar>
              <w:bottom w:w="40" w:type="dxa"/>
            </w:tcM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Name and Address of Beneficial Owner</w:t>
            </w:r>
          </w:p>
        </w:tc>
        <w:tc>
          <w:tcPr>
            <w:tcW w:w="1580" w:type="dxa"/>
            <w:tcBorders>
              <w:bottom w:val="single" w:sz="12" w:space="0" w:color="7CBC3E"/>
            </w:tcBorders>
            <w:shd w:fill="auto" w:val="clear"/>
            <w:tcMar>
              <w:bottom w:w="40" w:type="dxa"/>
            </w:tcM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Number of Shares</w:t>
            </w:r>
          </w:p>
        </w:tc>
        <w:tc>
          <w:tcPr>
            <w:tcW w:w="60" w:type="dxa"/>
            <w:tcBorders>
              <w:bottom w:val="single" w:sz="12" w:space="0" w:color="7CBC3E"/>
            </w:tcBorders>
            <w:shd w:fill="auto" w:val="clear"/>
            <w:tcMar>
              <w:bottom w:w="40" w:type="dxa"/>
            </w:tcMar>
            <w:vAlign w:val="center"/>
          </w:tcPr>
          <w:p>
            <w:pPr>
              <w:pStyle w:val="TableContents"/>
              <w:spacing w:before="0" w:after="283"/>
              <w:jc w:val="right"/>
              <w:rPr/>
            </w:pPr>
            <w:r>
              <w:rPr/>
              <w:t> </w:t>
            </w:r>
          </w:p>
        </w:tc>
        <w:tc>
          <w:tcPr>
            <w:tcW w:w="875" w:type="dxa"/>
            <w:tcBorders>
              <w:bottom w:val="single" w:sz="12" w:space="0" w:color="7CBC3E"/>
            </w:tcBorders>
            <w:shd w:fill="auto" w:val="clear"/>
            <w:tcMar>
              <w:bottom w:w="40" w:type="dxa"/>
            </w:tcM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of Total</w:t>
            </w:r>
          </w:p>
        </w:tc>
      </w:tr>
      <w:tr>
        <w:trPr/>
        <w:tc>
          <w:tcPr>
            <w:tcW w:w="5690" w:type="dxa"/>
            <w:tcBorders/>
            <w:shd w:fill="auto" w:val="cle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Stockholders Owning Greater than 5%:</w:t>
            </w:r>
          </w:p>
        </w:tc>
        <w:tc>
          <w:tcPr>
            <w:tcW w:w="15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r>
      <w:tr>
        <w:trPr/>
        <w:tc>
          <w:tcPr>
            <w:tcW w:w="5690" w:type="dxa"/>
            <w:tcBorders/>
            <w:shd w:fill="EFF6EA"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Vanguard Group</w:t>
            </w:r>
            <w:r>
              <w:rPr>
                <w:rFonts w:ascii="Arial;Helvetica;Sans-Serif" w:hAnsi="Arial;Helvetica;Sans-Serif"/>
                <w:b w:val="false"/>
                <w:i w:val="false"/>
                <w:caps w:val="false"/>
                <w:smallCaps w:val="false"/>
                <w:position w:val="6"/>
                <w:sz w:val="14"/>
                <w:sz w:val="18"/>
              </w:rPr>
              <w:t>(1)</w:t>
            </w:r>
          </w:p>
        </w:tc>
        <w:tc>
          <w:tcPr>
            <w:tcW w:w="1580"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6,374,230</w:t>
            </w:r>
          </w:p>
        </w:tc>
        <w:tc>
          <w:tcPr>
            <w:tcW w:w="6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9.0%</w:t>
            </w:r>
          </w:p>
        </w:tc>
      </w:tr>
      <w:tr>
        <w:trPr/>
        <w:tc>
          <w:tcPr>
            <w:tcW w:w="5690"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Wellington Management Group LLP</w:t>
            </w:r>
            <w:r>
              <w:rPr>
                <w:rFonts w:ascii="Arial;Helvetica;Sans-Serif" w:hAnsi="Arial;Helvetica;Sans-Serif"/>
                <w:b w:val="false"/>
                <w:i w:val="false"/>
                <w:caps w:val="false"/>
                <w:smallCaps w:val="false"/>
                <w:position w:val="6"/>
                <w:sz w:val="14"/>
                <w:sz w:val="18"/>
              </w:rPr>
              <w:t>(2)</w:t>
            </w:r>
          </w:p>
        </w:tc>
        <w:tc>
          <w:tcPr>
            <w:tcW w:w="1580"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5,202,684</w:t>
            </w:r>
          </w:p>
        </w:tc>
        <w:tc>
          <w:tcPr>
            <w:tcW w:w="6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7.4%</w:t>
            </w:r>
          </w:p>
        </w:tc>
      </w:tr>
      <w:tr>
        <w:trPr/>
        <w:tc>
          <w:tcPr>
            <w:tcW w:w="5690" w:type="dxa"/>
            <w:tcBorders/>
            <w:shd w:fill="EFF6EA"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BlackRock, Inc.</w:t>
            </w:r>
            <w:r>
              <w:rPr>
                <w:rFonts w:ascii="Arial;Helvetica;Sans-Serif" w:hAnsi="Arial;Helvetica;Sans-Serif"/>
                <w:b w:val="false"/>
                <w:i w:val="false"/>
                <w:caps w:val="false"/>
                <w:smallCaps w:val="false"/>
                <w:position w:val="6"/>
                <w:sz w:val="14"/>
                <w:sz w:val="18"/>
              </w:rPr>
              <w:t>(3)</w:t>
            </w:r>
          </w:p>
        </w:tc>
        <w:tc>
          <w:tcPr>
            <w:tcW w:w="1580"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4,336,492</w:t>
            </w:r>
          </w:p>
        </w:tc>
        <w:tc>
          <w:tcPr>
            <w:tcW w:w="6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6.1%</w:t>
            </w:r>
          </w:p>
        </w:tc>
      </w:tr>
      <w:tr>
        <w:trPr/>
        <w:tc>
          <w:tcPr>
            <w:tcW w:w="5690"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 Rowe Price Associates, Inc.</w:t>
            </w:r>
            <w:r>
              <w:rPr>
                <w:rFonts w:ascii="Arial;Helvetica;Sans-Serif" w:hAnsi="Arial;Helvetica;Sans-Serif"/>
                <w:b w:val="false"/>
                <w:i w:val="false"/>
                <w:caps w:val="false"/>
                <w:smallCaps w:val="false"/>
                <w:position w:val="6"/>
                <w:sz w:val="14"/>
                <w:sz w:val="18"/>
              </w:rPr>
              <w:t>(4)</w:t>
            </w:r>
          </w:p>
        </w:tc>
        <w:tc>
          <w:tcPr>
            <w:tcW w:w="1580"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4,096,388</w:t>
            </w:r>
          </w:p>
        </w:tc>
        <w:tc>
          <w:tcPr>
            <w:tcW w:w="6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5.8%</w:t>
            </w:r>
          </w:p>
        </w:tc>
      </w:tr>
      <w:tr>
        <w:trPr/>
        <w:tc>
          <w:tcPr>
            <w:tcW w:w="5690" w:type="dxa"/>
            <w:tcBorders/>
            <w:shd w:fill="EFF6EA"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RTW Investments, LP</w:t>
            </w:r>
            <w:r>
              <w:rPr>
                <w:rFonts w:ascii="Arial;Helvetica;Sans-Serif" w:hAnsi="Arial;Helvetica;Sans-Serif"/>
                <w:b w:val="false"/>
                <w:i w:val="false"/>
                <w:caps w:val="false"/>
                <w:smallCaps w:val="false"/>
                <w:position w:val="6"/>
                <w:sz w:val="14"/>
                <w:sz w:val="18"/>
              </w:rPr>
              <w:t>(5)</w:t>
            </w:r>
          </w:p>
        </w:tc>
        <w:tc>
          <w:tcPr>
            <w:tcW w:w="1580"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3,996,915</w:t>
            </w:r>
          </w:p>
        </w:tc>
        <w:tc>
          <w:tcPr>
            <w:tcW w:w="6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5.6%</w:t>
            </w:r>
          </w:p>
        </w:tc>
      </w:tr>
      <w:tr>
        <w:trPr/>
        <w:tc>
          <w:tcPr>
            <w:tcW w:w="5690" w:type="dxa"/>
            <w:tcBorders/>
            <w:shd w:fill="auto" w:val="cle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Directors and Named Executive Officers:</w:t>
            </w:r>
          </w:p>
        </w:tc>
        <w:tc>
          <w:tcPr>
            <w:tcW w:w="15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r>
      <w:tr>
        <w:trPr/>
        <w:tc>
          <w:tcPr>
            <w:tcW w:w="5690" w:type="dxa"/>
            <w:tcBorders/>
            <w:shd w:fill="EFF6EA"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Deborah Dunsire, M.D.</w:t>
            </w:r>
            <w:r>
              <w:rPr>
                <w:rFonts w:ascii="Arial;Helvetica;Sans-Serif" w:hAnsi="Arial;Helvetica;Sans-Serif"/>
                <w:b w:val="false"/>
                <w:i w:val="false"/>
                <w:caps w:val="false"/>
                <w:smallCaps w:val="false"/>
                <w:position w:val="6"/>
                <w:sz w:val="14"/>
                <w:sz w:val="18"/>
              </w:rPr>
              <w:t>(6)</w:t>
            </w:r>
          </w:p>
        </w:tc>
        <w:tc>
          <w:tcPr>
            <w:tcW w:w="1580"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59,240</w:t>
            </w:r>
          </w:p>
        </w:tc>
        <w:tc>
          <w:tcPr>
            <w:tcW w:w="6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5690"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Lars Ekman, M.D., Ph.D.</w:t>
            </w:r>
            <w:r>
              <w:rPr>
                <w:rFonts w:ascii="Arial;Helvetica;Sans-Serif" w:hAnsi="Arial;Helvetica;Sans-Serif"/>
                <w:b w:val="false"/>
                <w:i w:val="false"/>
                <w:caps w:val="false"/>
                <w:smallCaps w:val="false"/>
                <w:position w:val="6"/>
                <w:sz w:val="14"/>
                <w:sz w:val="18"/>
              </w:rPr>
              <w:t>(7)</w:t>
            </w:r>
          </w:p>
        </w:tc>
        <w:tc>
          <w:tcPr>
            <w:tcW w:w="1580"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64,865</w:t>
            </w:r>
          </w:p>
        </w:tc>
        <w:tc>
          <w:tcPr>
            <w:tcW w:w="6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5690" w:type="dxa"/>
            <w:tcBorders/>
            <w:shd w:fill="EFF6EA"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Matthew K. Fust</w:t>
            </w:r>
            <w:r>
              <w:rPr>
                <w:rFonts w:ascii="Arial;Helvetica;Sans-Serif" w:hAnsi="Arial;Helvetica;Sans-Serif"/>
                <w:b w:val="false"/>
                <w:i w:val="false"/>
                <w:caps w:val="false"/>
                <w:smallCaps w:val="false"/>
                <w:position w:val="6"/>
                <w:sz w:val="14"/>
                <w:sz w:val="18"/>
              </w:rPr>
              <w:t>(8)</w:t>
            </w:r>
          </w:p>
        </w:tc>
        <w:tc>
          <w:tcPr>
            <w:tcW w:w="1580"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66,115</w:t>
            </w:r>
          </w:p>
        </w:tc>
        <w:tc>
          <w:tcPr>
            <w:tcW w:w="6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5690"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Michael Narachi</w:t>
            </w:r>
            <w:r>
              <w:rPr>
                <w:rFonts w:ascii="Arial;Helvetica;Sans-Serif" w:hAnsi="Arial;Helvetica;Sans-Serif"/>
                <w:b w:val="false"/>
                <w:i w:val="false"/>
                <w:caps w:val="false"/>
                <w:smallCaps w:val="false"/>
                <w:position w:val="6"/>
                <w:sz w:val="14"/>
                <w:sz w:val="18"/>
              </w:rPr>
              <w:t>(9)</w:t>
            </w:r>
          </w:p>
        </w:tc>
        <w:tc>
          <w:tcPr>
            <w:tcW w:w="1580"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74,865</w:t>
            </w:r>
          </w:p>
        </w:tc>
        <w:tc>
          <w:tcPr>
            <w:tcW w:w="6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5690" w:type="dxa"/>
            <w:tcBorders/>
            <w:shd w:fill="EFF6EA"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Amrit Ray, M.D.</w:t>
            </w:r>
            <w:r>
              <w:rPr>
                <w:rFonts w:ascii="Arial;Helvetica;Sans-Serif" w:hAnsi="Arial;Helvetica;Sans-Serif"/>
                <w:b w:val="false"/>
                <w:i w:val="false"/>
                <w:caps w:val="false"/>
                <w:smallCaps w:val="false"/>
                <w:position w:val="6"/>
                <w:sz w:val="14"/>
                <w:sz w:val="18"/>
              </w:rPr>
              <w:t>(10)</w:t>
            </w:r>
          </w:p>
        </w:tc>
        <w:tc>
          <w:tcPr>
            <w:tcW w:w="1580"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14,692</w:t>
            </w:r>
          </w:p>
        </w:tc>
        <w:tc>
          <w:tcPr>
            <w:tcW w:w="6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5690"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Corsee D. Sanders, Ph.D.</w:t>
            </w:r>
            <w:r>
              <w:rPr>
                <w:rFonts w:ascii="Arial;Helvetica;Sans-Serif" w:hAnsi="Arial;Helvetica;Sans-Serif"/>
                <w:b w:val="false"/>
                <w:i w:val="false"/>
                <w:caps w:val="false"/>
                <w:smallCaps w:val="false"/>
                <w:position w:val="6"/>
                <w:sz w:val="14"/>
                <w:sz w:val="18"/>
              </w:rPr>
              <w:t>(11)</w:t>
            </w:r>
          </w:p>
        </w:tc>
        <w:tc>
          <w:tcPr>
            <w:tcW w:w="1580"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15,478</w:t>
            </w:r>
          </w:p>
        </w:tc>
        <w:tc>
          <w:tcPr>
            <w:tcW w:w="6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5690" w:type="dxa"/>
            <w:tcBorders/>
            <w:shd w:fill="EFF6EA"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Shehnaaz Suliman, M.D.</w:t>
            </w:r>
            <w:r>
              <w:rPr>
                <w:rFonts w:ascii="Arial;Helvetica;Sans-Serif" w:hAnsi="Arial;Helvetica;Sans-Serif"/>
                <w:b w:val="false"/>
                <w:i w:val="false"/>
                <w:caps w:val="false"/>
                <w:smallCaps w:val="false"/>
                <w:position w:val="6"/>
                <w:sz w:val="14"/>
                <w:sz w:val="18"/>
              </w:rPr>
              <w:t>(12)</w:t>
            </w:r>
          </w:p>
        </w:tc>
        <w:tc>
          <w:tcPr>
            <w:tcW w:w="1580"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50,615</w:t>
            </w:r>
          </w:p>
        </w:tc>
        <w:tc>
          <w:tcPr>
            <w:tcW w:w="6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5690"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Daniel G. Welch</w:t>
            </w:r>
            <w:r>
              <w:rPr>
                <w:rFonts w:ascii="Arial;Helvetica;Sans-Serif" w:hAnsi="Arial;Helvetica;Sans-Serif"/>
                <w:b w:val="false"/>
                <w:i w:val="false"/>
                <w:caps w:val="false"/>
                <w:smallCaps w:val="false"/>
                <w:position w:val="6"/>
                <w:sz w:val="14"/>
                <w:sz w:val="18"/>
              </w:rPr>
              <w:t>(13)</w:t>
            </w:r>
          </w:p>
        </w:tc>
        <w:tc>
          <w:tcPr>
            <w:tcW w:w="1580"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74,865</w:t>
            </w:r>
          </w:p>
        </w:tc>
        <w:tc>
          <w:tcPr>
            <w:tcW w:w="6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5690" w:type="dxa"/>
            <w:tcBorders/>
            <w:shd w:fill="EFF6EA"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Emil D. Kakkis, M.D., Ph.D.</w:t>
            </w:r>
            <w:r>
              <w:rPr>
                <w:rFonts w:ascii="Arial;Helvetica;Sans-Serif" w:hAnsi="Arial;Helvetica;Sans-Serif"/>
                <w:b w:val="false"/>
                <w:i w:val="false"/>
                <w:caps w:val="false"/>
                <w:smallCaps w:val="false"/>
                <w:position w:val="6"/>
                <w:sz w:val="14"/>
                <w:sz w:val="18"/>
              </w:rPr>
              <w:t>(14)</w:t>
            </w:r>
          </w:p>
        </w:tc>
        <w:tc>
          <w:tcPr>
            <w:tcW w:w="1580"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3,277,728</w:t>
            </w:r>
          </w:p>
        </w:tc>
        <w:tc>
          <w:tcPr>
            <w:tcW w:w="6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4.6%</w:t>
            </w:r>
          </w:p>
        </w:tc>
      </w:tr>
      <w:tr>
        <w:trPr/>
        <w:tc>
          <w:tcPr>
            <w:tcW w:w="5690"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Camille Bedrosian, M.D.</w:t>
            </w:r>
            <w:r>
              <w:rPr>
                <w:rFonts w:ascii="Arial;Helvetica;Sans-Serif" w:hAnsi="Arial;Helvetica;Sans-Serif"/>
                <w:b w:val="false"/>
                <w:i w:val="false"/>
                <w:caps w:val="false"/>
                <w:smallCaps w:val="false"/>
                <w:position w:val="6"/>
                <w:sz w:val="14"/>
                <w:sz w:val="18"/>
              </w:rPr>
              <w:t>(15)</w:t>
            </w:r>
          </w:p>
        </w:tc>
        <w:tc>
          <w:tcPr>
            <w:tcW w:w="1580"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137,177</w:t>
            </w:r>
          </w:p>
        </w:tc>
        <w:tc>
          <w:tcPr>
            <w:tcW w:w="6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5690" w:type="dxa"/>
            <w:tcBorders/>
            <w:shd w:fill="EFF6EA"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Erik Harris</w:t>
            </w:r>
            <w:r>
              <w:rPr>
                <w:rFonts w:ascii="Arial;Helvetica;Sans-Serif" w:hAnsi="Arial;Helvetica;Sans-Serif"/>
                <w:b w:val="false"/>
                <w:i w:val="false"/>
                <w:caps w:val="false"/>
                <w:smallCaps w:val="false"/>
                <w:position w:val="6"/>
                <w:sz w:val="14"/>
                <w:sz w:val="18"/>
              </w:rPr>
              <w:t>(16)</w:t>
            </w:r>
          </w:p>
        </w:tc>
        <w:tc>
          <w:tcPr>
            <w:tcW w:w="1580"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109,763</w:t>
            </w:r>
          </w:p>
        </w:tc>
        <w:tc>
          <w:tcPr>
            <w:tcW w:w="6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5690"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John R. Pinion II</w:t>
            </w:r>
            <w:r>
              <w:rPr>
                <w:rFonts w:ascii="Arial;Helvetica;Sans-Serif" w:hAnsi="Arial;Helvetica;Sans-Serif"/>
                <w:b w:val="false"/>
                <w:i w:val="false"/>
                <w:caps w:val="false"/>
                <w:smallCaps w:val="false"/>
                <w:position w:val="6"/>
                <w:sz w:val="14"/>
                <w:sz w:val="18"/>
              </w:rPr>
              <w:t>(17)</w:t>
            </w:r>
          </w:p>
        </w:tc>
        <w:tc>
          <w:tcPr>
            <w:tcW w:w="1580"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257,604</w:t>
            </w:r>
          </w:p>
        </w:tc>
        <w:tc>
          <w:tcPr>
            <w:tcW w:w="6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5690" w:type="dxa"/>
            <w:tcBorders>
              <w:bottom w:val="single" w:sz="12" w:space="0" w:color="7CBC3E"/>
            </w:tcBorders>
            <w:shd w:fill="EFF6EA"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current executive officers and directors as a group</w:t>
            </w:r>
            <w:r>
              <w:rPr>
                <w:rFonts w:ascii="Arial;Helvetica;Sans-Serif" w:hAnsi="Arial;Helvetica;Sans-Serif"/>
                <w:b w:val="false"/>
                <w:i w:val="false"/>
                <w:caps w:val="false"/>
                <w:smallCaps w:val="false"/>
                <w:position w:val="6"/>
                <w:sz w:val="14"/>
                <w:sz w:val="18"/>
              </w:rPr>
              <w:t xml:space="preserve">(18) </w:t>
            </w:r>
            <w:r>
              <w:rPr>
                <w:rFonts w:ascii="Arial;Helvetica;Sans-Serif" w:hAnsi="Arial;Helvetica;Sans-Serif"/>
                <w:b w:val="false"/>
                <w:i w:val="false"/>
                <w:caps w:val="false"/>
                <w:smallCaps w:val="false"/>
                <w:sz w:val="18"/>
              </w:rPr>
              <w:t>(15 persons)</w:t>
            </w:r>
          </w:p>
        </w:tc>
        <w:tc>
          <w:tcPr>
            <w:tcW w:w="1580" w:type="dxa"/>
            <w:tcBorders>
              <w:bottom w:val="single" w:sz="12" w:space="0" w:color="7CBC3E"/>
            </w:tcBorders>
            <w:shd w:fill="EFF6EA" w:val="clear"/>
            <w:tcMar>
              <w:bottom w:w="4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4,940,920</w:t>
            </w:r>
          </w:p>
        </w:tc>
        <w:tc>
          <w:tcPr>
            <w:tcW w:w="60" w:type="dxa"/>
            <w:tcBorders>
              <w:bottom w:val="single" w:sz="12" w:space="0" w:color="7CBC3E"/>
            </w:tcBorders>
            <w:shd w:fill="EFF6EA" w:val="clear"/>
            <w:tcMar>
              <w:bottom w:w="40" w:type="dxa"/>
            </w:tcMar>
            <w:vAlign w:val="center"/>
          </w:tcPr>
          <w:p>
            <w:pPr>
              <w:pStyle w:val="TableContents"/>
              <w:spacing w:before="0" w:after="283"/>
              <w:jc w:val="right"/>
              <w:rPr/>
            </w:pPr>
            <w:r>
              <w:rPr/>
              <w:t> </w:t>
            </w:r>
          </w:p>
        </w:tc>
        <w:tc>
          <w:tcPr>
            <w:tcW w:w="875" w:type="dxa"/>
            <w:tcBorders>
              <w:bottom w:val="single" w:sz="12" w:space="0" w:color="7CBC3E"/>
            </w:tcBorders>
            <w:shd w:fill="EFF6EA" w:val="clear"/>
            <w:tcMar>
              <w:bottom w:w="4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6.8%</w:t>
            </w:r>
          </w:p>
        </w:tc>
      </w:tr>
    </w:tbl>
    <w:p>
      <w:pPr>
        <w:pStyle w:val="TextBody"/>
        <w:spacing w:before="60" w:after="0"/>
        <w:ind w:left="60" w:right="60" w:hanging="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Indicates beneficial ownership of less than 1% of the total outstanding common stock.</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10005"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Based on information set forth in a Schedule 13G/A filed with the SEC on February 9, 2023 by The Vanguard Group. The Schedule 13G/A reported that, as of December 31, 2022, The Vanguard Group has shared voting power with respect to 28,187 shares, sole dispositive power with respect to 6,279,889 shares, and shared dispositive power with respect to 94,341 shares. The principal business address for The Vanguard Group is listed in such filing as 100 Vanguard Blvd., Malvern, PA 19355.</w:t>
            </w:r>
          </w:p>
        </w:tc>
      </w:tr>
    </w:tbl>
    <w:p>
      <w:pPr>
        <w:pStyle w:val="TextBody"/>
        <w:spacing w:before="0" w:after="0"/>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44</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281"/>
        <w:gridCol w:w="9924"/>
      </w:tblGrid>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Based on information set forth in a Schedule 13G filed with the SEC on February 6, 2023 by The Wellington Management Group LP.  The Schedule 13G reported that, as of December 31, 2022, The Wellington Management Group LP has shared voting power with respect to 4,804,282 shares and shared dispositive power with respect to 5,202,684 shares. The principal business address for The Wellington Group LP is listed in such filing as 280 Congress Street, Boston, MA 02210. The filing indicates that Wellington Management Group LLP is the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Based on information set forth in a Schedule 13G filed with the SEC on February 3, 2023 by BlackRock, Inc. The Schedule 13G reported that, as of December 31, 2022, BlackRock Inc. has sole voting power with respect to 4,097,323 of these shares and sole dispositive power with respect to 4,336,492 of these shares. The principal business address for BlackRock Inc. is listed in such filing as 55 East 52nd Street, New York, NY 10055.</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Based on information set forth in a Schedule 13G/A filed with the SEC on February 14, 2023 by T. Rowe Price Associates, Inc. The Schedule 13G/A reported that, as of December 31, 2022, T. Rowe Price Associates, Inc. has sole voting power with respect to 766,521 of these shares and sole dispositive power with respect to 4,096,388 of these shares. The principal business address for T. Rowe Price Associates, Inc. is listed in such filing as 100 E. Pratt Street, Baltimore, MD 21202.</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Based on information set forth in a Schedule 13G filed with the SEC on February 14, 2023 by RTW Investments, LP. The Schedule 13G reported that, as of December 31, 2022, RTW Investments, LP has shared voting and dispositive powers with respect to 3,966,915 of the shares. The filing indicates that Mr. Roderick Wong is the managing partner and chief investment officer of RTW Investments. The principal business address for RTW Investments is listed in such filing as 40 10th Avenue, Floor 7, New York, New York 10014.</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Consists of (a) 12,570 shares of common stock, (b) 43,370 shares of common stock issuable pursuant to stock options exercisable within 60 days of April 10, 2023, and (c) 3,300 shares of common stock issuable pursuant to the vesting of restricted stock units within 60 days of April 10, 2023.</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Consists of (a)14,445 shares of common stock and (b) 47,120 shares of common stock issuable pursuant to stock options exercisable within 60 days of April 10, 2023, and (c) 3,300 shares of common stock issuable pursuant to the vesting of restricted stock units within 60 days of April 10, 2023.</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Consists of (a) 23,195 shares of common stock and (b) 39,620 shares of common stock issuable pursuant to stock options exercisable within 60 days of April 10, 2023, and (c) 3,300 shares of common stock issuable pursuant to the vesting of restricted stock units within 60 days of April 10, 2023.</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Consists of (a) 14,445 shares of common stock and (b) 57,120 shares of common stock issuable pursuant to stock options exercisable within 60 days of April 10, 2023, and (c) 3,300 shares of common stock issuable pursuant to the vesting of restricted stock units within 60 days of April 10, 2023.</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Consists of (a) 9,685 shares of common stock issuable pursuant to stock options exercisable within 60 days of April 10, 2023 and (b) 5,007 shares of common stock issuable pursuant to the vesting of restricted stock units within 60 days of April 10, 2023.</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Consists of (a) 1,298 shares of common stock and (b) 10,880 shares of common stock issuable pursuant to stock options exercisable within 60 days of April 10, 2023, and (c) 3,300 shares of common stock issuable pursuant to the vesting of restricted stock units within 60 days of April 10, 2023.</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Consists of (a) 7,695 shares of common stock and (b) 39,620 shares of common stock issuable pursuant to stock options exercisable within 60 days of April 10, 2023, and (c) 3,300 shares of common stock issuable pursuant to the vesting of restricted stock units within 60 days of April 10, 2023.</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Consists of (a) 14,445 shares of common stock and (b) 57,120 shares of common stock issuable pursuant to stock options exercisable within 60 days of April 10, 2023, and (c) 3,300 shares of common stock issuable pursuant to the vesting of restricted stock units within 60 days of April 10, 2023.</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Consists of (a) 2,263,985 shares of common stock held by the Emil Kakkis and Jenny Soriano Living Trust, dated June 18, 2009, (b) 500,696 shares of common stock held by Dr. Kakkis and (c) 513,047 shares of common stock issuable pursuant to stock options exercisable within 60 days of April 10, 2023. Dr. Kakkis shares voting and dispositive power over the 2,263,985 shares of common stock held by the Emil Kakkis and Jenny Soriano Living Trust, dated June 18, 2009; each of Dr. Kakkis and Dr. Soriano is a trustee of such trust. Dr. Kakkis has sole voting and dispositive power over the 500,696 shares of common stock held by him and the 513,047 shares of common stock issuable pursuant to stock options held by Dr. Kakkis. </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Consists of (a) 31,645 shares of common stock and (b) 105,532 shares of common stock issuable pursuant to stock options exercisable within 60 days of April 10, 2023. </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Consists of (a) 19,269 shares of common stock and (b) 90,494 shares of common stock issuable pursuant to stock options exercisable within 60 days of April 10, 2023. </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Consists of (a) 38,960 shares of common stock and (b) 218,644 shares of common stock issuable pursuant to stock options exercisable within 60 days of April 10, 2023. </w:t>
            </w:r>
          </w:p>
        </w:tc>
      </w:tr>
      <w:tr>
        <w:trPr/>
        <w:tc>
          <w:tcPr>
            <w:tcW w:w="2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w:t>
            </w:r>
          </w:p>
        </w:tc>
        <w:tc>
          <w:tcPr>
            <w:tcW w:w="9924"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Consists of (a) 3,199,012 shares of common stock held by our current directors and executive officers, (b) 1,713,801 shares of common stock issuable pursuant to stock options held by our current directors and executive officers that are exercisable within 60 days of April 10, 2023, and (c) 28,107 shares of common stock issuable pursuant to the vesting of restricted stock units within 60 days of April 10, 2023.</w:t>
            </w:r>
          </w:p>
        </w:tc>
      </w:tr>
    </w:tbl>
    <w:p>
      <w:pPr>
        <w:pStyle w:val="TextBody"/>
        <w:spacing w:before="0" w:after="0"/>
        <w:rPr>
          <w:caps w:val="false"/>
          <w:smallCaps w:val="false"/>
        </w:rPr>
      </w:pPr>
      <w:r>
        <w:rPr>
          <w:caps w:val="false"/>
          <w:smallCaps w:val="false"/>
        </w:rPr>
        <w:t> </w:t>
      </w:r>
    </w:p>
    <w:p>
      <w:pPr>
        <w:pStyle w:val="TextBody"/>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7CBC3E"/>
          <w:sz w:val="18"/>
        </w:rPr>
        <w:t>•</w:t>
      </w:r>
      <w:r>
        <w:rPr>
          <w:rFonts w:ascii="Arial;Helvetica;Sans-Serif" w:hAnsi="Arial;Helvetica;Sans-Serif"/>
          <w:b w:val="false"/>
          <w:i w:val="false"/>
          <w:caps w:val="false"/>
          <w:smallCaps w:val="false"/>
          <w:sz w:val="18"/>
        </w:rPr>
        <w:t xml:space="preserve"> 2023 Proxy Statement        </w:t>
      </w:r>
      <w:r>
        <w:rPr>
          <w:rFonts w:ascii="Arial;Helvetica;Sans-Serif" w:hAnsi="Arial;Helvetica;Sans-Serif"/>
          <w:b/>
          <w:i w:val="false"/>
          <w:caps w:val="false"/>
          <w:smallCaps w:val="false"/>
          <w:sz w:val="18"/>
        </w:rPr>
        <w:t>45</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708" w:type="dxa"/>
        <w:jc w:val="left"/>
        <w:tblInd w:w="0" w:type="dxa"/>
        <w:tblCellMar>
          <w:top w:w="0" w:type="dxa"/>
          <w:left w:w="0" w:type="dxa"/>
          <w:bottom w:w="0" w:type="dxa"/>
          <w:right w:w="0" w:type="dxa"/>
        </w:tblCellMar>
      </w:tblPr>
      <w:tblGrid>
        <w:gridCol w:w="1670"/>
        <w:gridCol w:w="38"/>
      </w:tblGrid>
      <w:tr>
        <w:trPr/>
        <w:tc>
          <w:tcPr>
            <w:tcW w:w="1670" w:type="dxa"/>
            <w:tcBorders/>
            <w:shd w:fill="auto" w:val="clear"/>
            <w:vAlign w:val="center"/>
          </w:tcPr>
          <w:p>
            <w:pPr>
              <w:pStyle w:val="TableContents"/>
              <w:spacing w:before="0" w:after="283"/>
              <w:jc w:val="left"/>
              <w:rPr/>
            </w:pPr>
            <w:hyperlink w:anchor="toc">
              <w:r>
                <w:rPr>
                  <w:rStyle w:val="InternetLink"/>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2"/>
        <w:spacing w:before="0" w:after="0"/>
        <w:ind w:left="0" w:right="0" w:hanging="0"/>
        <w:rPr>
          <w:rFonts w:ascii="Arial;Helvetica;Sans-Serif" w:hAnsi="Arial;Helvetica;Sans-Serif"/>
          <w:b/>
          <w:i w:val="false"/>
          <w:caps w:val="false"/>
          <w:smallCaps w:val="false"/>
          <w:color w:val="7CBC3E"/>
          <w:sz w:val="40"/>
        </w:rPr>
      </w:pPr>
      <w:bookmarkStart w:id="92" w:name="lrarea090"/>
      <w:bookmarkEnd w:id="92"/>
      <w:r>
        <w:rPr>
          <w:rFonts w:ascii="Arial;Helvetica;Sans-Serif" w:hAnsi="Arial;Helvetica;Sans-Serif"/>
          <w:b/>
          <w:i w:val="false"/>
          <w:caps w:val="false"/>
          <w:smallCaps w:val="false"/>
          <w:color w:val="7CBC3E"/>
          <w:sz w:val="40"/>
        </w:rPr>
        <w:t>Executive Compensation</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rPr>
          <w:caps w:val="false"/>
          <w:smallCaps w:val="false"/>
          <w:color w:val="7CBC3E"/>
        </w:rPr>
      </w:pPr>
      <w:r>
        <w:rPr>
          <w:caps w:val="false"/>
          <w:smallCaps w:val="false"/>
          <w:color w:val="7CBC3E"/>
        </w:rPr>
        <w:t> </w:t>
      </w:r>
    </w:p>
    <w:tbl>
      <w:tblPr>
        <w:tblW w:w="5365" w:type="dxa"/>
        <w:jc w:val="left"/>
        <w:tblInd w:w="0" w:type="dxa"/>
        <w:tblCellMar>
          <w:top w:w="0" w:type="dxa"/>
          <w:left w:w="0" w:type="dxa"/>
          <w:bottom w:w="0" w:type="dxa"/>
          <w:right w:w="0" w:type="dxa"/>
        </w:tblCellMar>
      </w:tblPr>
      <w:tblGrid>
        <w:gridCol w:w="5120"/>
        <w:gridCol w:w="245"/>
      </w:tblGrid>
      <w:tr>
        <w:trPr/>
        <w:tc>
          <w:tcPr>
            <w:tcW w:w="5120" w:type="dxa"/>
            <w:tcBorders/>
            <w:shd w:fill="auto" w:val="clear"/>
            <w:vAlign w:val="center"/>
          </w:tcPr>
          <w:p>
            <w:pPr>
              <w:pStyle w:val="TableContents"/>
              <w:spacing w:before="0" w:after="0"/>
              <w:ind w:left="0" w:right="0" w:hanging="0"/>
              <w:jc w:val="left"/>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Table of Contents</w:t>
            </w:r>
          </w:p>
        </w:tc>
        <w:tc>
          <w:tcPr>
            <w:tcW w:w="245" w:type="dxa"/>
            <w:tcBorders/>
            <w:shd w:fill="auto" w:val="clear"/>
            <w:vAlign w:val="center"/>
          </w:tcPr>
          <w:p>
            <w:pPr>
              <w:pStyle w:val="TableContents"/>
              <w:spacing w:before="0" w:after="283"/>
              <w:jc w:val="right"/>
              <w:rPr/>
            </w:pPr>
            <w:r>
              <w:rPr/>
              <w:t> </w:t>
            </w:r>
          </w:p>
        </w:tc>
      </w:tr>
      <w:tr>
        <w:trPr/>
        <w:tc>
          <w:tcPr>
            <w:tcW w:w="512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5120" w:type="dxa"/>
            <w:tcBorders/>
            <w:shd w:fill="auto" w:val="clear"/>
            <w:vAlign w:val="center"/>
          </w:tcPr>
          <w:p>
            <w:pPr>
              <w:pStyle w:val="TableContents"/>
              <w:spacing w:before="0" w:after="283"/>
              <w:rPr/>
            </w:pPr>
            <w:hyperlink w:anchor="lrareb001">
              <w:r>
                <w:rPr>
                  <w:rStyle w:val="InternetLink"/>
                  <w:rFonts w:ascii="Arial;Helvetica;Sans-Serif" w:hAnsi="Arial;Helvetica;Sans-Serif"/>
                  <w:b/>
                  <w:i w:val="false"/>
                  <w:caps w:val="false"/>
                  <w:smallCaps w:val="false"/>
                  <w:strike w:val="false"/>
                  <w:dstrike w:val="false"/>
                  <w:color w:val="000000"/>
                  <w:sz w:val="18"/>
                  <w:u w:val="none"/>
                  <w:effect w:val="none"/>
                </w:rPr>
                <w:t xml:space="preserve">Compensation Discussion and Analysis </w:t>
              </w:r>
            </w:hyperlink>
          </w:p>
        </w:tc>
        <w:tc>
          <w:tcPr>
            <w:tcW w:w="245" w:type="dxa"/>
            <w:tcBorders/>
            <w:shd w:fill="auto" w:val="clear"/>
            <w:vAlign w:val="center"/>
          </w:tcPr>
          <w:p>
            <w:pPr>
              <w:pStyle w:val="TableContents"/>
              <w:spacing w:before="0" w:after="283"/>
              <w:jc w:val="right"/>
              <w:rPr/>
            </w:pPr>
            <w:hyperlink w:anchor="lrareb001">
              <w:r>
                <w:rPr>
                  <w:rStyle w:val="InternetLink"/>
                  <w:rFonts w:ascii="Arial;Helvetica;Sans-Serif" w:hAnsi="Arial;Helvetica;Sans-Serif"/>
                  <w:b/>
                  <w:i w:val="false"/>
                  <w:caps w:val="false"/>
                  <w:smallCaps w:val="false"/>
                  <w:strike w:val="false"/>
                  <w:dstrike w:val="false"/>
                  <w:color w:val="000000"/>
                  <w:sz w:val="18"/>
                  <w:u w:val="none"/>
                  <w:effect w:val="none"/>
                </w:rPr>
                <w:t>46</w:t>
              </w:r>
            </w:hyperlink>
          </w:p>
        </w:tc>
      </w:tr>
      <w:tr>
        <w:trPr/>
        <w:tc>
          <w:tcPr>
            <w:tcW w:w="5120" w:type="dxa"/>
            <w:tcBorders/>
            <w:shd w:fill="auto" w:val="clear"/>
            <w:vAlign w:val="center"/>
          </w:tcPr>
          <w:p>
            <w:pPr>
              <w:pStyle w:val="TableContents"/>
              <w:spacing w:before="0" w:after="283"/>
              <w:rPr/>
            </w:pPr>
            <w:hyperlink w:anchor="lrareb002">
              <w:r>
                <w:rPr>
                  <w:rStyle w:val="InternetLink"/>
                  <w:rFonts w:ascii="Arial;Helvetica;Sans-Serif" w:hAnsi="Arial;Helvetica;Sans-Serif"/>
                  <w:b/>
                  <w:i w:val="false"/>
                  <w:caps w:val="false"/>
                  <w:smallCaps w:val="false"/>
                  <w:strike w:val="false"/>
                  <w:dstrike w:val="false"/>
                  <w:color w:val="000000"/>
                  <w:sz w:val="18"/>
                  <w:u w:val="none"/>
                  <w:effect w:val="none"/>
                </w:rPr>
                <w:t xml:space="preserve">Fiscal 2023 Compensation </w:t>
              </w:r>
            </w:hyperlink>
          </w:p>
        </w:tc>
        <w:tc>
          <w:tcPr>
            <w:tcW w:w="245" w:type="dxa"/>
            <w:tcBorders/>
            <w:shd w:fill="auto" w:val="clear"/>
            <w:vAlign w:val="center"/>
          </w:tcPr>
          <w:p>
            <w:pPr>
              <w:pStyle w:val="TableContents"/>
              <w:spacing w:before="0" w:after="283"/>
              <w:jc w:val="right"/>
              <w:rPr/>
            </w:pPr>
            <w:hyperlink w:anchor="lrareb002">
              <w:r>
                <w:rPr>
                  <w:rStyle w:val="InternetLink"/>
                  <w:rFonts w:ascii="Arial;Helvetica;Sans-Serif" w:hAnsi="Arial;Helvetica;Sans-Serif"/>
                  <w:b/>
                  <w:i w:val="false"/>
                  <w:caps w:val="false"/>
                  <w:smallCaps w:val="false"/>
                  <w:strike w:val="false"/>
                  <w:dstrike w:val="false"/>
                  <w:color w:val="000000"/>
                  <w:sz w:val="18"/>
                  <w:u w:val="none"/>
                  <w:effect w:val="none"/>
                </w:rPr>
                <w:t>55</w:t>
              </w:r>
            </w:hyperlink>
          </w:p>
        </w:tc>
      </w:tr>
      <w:tr>
        <w:trPr/>
        <w:tc>
          <w:tcPr>
            <w:tcW w:w="5120" w:type="dxa"/>
            <w:tcBorders/>
            <w:shd w:fill="auto" w:val="clear"/>
            <w:vAlign w:val="center"/>
          </w:tcPr>
          <w:p>
            <w:pPr>
              <w:pStyle w:val="TableContents"/>
              <w:spacing w:before="0" w:after="283"/>
              <w:rPr/>
            </w:pPr>
            <w:hyperlink w:anchor="lrareb003">
              <w:r>
                <w:rPr>
                  <w:rStyle w:val="InternetLink"/>
                  <w:rFonts w:ascii="Arial;Helvetica;Sans-Serif" w:hAnsi="Arial;Helvetica;Sans-Serif"/>
                  <w:b/>
                  <w:i w:val="false"/>
                  <w:caps w:val="false"/>
                  <w:smallCaps w:val="false"/>
                  <w:strike w:val="false"/>
                  <w:dstrike w:val="false"/>
                  <w:color w:val="000000"/>
                  <w:sz w:val="18"/>
                  <w:u w:val="none"/>
                  <w:effect w:val="none"/>
                </w:rPr>
                <w:t xml:space="preserve">Risk Management and Mitigation </w:t>
              </w:r>
            </w:hyperlink>
          </w:p>
        </w:tc>
        <w:tc>
          <w:tcPr>
            <w:tcW w:w="245" w:type="dxa"/>
            <w:tcBorders/>
            <w:shd w:fill="auto" w:val="clear"/>
            <w:vAlign w:val="center"/>
          </w:tcPr>
          <w:p>
            <w:pPr>
              <w:pStyle w:val="TableContents"/>
              <w:spacing w:before="0" w:after="283"/>
              <w:jc w:val="right"/>
              <w:rPr/>
            </w:pPr>
            <w:hyperlink w:anchor="lrareb003">
              <w:r>
                <w:rPr>
                  <w:rStyle w:val="InternetLink"/>
                  <w:rFonts w:ascii="Arial;Helvetica;Sans-Serif" w:hAnsi="Arial;Helvetica;Sans-Serif"/>
                  <w:b/>
                  <w:i w:val="false"/>
                  <w:caps w:val="false"/>
                  <w:smallCaps w:val="false"/>
                  <w:strike w:val="false"/>
                  <w:dstrike w:val="false"/>
                  <w:color w:val="000000"/>
                  <w:sz w:val="18"/>
                  <w:u w:val="none"/>
                  <w:effect w:val="none"/>
                </w:rPr>
                <w:t>57</w:t>
              </w:r>
            </w:hyperlink>
          </w:p>
        </w:tc>
      </w:tr>
      <w:tr>
        <w:trPr/>
        <w:tc>
          <w:tcPr>
            <w:tcW w:w="5120" w:type="dxa"/>
            <w:tcBorders/>
            <w:shd w:fill="auto" w:val="clear"/>
            <w:vAlign w:val="center"/>
          </w:tcPr>
          <w:p>
            <w:pPr>
              <w:pStyle w:val="TableContents"/>
              <w:spacing w:before="0" w:after="283"/>
              <w:rPr/>
            </w:pPr>
            <w:hyperlink w:anchor="lrareb004">
              <w:r>
                <w:rPr>
                  <w:rStyle w:val="InternetLink"/>
                  <w:rFonts w:ascii="Arial;Helvetica;Sans-Serif" w:hAnsi="Arial;Helvetica;Sans-Serif"/>
                  <w:b/>
                  <w:i w:val="false"/>
                  <w:caps w:val="false"/>
                  <w:smallCaps w:val="false"/>
                  <w:strike w:val="false"/>
                  <w:dstrike w:val="false"/>
                  <w:color w:val="000000"/>
                  <w:sz w:val="18"/>
                  <w:u w:val="none"/>
                  <w:effect w:val="none"/>
                </w:rPr>
                <w:t xml:space="preserve">Compensation Committee Report </w:t>
              </w:r>
            </w:hyperlink>
          </w:p>
        </w:tc>
        <w:tc>
          <w:tcPr>
            <w:tcW w:w="245" w:type="dxa"/>
            <w:tcBorders/>
            <w:shd w:fill="auto" w:val="clear"/>
            <w:vAlign w:val="center"/>
          </w:tcPr>
          <w:p>
            <w:pPr>
              <w:pStyle w:val="TableContents"/>
              <w:spacing w:before="0" w:after="283"/>
              <w:jc w:val="right"/>
              <w:rPr/>
            </w:pPr>
            <w:hyperlink w:anchor="lrareb004">
              <w:r>
                <w:rPr>
                  <w:rStyle w:val="InternetLink"/>
                  <w:rFonts w:ascii="Arial;Helvetica;Sans-Serif" w:hAnsi="Arial;Helvetica;Sans-Serif"/>
                  <w:b/>
                  <w:i w:val="false"/>
                  <w:caps w:val="false"/>
                  <w:smallCaps w:val="false"/>
                  <w:strike w:val="false"/>
                  <w:dstrike w:val="false"/>
                  <w:color w:val="000000"/>
                  <w:sz w:val="18"/>
                  <w:u w:val="none"/>
                  <w:effect w:val="none"/>
                </w:rPr>
                <w:t>57</w:t>
              </w:r>
            </w:hyperlink>
          </w:p>
        </w:tc>
      </w:tr>
      <w:tr>
        <w:trPr/>
        <w:tc>
          <w:tcPr>
            <w:tcW w:w="5120" w:type="dxa"/>
            <w:tcBorders/>
            <w:shd w:fill="auto" w:val="clear"/>
            <w:vAlign w:val="center"/>
          </w:tcPr>
          <w:p>
            <w:pPr>
              <w:pStyle w:val="TableContents"/>
              <w:spacing w:before="0" w:after="283"/>
              <w:rPr/>
            </w:pPr>
            <w:hyperlink w:anchor="lrareb005">
              <w:r>
                <w:rPr>
                  <w:rStyle w:val="InternetLink"/>
                  <w:rFonts w:ascii="Arial;Helvetica;Sans-Serif" w:hAnsi="Arial;Helvetica;Sans-Serif"/>
                  <w:b/>
                  <w:i w:val="false"/>
                  <w:caps w:val="false"/>
                  <w:smallCaps w:val="false"/>
                  <w:strike w:val="false"/>
                  <w:dstrike w:val="false"/>
                  <w:color w:val="000000"/>
                  <w:sz w:val="18"/>
                  <w:u w:val="none"/>
                  <w:effect w:val="none"/>
                </w:rPr>
                <w:t xml:space="preserve">Summary Compensation Table </w:t>
              </w:r>
            </w:hyperlink>
          </w:p>
        </w:tc>
        <w:tc>
          <w:tcPr>
            <w:tcW w:w="245" w:type="dxa"/>
            <w:tcBorders/>
            <w:shd w:fill="auto" w:val="clear"/>
            <w:vAlign w:val="center"/>
          </w:tcPr>
          <w:p>
            <w:pPr>
              <w:pStyle w:val="TableContents"/>
              <w:spacing w:before="0" w:after="283"/>
              <w:jc w:val="right"/>
              <w:rPr/>
            </w:pPr>
            <w:hyperlink w:anchor="lrareb005">
              <w:r>
                <w:rPr>
                  <w:rStyle w:val="InternetLink"/>
                  <w:rFonts w:ascii="Arial;Helvetica;Sans-Serif" w:hAnsi="Arial;Helvetica;Sans-Serif"/>
                  <w:b/>
                  <w:i w:val="false"/>
                  <w:caps w:val="false"/>
                  <w:smallCaps w:val="false"/>
                  <w:strike w:val="false"/>
                  <w:dstrike w:val="false"/>
                  <w:color w:val="000000"/>
                  <w:sz w:val="18"/>
                  <w:u w:val="none"/>
                  <w:effect w:val="none"/>
                </w:rPr>
                <w:t>58</w:t>
              </w:r>
            </w:hyperlink>
          </w:p>
        </w:tc>
      </w:tr>
      <w:tr>
        <w:trPr/>
        <w:tc>
          <w:tcPr>
            <w:tcW w:w="5120" w:type="dxa"/>
            <w:tcBorders/>
            <w:shd w:fill="auto" w:val="clear"/>
            <w:vAlign w:val="center"/>
          </w:tcPr>
          <w:p>
            <w:pPr>
              <w:pStyle w:val="TableContents"/>
              <w:spacing w:before="0" w:after="283"/>
              <w:rPr/>
            </w:pPr>
            <w:hyperlink w:anchor="lrareb006">
              <w:r>
                <w:rPr>
                  <w:rStyle w:val="InternetLink"/>
                  <w:rFonts w:ascii="Arial;Helvetica;Sans-Serif" w:hAnsi="Arial;Helvetica;Sans-Serif"/>
                  <w:b/>
                  <w:i w:val="false"/>
                  <w:caps w:val="false"/>
                  <w:smallCaps w:val="false"/>
                  <w:strike w:val="false"/>
                  <w:dstrike w:val="false"/>
                  <w:color w:val="000000"/>
                  <w:sz w:val="18"/>
                  <w:u w:val="none"/>
                  <w:effect w:val="none"/>
                </w:rPr>
                <w:t xml:space="preserve">Grants of Plan-Based Awards </w:t>
              </w:r>
            </w:hyperlink>
          </w:p>
        </w:tc>
        <w:tc>
          <w:tcPr>
            <w:tcW w:w="245" w:type="dxa"/>
            <w:tcBorders/>
            <w:shd w:fill="auto" w:val="clear"/>
            <w:vAlign w:val="center"/>
          </w:tcPr>
          <w:p>
            <w:pPr>
              <w:pStyle w:val="TableContents"/>
              <w:spacing w:before="0" w:after="283"/>
              <w:jc w:val="right"/>
              <w:rPr/>
            </w:pPr>
            <w:hyperlink w:anchor="lrareb006">
              <w:r>
                <w:rPr>
                  <w:rStyle w:val="InternetLink"/>
                  <w:rFonts w:ascii="Arial;Helvetica;Sans-Serif" w:hAnsi="Arial;Helvetica;Sans-Serif"/>
                  <w:b/>
                  <w:i w:val="false"/>
                  <w:caps w:val="false"/>
                  <w:smallCaps w:val="false"/>
                  <w:strike w:val="false"/>
                  <w:dstrike w:val="false"/>
                  <w:color w:val="000000"/>
                  <w:sz w:val="18"/>
                  <w:u w:val="none"/>
                  <w:effect w:val="none"/>
                </w:rPr>
                <w:t>61</w:t>
              </w:r>
            </w:hyperlink>
          </w:p>
        </w:tc>
      </w:tr>
      <w:tr>
        <w:trPr/>
        <w:tc>
          <w:tcPr>
            <w:tcW w:w="5120" w:type="dxa"/>
            <w:tcBorders/>
            <w:shd w:fill="auto" w:val="clear"/>
            <w:vAlign w:val="center"/>
          </w:tcPr>
          <w:p>
            <w:pPr>
              <w:pStyle w:val="TableContents"/>
              <w:spacing w:before="0" w:after="283"/>
              <w:rPr/>
            </w:pPr>
            <w:hyperlink w:anchor="lrareb007">
              <w:r>
                <w:rPr>
                  <w:rStyle w:val="InternetLink"/>
                  <w:rFonts w:ascii="Arial;Helvetica;Sans-Serif" w:hAnsi="Arial;Helvetica;Sans-Serif"/>
                  <w:b/>
                  <w:i w:val="false"/>
                  <w:caps w:val="false"/>
                  <w:smallCaps w:val="false"/>
                  <w:strike w:val="false"/>
                  <w:dstrike w:val="false"/>
                  <w:color w:val="000000"/>
                  <w:sz w:val="18"/>
                  <w:u w:val="none"/>
                  <w:effect w:val="none"/>
                </w:rPr>
                <w:t xml:space="preserve">Outstanding Equity Awards at December 31, 2022 </w:t>
              </w:r>
            </w:hyperlink>
          </w:p>
        </w:tc>
        <w:tc>
          <w:tcPr>
            <w:tcW w:w="245" w:type="dxa"/>
            <w:tcBorders/>
            <w:shd w:fill="auto" w:val="clear"/>
            <w:vAlign w:val="center"/>
          </w:tcPr>
          <w:p>
            <w:pPr>
              <w:pStyle w:val="TableContents"/>
              <w:spacing w:before="0" w:after="283"/>
              <w:jc w:val="right"/>
              <w:rPr/>
            </w:pPr>
            <w:hyperlink w:anchor="lrareb007">
              <w:r>
                <w:rPr>
                  <w:rStyle w:val="InternetLink"/>
                  <w:rFonts w:ascii="Arial;Helvetica;Sans-Serif" w:hAnsi="Arial;Helvetica;Sans-Serif"/>
                  <w:b/>
                  <w:i w:val="false"/>
                  <w:caps w:val="false"/>
                  <w:smallCaps w:val="false"/>
                  <w:strike w:val="false"/>
                  <w:dstrike w:val="false"/>
                  <w:color w:val="000000"/>
                  <w:sz w:val="18"/>
                  <w:u w:val="none"/>
                  <w:effect w:val="none"/>
                </w:rPr>
                <w:t>62</w:t>
              </w:r>
            </w:hyperlink>
          </w:p>
        </w:tc>
      </w:tr>
      <w:tr>
        <w:trPr/>
        <w:tc>
          <w:tcPr>
            <w:tcW w:w="5120" w:type="dxa"/>
            <w:tcBorders/>
            <w:shd w:fill="auto" w:val="clear"/>
            <w:vAlign w:val="center"/>
          </w:tcPr>
          <w:p>
            <w:pPr>
              <w:pStyle w:val="TableContents"/>
              <w:spacing w:before="0" w:after="283"/>
              <w:rPr/>
            </w:pPr>
            <w:hyperlink w:anchor="lrareb008">
              <w:r>
                <w:rPr>
                  <w:rStyle w:val="InternetLink"/>
                  <w:rFonts w:ascii="Arial;Helvetica;Sans-Serif" w:hAnsi="Arial;Helvetica;Sans-Serif"/>
                  <w:b/>
                  <w:i w:val="false"/>
                  <w:caps w:val="false"/>
                  <w:smallCaps w:val="false"/>
                  <w:strike w:val="false"/>
                  <w:dstrike w:val="false"/>
                  <w:color w:val="000000"/>
                  <w:sz w:val="18"/>
                  <w:u w:val="none"/>
                  <w:effect w:val="none"/>
                </w:rPr>
                <w:t xml:space="preserve">Option Exercises and Stock Vested </w:t>
              </w:r>
            </w:hyperlink>
          </w:p>
        </w:tc>
        <w:tc>
          <w:tcPr>
            <w:tcW w:w="245" w:type="dxa"/>
            <w:tcBorders/>
            <w:shd w:fill="auto" w:val="clear"/>
            <w:vAlign w:val="center"/>
          </w:tcPr>
          <w:p>
            <w:pPr>
              <w:pStyle w:val="TableContents"/>
              <w:spacing w:before="0" w:after="283"/>
              <w:jc w:val="right"/>
              <w:rPr/>
            </w:pPr>
            <w:hyperlink w:anchor="lrareb008">
              <w:r>
                <w:rPr>
                  <w:rStyle w:val="InternetLink"/>
                  <w:rFonts w:ascii="Arial;Helvetica;Sans-Serif" w:hAnsi="Arial;Helvetica;Sans-Serif"/>
                  <w:b/>
                  <w:i w:val="false"/>
                  <w:caps w:val="false"/>
                  <w:smallCaps w:val="false"/>
                  <w:strike w:val="false"/>
                  <w:dstrike w:val="false"/>
                  <w:color w:val="000000"/>
                  <w:sz w:val="18"/>
                  <w:u w:val="none"/>
                  <w:effect w:val="none"/>
                </w:rPr>
                <w:t>63</w:t>
              </w:r>
            </w:hyperlink>
          </w:p>
        </w:tc>
      </w:tr>
      <w:tr>
        <w:trPr/>
        <w:tc>
          <w:tcPr>
            <w:tcW w:w="5120" w:type="dxa"/>
            <w:tcBorders/>
            <w:shd w:fill="auto" w:val="clear"/>
            <w:vAlign w:val="center"/>
          </w:tcPr>
          <w:p>
            <w:pPr>
              <w:pStyle w:val="TableContents"/>
              <w:spacing w:before="0" w:after="283"/>
              <w:rPr/>
            </w:pPr>
            <w:hyperlink w:anchor="lrareb009">
              <w:r>
                <w:rPr>
                  <w:rStyle w:val="InternetLink"/>
                  <w:rFonts w:ascii="Arial;Helvetica;Sans-Serif" w:hAnsi="Arial;Helvetica;Sans-Serif"/>
                  <w:b/>
                  <w:i w:val="false"/>
                  <w:caps w:val="false"/>
                  <w:smallCaps w:val="false"/>
                  <w:strike w:val="false"/>
                  <w:dstrike w:val="false"/>
                  <w:color w:val="000000"/>
                  <w:sz w:val="18"/>
                  <w:u w:val="none"/>
                  <w:effect w:val="none"/>
                </w:rPr>
                <w:t xml:space="preserve">Pension Benefits </w:t>
              </w:r>
            </w:hyperlink>
          </w:p>
        </w:tc>
        <w:tc>
          <w:tcPr>
            <w:tcW w:w="245" w:type="dxa"/>
            <w:tcBorders/>
            <w:shd w:fill="auto" w:val="clear"/>
            <w:vAlign w:val="center"/>
          </w:tcPr>
          <w:p>
            <w:pPr>
              <w:pStyle w:val="TableContents"/>
              <w:spacing w:before="0" w:after="283"/>
              <w:jc w:val="right"/>
              <w:rPr/>
            </w:pPr>
            <w:hyperlink w:anchor="lrareb009">
              <w:r>
                <w:rPr>
                  <w:rStyle w:val="InternetLink"/>
                  <w:rFonts w:ascii="Arial;Helvetica;Sans-Serif" w:hAnsi="Arial;Helvetica;Sans-Serif"/>
                  <w:b/>
                  <w:i w:val="false"/>
                  <w:caps w:val="false"/>
                  <w:smallCaps w:val="false"/>
                  <w:strike w:val="false"/>
                  <w:dstrike w:val="false"/>
                  <w:color w:val="000000"/>
                  <w:sz w:val="18"/>
                  <w:u w:val="none"/>
                  <w:effect w:val="none"/>
                </w:rPr>
                <w:t>63</w:t>
              </w:r>
            </w:hyperlink>
          </w:p>
        </w:tc>
      </w:tr>
      <w:tr>
        <w:trPr/>
        <w:tc>
          <w:tcPr>
            <w:tcW w:w="5120" w:type="dxa"/>
            <w:tcBorders/>
            <w:shd w:fill="auto" w:val="clear"/>
            <w:vAlign w:val="center"/>
          </w:tcPr>
          <w:p>
            <w:pPr>
              <w:pStyle w:val="TableContents"/>
              <w:spacing w:before="0" w:after="283"/>
              <w:rPr/>
            </w:pPr>
            <w:hyperlink w:anchor="lrareb010">
              <w:r>
                <w:rPr>
                  <w:rStyle w:val="InternetLink"/>
                  <w:rFonts w:ascii="Arial;Helvetica;Sans-Serif" w:hAnsi="Arial;Helvetica;Sans-Serif"/>
                  <w:b/>
                  <w:i w:val="false"/>
                  <w:caps w:val="false"/>
                  <w:smallCaps w:val="false"/>
                  <w:strike w:val="false"/>
                  <w:dstrike w:val="false"/>
                  <w:color w:val="000000"/>
                  <w:sz w:val="18"/>
                  <w:u w:val="none"/>
                  <w:effect w:val="none"/>
                </w:rPr>
                <w:t xml:space="preserve">Nonqualified Deferred Compensation </w:t>
              </w:r>
            </w:hyperlink>
          </w:p>
        </w:tc>
        <w:tc>
          <w:tcPr>
            <w:tcW w:w="245" w:type="dxa"/>
            <w:tcBorders/>
            <w:shd w:fill="auto" w:val="clear"/>
            <w:vAlign w:val="center"/>
          </w:tcPr>
          <w:p>
            <w:pPr>
              <w:pStyle w:val="TableContents"/>
              <w:spacing w:before="0" w:after="283"/>
              <w:jc w:val="right"/>
              <w:rPr/>
            </w:pPr>
            <w:hyperlink w:anchor="lrareb010">
              <w:r>
                <w:rPr>
                  <w:rStyle w:val="InternetLink"/>
                  <w:rFonts w:ascii="Arial;Helvetica;Sans-Serif" w:hAnsi="Arial;Helvetica;Sans-Serif"/>
                  <w:b/>
                  <w:i w:val="false"/>
                  <w:caps w:val="false"/>
                  <w:smallCaps w:val="false"/>
                  <w:strike w:val="false"/>
                  <w:dstrike w:val="false"/>
                  <w:color w:val="000000"/>
                  <w:sz w:val="18"/>
                  <w:u w:val="none"/>
                  <w:effect w:val="none"/>
                </w:rPr>
                <w:t>63</w:t>
              </w:r>
            </w:hyperlink>
          </w:p>
        </w:tc>
      </w:tr>
      <w:tr>
        <w:trPr/>
        <w:tc>
          <w:tcPr>
            <w:tcW w:w="5120" w:type="dxa"/>
            <w:tcBorders/>
            <w:shd w:fill="auto" w:val="clear"/>
            <w:vAlign w:val="center"/>
          </w:tcPr>
          <w:p>
            <w:pPr>
              <w:pStyle w:val="TableContents"/>
              <w:spacing w:before="0" w:after="283"/>
              <w:rPr/>
            </w:pPr>
            <w:hyperlink w:anchor="lrareb011">
              <w:r>
                <w:rPr>
                  <w:rStyle w:val="InternetLink"/>
                  <w:rFonts w:ascii="Arial;Helvetica;Sans-Serif" w:hAnsi="Arial;Helvetica;Sans-Serif"/>
                  <w:b/>
                  <w:i w:val="false"/>
                  <w:caps w:val="false"/>
                  <w:smallCaps w:val="false"/>
                  <w:strike w:val="false"/>
                  <w:dstrike w:val="false"/>
                  <w:color w:val="000000"/>
                  <w:sz w:val="18"/>
                  <w:u w:val="none"/>
                  <w:effect w:val="none"/>
                </w:rPr>
                <w:t xml:space="preserve">Potential Payments Upon Termination or Change of Control </w:t>
              </w:r>
            </w:hyperlink>
          </w:p>
        </w:tc>
        <w:tc>
          <w:tcPr>
            <w:tcW w:w="245" w:type="dxa"/>
            <w:tcBorders/>
            <w:shd w:fill="auto" w:val="clear"/>
            <w:vAlign w:val="center"/>
          </w:tcPr>
          <w:p>
            <w:pPr>
              <w:pStyle w:val="TableContents"/>
              <w:spacing w:before="0" w:after="283"/>
              <w:jc w:val="right"/>
              <w:rPr/>
            </w:pPr>
            <w:hyperlink w:anchor="lrareb011">
              <w:r>
                <w:rPr>
                  <w:rStyle w:val="InternetLink"/>
                  <w:rFonts w:ascii="Arial;Helvetica;Sans-Serif" w:hAnsi="Arial;Helvetica;Sans-Serif"/>
                  <w:b/>
                  <w:i w:val="false"/>
                  <w:caps w:val="false"/>
                  <w:smallCaps w:val="false"/>
                  <w:strike w:val="false"/>
                  <w:dstrike w:val="false"/>
                  <w:color w:val="000000"/>
                  <w:sz w:val="18"/>
                  <w:u w:val="none"/>
                  <w:effect w:val="none"/>
                </w:rPr>
                <w:t>65</w:t>
              </w:r>
            </w:hyperlink>
          </w:p>
        </w:tc>
      </w:tr>
    </w:tbl>
    <w:p>
      <w:pPr>
        <w:pStyle w:val="TextBody"/>
        <w:spacing w:before="0" w:after="0"/>
        <w:ind w:left="0" w:right="0" w:hanging="0"/>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bookmarkStart w:id="93" w:name="lrarea091"/>
      <w:bookmarkStart w:id="94" w:name="lrareb001"/>
      <w:bookmarkEnd w:id="93"/>
      <w:bookmarkEnd w:id="94"/>
      <w:r>
        <w:rPr>
          <w:rFonts w:ascii="Arial;Helvetica;Sans-Serif" w:hAnsi="Arial;Helvetica;Sans-Serif"/>
          <w:b/>
          <w:i w:val="false"/>
          <w:caps w:val="false"/>
          <w:smallCaps w:val="false"/>
          <w:sz w:val="28"/>
        </w:rPr>
        <w:t>Compensation Discussion and Analysis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compensation discussion and analysis describes the material elements of compensation earned in fiscal 2022 by each of the executive officers identified below in the Summary Compensation Table, who are referred to collectively as our “named executive officers.” Our named executive officers with respect to the fiscal year that ended on December 31, 2022 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6667500" cy="1028700"/>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53"/>
                    <a:stretch>
                      <a:fillRect/>
                    </a:stretch>
                  </pic:blipFill>
                  <pic:spPr bwMode="auto">
                    <a:xfrm>
                      <a:off x="0" y="0"/>
                      <a:ext cx="6667500" cy="1028700"/>
                    </a:xfrm>
                    <a:prstGeom prst="rect">
                      <a:avLst/>
                    </a:prstGeom>
                  </pic:spPr>
                </pic:pic>
              </a:graphicData>
            </a:graphic>
          </wp:inline>
        </w:drawing>
      </w: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These persons constitute our principal executive officer, our three other most highly paid executive officers serving during fiscal 2022 and our former Chief Financial Officer, who served as our principal financial officer during a part of fiscal 2022. Ms. Dier resigned from the Company effective November 15, 2022. Dr. Kakkis served as interim principal financial officer following Ms. Dier’s resignation.</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Business Highlights</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started 2022 by announcing a new collaboration with Regeneron Pharmaceuticals (Regeneron) to develop and commercialize Evkeeza</w:t>
      </w:r>
      <w:r>
        <w:rPr>
          <w:rFonts w:ascii="Arial;Helvetica;Sans-Serif" w:hAnsi="Arial;Helvetica;Sans-Serif"/>
          <w:b w:val="false"/>
          <w:i w:val="false"/>
          <w:caps w:val="false"/>
          <w:smallCaps w:val="false"/>
          <w:position w:val="6"/>
          <w:sz w:val="14"/>
          <w:sz w:val="18"/>
        </w:rPr>
        <w:t>®</w:t>
      </w:r>
      <w:r>
        <w:rPr>
          <w:rFonts w:ascii="Arial;Helvetica;Sans-Serif" w:hAnsi="Arial;Helvetica;Sans-Serif"/>
          <w:b w:val="false"/>
          <w:i w:val="false"/>
          <w:caps w:val="false"/>
          <w:smallCaps w:val="false"/>
          <w:sz w:val="18"/>
        </w:rPr>
        <w:t xml:space="preserve"> in countries outside of the U.S. and throughout 2022, we continued to make other strategic investments to further bolster our clinical and commercial pipeline. In addition, we continued to grow our global revenue and achieved meaningful progress on our key clinical programs.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key financial and operational accomplishments during the year include:</w:t>
      </w:r>
    </w:p>
    <w:tbl>
      <w:tblPr>
        <w:tblW w:w="3985" w:type="dxa"/>
        <w:jc w:val="left"/>
        <w:tblInd w:w="0" w:type="dxa"/>
        <w:tblCellMar>
          <w:top w:w="0" w:type="dxa"/>
          <w:left w:w="0" w:type="dxa"/>
          <w:bottom w:w="0" w:type="dxa"/>
          <w:right w:w="0" w:type="dxa"/>
        </w:tblCellMar>
      </w:tblPr>
      <w:tblGrid>
        <w:gridCol w:w="1865"/>
        <w:gridCol w:w="60"/>
        <w:gridCol w:w="2060"/>
      </w:tblGrid>
      <w:tr>
        <w:trPr/>
        <w:tc>
          <w:tcPr>
            <w:tcW w:w="3985" w:type="dxa"/>
            <w:gridSpan w:val="3"/>
            <w:tcBorders/>
            <w:shd w:fill="auto" w:val="clear"/>
            <w:vAlign w:val="center"/>
          </w:tcPr>
          <w:p>
            <w:pPr>
              <w:pStyle w:val="TableContents"/>
              <w:spacing w:before="0" w:after="283"/>
              <w:rPr/>
            </w:pPr>
            <w:r>
              <w:rPr/>
              <w:t> </w:t>
            </w:r>
          </w:p>
        </w:tc>
      </w:tr>
      <w:tr>
        <w:trPr/>
        <w:tc>
          <w:tcPr>
            <w:tcW w:w="1865" w:type="dxa"/>
            <w:tcBorders>
              <w:top w:val="single" w:sz="12" w:space="0" w:color="7CBC3E"/>
              <w:left w:val="single" w:sz="12" w:space="0" w:color="7CBC3E"/>
              <w:right w:val="single" w:sz="12" w:space="0" w:color="7CBC3E"/>
            </w:tcBorders>
            <w:shd w:fill="auto" w:val="clear"/>
            <w:tcMar>
              <w:top w:w="200" w:type="dxa"/>
              <w:left w:w="28" w:type="dxa"/>
              <w:right w:w="28" w:type="dxa"/>
            </w:tcMar>
            <w:vAlign w:val="center"/>
          </w:tcPr>
          <w:p>
            <w:pPr>
              <w:pStyle w:val="TableContents"/>
              <w:spacing w:before="0" w:after="283"/>
              <w:jc w:val="center"/>
              <w:rPr>
                <w:sz w:val="72"/>
              </w:rPr>
            </w:pPr>
            <w:r>
              <w:rPr>
                <w:rFonts w:ascii="Arial;Helvetica;Sans-Serif" w:hAnsi="Arial;Helvetica;Sans-Serif"/>
                <w:b/>
                <w:i w:val="false"/>
                <w:caps w:val="false"/>
                <w:smallCaps w:val="false"/>
                <w:color w:val="7CBC3E"/>
                <w:sz w:val="72"/>
              </w:rPr>
              <w:t>41</w:t>
            </w:r>
            <w:r>
              <w:rPr>
                <w:rFonts w:ascii="Arial;Helvetica;Sans-Serif" w:hAnsi="Arial;Helvetica;Sans-Serif"/>
                <w:b/>
                <w:i w:val="false"/>
                <w:caps w:val="false"/>
                <w:smallCaps w:val="false"/>
                <w:color w:val="7CBC3E"/>
                <w:sz w:val="36"/>
              </w:rPr>
              <w:t>%</w:t>
            </w:r>
          </w:p>
        </w:tc>
        <w:tc>
          <w:tcPr>
            <w:tcW w:w="60" w:type="dxa"/>
            <w:tcBorders/>
            <w:shd w:fill="auto" w:val="clear"/>
            <w:vAlign w:val="center"/>
          </w:tcPr>
          <w:p>
            <w:pPr>
              <w:pStyle w:val="TableContents"/>
              <w:spacing w:before="0" w:after="283"/>
              <w:jc w:val="center"/>
              <w:rPr/>
            </w:pPr>
            <w:r>
              <w:rPr/>
              <w:t> </w:t>
            </w:r>
          </w:p>
        </w:tc>
        <w:tc>
          <w:tcPr>
            <w:tcW w:w="2060" w:type="dxa"/>
            <w:tcBorders>
              <w:top w:val="single" w:sz="12" w:space="0" w:color="7CBC3E"/>
              <w:left w:val="single" w:sz="12" w:space="0" w:color="7CBC3E"/>
              <w:right w:val="single" w:sz="12" w:space="0" w:color="7CBC3E"/>
            </w:tcBorders>
            <w:shd w:fill="auto" w:val="clear"/>
            <w:tcMar>
              <w:top w:w="200" w:type="dxa"/>
              <w:left w:w="28" w:type="dxa"/>
              <w:right w:w="28" w:type="dxa"/>
            </w:tcMar>
            <w:vAlign w:val="center"/>
          </w:tcPr>
          <w:p>
            <w:pPr>
              <w:pStyle w:val="TableContents"/>
              <w:spacing w:before="0" w:after="283"/>
              <w:jc w:val="center"/>
              <w:rPr>
                <w:sz w:val="72"/>
              </w:rPr>
            </w:pPr>
            <w:r>
              <w:rPr>
                <w:rFonts w:ascii="Arial;Helvetica;Sans-Serif" w:hAnsi="Arial;Helvetica;Sans-Serif"/>
                <w:b/>
                <w:i w:val="false"/>
                <w:caps w:val="false"/>
                <w:smallCaps w:val="false"/>
                <w:color w:val="7CBC3E"/>
                <w:sz w:val="72"/>
              </w:rPr>
              <w:t>33</w:t>
            </w:r>
            <w:r>
              <w:rPr>
                <w:rFonts w:ascii="Arial;Helvetica;Sans-Serif" w:hAnsi="Arial;Helvetica;Sans-Serif"/>
                <w:b/>
                <w:i w:val="false"/>
                <w:caps w:val="false"/>
                <w:smallCaps w:val="false"/>
                <w:color w:val="7CBC3E"/>
                <w:sz w:val="36"/>
              </w:rPr>
              <w:t>%</w:t>
            </w:r>
          </w:p>
        </w:tc>
      </w:tr>
      <w:tr>
        <w:trPr/>
        <w:tc>
          <w:tcPr>
            <w:tcW w:w="1865" w:type="dxa"/>
            <w:tcBorders>
              <w:left w:val="single" w:sz="12" w:space="0" w:color="7CBC3E"/>
              <w:bottom w:val="single" w:sz="12" w:space="0" w:color="7CBC3E"/>
              <w:right w:val="single" w:sz="12" w:space="0" w:color="7CBC3E"/>
            </w:tcBorders>
            <w:shd w:fill="auto" w:val="clear"/>
            <w:tcMar>
              <w:left w:w="28" w:type="dxa"/>
              <w:bottom w:w="200" w:type="dxa"/>
              <w:right w:w="28" w:type="dxa"/>
            </w:tcMar>
            <w:vAlign w:val="center"/>
          </w:tcPr>
          <w:p>
            <w:pPr>
              <w:pStyle w:val="TableContents"/>
              <w:spacing w:before="0" w:after="283"/>
              <w:jc w:val="center"/>
              <w:rPr>
                <w:rFonts w:ascii="Arial;Helvetica;Sans-Serif" w:hAnsi="Arial;Helvetica;Sans-Serif"/>
                <w:b w:val="false"/>
                <w:i w:val="false"/>
                <w:caps w:val="false"/>
                <w:smallCaps w:val="false"/>
                <w:sz w:val="32"/>
              </w:rPr>
            </w:pPr>
            <w:r>
              <w:rPr>
                <w:rFonts w:ascii="Arial;Helvetica;Sans-Serif" w:hAnsi="Arial;Helvetica;Sans-Serif"/>
                <w:b w:val="false"/>
                <w:i w:val="false"/>
                <w:caps w:val="false"/>
                <w:smallCaps w:val="false"/>
                <w:sz w:val="32"/>
              </w:rPr>
              <w:t xml:space="preserve">increase </w:t>
              <w:br/>
              <w:t>Dojolvi sales</w:t>
            </w:r>
          </w:p>
        </w:tc>
        <w:tc>
          <w:tcPr>
            <w:tcW w:w="60" w:type="dxa"/>
            <w:tcBorders/>
            <w:shd w:fill="auto" w:val="clear"/>
            <w:vAlign w:val="center"/>
          </w:tcPr>
          <w:p>
            <w:pPr>
              <w:pStyle w:val="TableContents"/>
              <w:spacing w:before="0" w:after="283"/>
              <w:jc w:val="center"/>
              <w:rPr/>
            </w:pPr>
            <w:r>
              <w:rPr/>
              <w:t> </w:t>
            </w:r>
          </w:p>
        </w:tc>
        <w:tc>
          <w:tcPr>
            <w:tcW w:w="2060" w:type="dxa"/>
            <w:tcBorders>
              <w:left w:val="single" w:sz="12" w:space="0" w:color="7CBC3E"/>
              <w:bottom w:val="single" w:sz="12" w:space="0" w:color="7CBC3E"/>
              <w:right w:val="single" w:sz="12" w:space="0" w:color="7CBC3E"/>
            </w:tcBorders>
            <w:shd w:fill="auto" w:val="clear"/>
            <w:tcMar>
              <w:left w:w="28" w:type="dxa"/>
              <w:bottom w:w="200" w:type="dxa"/>
              <w:right w:w="28" w:type="dxa"/>
            </w:tcMar>
            <w:vAlign w:val="center"/>
          </w:tcPr>
          <w:p>
            <w:pPr>
              <w:pStyle w:val="TableContents"/>
              <w:spacing w:before="0" w:after="283"/>
              <w:jc w:val="center"/>
              <w:rPr>
                <w:rFonts w:ascii="Arial;Helvetica;Sans-Serif" w:hAnsi="Arial;Helvetica;Sans-Serif"/>
                <w:b w:val="false"/>
                <w:i w:val="false"/>
                <w:caps w:val="false"/>
                <w:smallCaps w:val="false"/>
                <w:sz w:val="32"/>
              </w:rPr>
            </w:pPr>
            <w:r>
              <w:rPr>
                <w:rFonts w:ascii="Arial;Helvetica;Sans-Serif" w:hAnsi="Arial;Helvetica;Sans-Serif"/>
                <w:b w:val="false"/>
                <w:i w:val="false"/>
                <w:caps w:val="false"/>
                <w:smallCaps w:val="false"/>
                <w:sz w:val="32"/>
              </w:rPr>
              <w:t xml:space="preserve">increase </w:t>
              <w:br/>
              <w:t>Crysvita sales</w:t>
            </w:r>
          </w:p>
        </w:tc>
      </w:tr>
    </w:tbl>
    <w:p>
      <w:pPr>
        <w:pStyle w:val="TextBody"/>
        <w:spacing w:before="0" w:after="0"/>
        <w:ind w:left="0" w:right="0" w:hanging="0"/>
        <w:rPr>
          <w:caps w:val="false"/>
          <w:smallCaps w:val="false"/>
          <w:color w:val="7CBC3E"/>
        </w:rPr>
      </w:pPr>
      <w:r>
        <w:rPr>
          <w:caps w:val="false"/>
          <w:smallCaps w:val="false"/>
          <w:color w:val="7CBC3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Revenue</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achieved $363.3 million in total revenue during 2022 compared to total revenue of $351.4 million in 2021. We continued to achieve continued strong growth in product sales in 2022 compared to the prior year. Revenue from Crysvita</w:t>
      </w:r>
      <w:r>
        <w:rPr>
          <w:rFonts w:ascii="Arial;Helvetica;Sans-Serif" w:hAnsi="Arial;Helvetica;Sans-Serif"/>
          <w:b w:val="false"/>
          <w:i w:val="false"/>
          <w:caps w:val="false"/>
          <w:smallCaps w:val="false"/>
          <w:position w:val="6"/>
          <w:sz w:val="14"/>
          <w:sz w:val="18"/>
        </w:rPr>
        <w:t>®</w:t>
      </w:r>
      <w:r>
        <w:rPr>
          <w:rFonts w:ascii="Arial;Helvetica;Sans-Serif" w:hAnsi="Arial;Helvetica;Sans-Serif"/>
          <w:b w:val="false"/>
          <w:i w:val="false"/>
          <w:caps w:val="false"/>
          <w:smallCaps w:val="false"/>
          <w:sz w:val="18"/>
        </w:rPr>
        <w:t xml:space="preserve"> sales globally increased 33% from $210.8 million in the prior year to $279.4 million in 2022 and global revenue from Dojolvi</w:t>
      </w:r>
      <w:r>
        <w:rPr>
          <w:rFonts w:ascii="Arial;Helvetica;Sans-Serif" w:hAnsi="Arial;Helvetica;Sans-Serif"/>
          <w:b w:val="false"/>
          <w:i w:val="false"/>
          <w:caps w:val="false"/>
          <w:smallCaps w:val="false"/>
          <w:position w:val="6"/>
          <w:sz w:val="14"/>
          <w:sz w:val="18"/>
        </w:rPr>
        <w:t>®</w:t>
      </w:r>
      <w:r>
        <w:rPr>
          <w:rFonts w:ascii="Arial;Helvetica;Sans-Serif" w:hAnsi="Arial;Helvetica;Sans-Serif"/>
          <w:b w:val="false"/>
          <w:i w:val="false"/>
          <w:caps w:val="false"/>
          <w:smallCaps w:val="false"/>
          <w:sz w:val="18"/>
        </w:rPr>
        <w:t xml:space="preserve"> increased 41% from $39.6 million to $55.6 million in 2022. For the first time since product approval, global sales of Crysvita exceeded $1.0 billion, a portion of which are shared with our partner Kyowa Kirin.</w:t>
      </w:r>
    </w:p>
    <w:p>
      <w:pPr>
        <w:pStyle w:val="TextBody"/>
        <w:spacing w:before="0" w:after="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 </w:t>
      </w:r>
      <w:r>
        <w:rPr>
          <w:rFonts w:ascii="Arial;Helvetica;Sans-Serif" w:hAnsi="Arial;Helvetica;Sans-Serif"/>
          <w:b/>
          <w:i w:val="false"/>
          <w:caps w:val="false"/>
          <w:smallCaps w:val="false"/>
          <w:color w:val="7ABD3E"/>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46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Program Highlights and Other Achievements</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caps w:val="false"/>
          <w:smallCaps w:val="false"/>
          <w:sz w:val="18"/>
        </w:rPr>
        <w:t xml:space="preserve">Advancement of our Clinical Product Candidates. </w:t>
      </w:r>
      <w:r>
        <w:rPr>
          <w:rFonts w:ascii="Arial;Helvetica;Sans-Serif" w:hAnsi="Arial;Helvetica;Sans-Serif"/>
          <w:b w:val="false"/>
          <w:i w:val="false"/>
          <w:caps w:val="false"/>
          <w:smallCaps w:val="false"/>
          <w:sz w:val="18"/>
        </w:rPr>
        <w:t>We made important progress with the clinical development of our early and late-stage product candidates, enabling us to be in a position to expect data from some of our key clinical programs in 2023. Significant clinical development achievements during 2022 include: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4D4D4D"/>
              </w:rPr>
            </w:pPr>
            <w:r>
              <w:rPr>
                <w:color w:val="4D4D4D"/>
              </w:rPr>
              <w:t>•</w:t>
            </w:r>
          </w:p>
        </w:tc>
        <w:tc>
          <w:tcPr>
            <w:tcW w:w="10058" w:type="dxa"/>
            <w:tcBorders/>
            <w:shd w:fill="auto" w:val="clear"/>
            <w:vAlign w:val="center"/>
          </w:tcPr>
          <w:p>
            <w:pPr>
              <w:pStyle w:val="TableContents"/>
              <w:spacing w:before="0" w:after="283"/>
              <w:jc w:val="both"/>
              <w:rPr/>
            </w:pPr>
            <w:r>
              <w:rPr>
                <w:i/>
              </w:rPr>
              <w:t xml:space="preserve">UX143 (setrusumab) monoclonal antibody for the treatment of Osteogenesis Imperfecta (OI): </w:t>
            </w:r>
            <w:r>
              <w:rPr/>
              <w:t xml:space="preserve">We initiated a Phase 2/3 </w:t>
            </w:r>
            <w:r>
              <w:rPr>
                <w:i/>
              </w:rPr>
              <w:t xml:space="preserve">Orbit </w:t>
            </w:r>
            <w:r>
              <w:rPr/>
              <w:t>study of UX143 in pediatric and adult patients with OI aged five to &lt;26 years. Enrollment of the Phase 2 portion of the study was completed earlier this year.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4D4D4D"/>
              </w:rPr>
            </w:pPr>
            <w:r>
              <w:rPr>
                <w:color w:val="4D4D4D"/>
              </w:rPr>
              <w:t>•</w:t>
            </w:r>
          </w:p>
        </w:tc>
        <w:tc>
          <w:tcPr>
            <w:tcW w:w="10058" w:type="dxa"/>
            <w:tcBorders/>
            <w:shd w:fill="auto" w:val="clear"/>
            <w:vAlign w:val="center"/>
          </w:tcPr>
          <w:p>
            <w:pPr>
              <w:pStyle w:val="TableContents"/>
              <w:spacing w:before="0" w:after="283"/>
              <w:jc w:val="both"/>
              <w:rPr/>
            </w:pPr>
            <w:r>
              <w:rPr>
                <w:i/>
              </w:rPr>
              <w:t xml:space="preserve">GTX-102 antisense oligonucleotide for the treatment of Angelman syndrome. </w:t>
            </w:r>
            <w:r>
              <w:rPr/>
              <w:t>In July 2022, we provided an interim data update on patients in the Phase 1/2 study of GTX-102 in Canada, the U.K., and the U.S. under each region’s amended protocol. Based on the strength of the data, we exercised our option to acquire GeneTx Biotherapeutics (GeneTx), our partner in the development of GTX-102, in July 2022.</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4D4D4D"/>
              </w:rPr>
            </w:pPr>
            <w:r>
              <w:rPr>
                <w:color w:val="4D4D4D"/>
              </w:rPr>
              <w:t>•</w:t>
            </w:r>
          </w:p>
        </w:tc>
        <w:tc>
          <w:tcPr>
            <w:tcW w:w="10058" w:type="dxa"/>
            <w:tcBorders/>
            <w:shd w:fill="auto" w:val="clear"/>
            <w:vAlign w:val="center"/>
          </w:tcPr>
          <w:p>
            <w:pPr>
              <w:pStyle w:val="TableContents"/>
              <w:spacing w:before="0" w:after="283"/>
              <w:jc w:val="both"/>
              <w:rPr/>
            </w:pPr>
            <w:r>
              <w:rPr>
                <w:i/>
              </w:rPr>
              <w:t xml:space="preserve">DTX401 for the treatment of glycogen storage disease type Ia (GSDIa): </w:t>
            </w:r>
            <w:r>
              <w:rPr/>
              <w:t xml:space="preserve">In May 2022, we presented longer-term safety and durability data from our Phase 1/2 study of DTX 401 at the 2022 American Society of Gene &amp; Cell Therapy (2022 ASGCT conference), which showed sustained responses lasting more than 3.5 years following treatment with DTX401. We advanced our study into a pivotal Phase 3 </w:t>
            </w:r>
            <w:r>
              <w:rPr>
                <w:i/>
              </w:rPr>
              <w:t xml:space="preserve">GlucoGene </w:t>
            </w:r>
            <w:r>
              <w:rPr/>
              <w:t>study of DTX401 and earlier this year in January enrolled the last patient into the baseline screening period.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4D4D4D"/>
              </w:rPr>
            </w:pPr>
            <w:r>
              <w:rPr>
                <w:color w:val="4D4D4D"/>
              </w:rPr>
              <w:t>•</w:t>
            </w:r>
          </w:p>
        </w:tc>
        <w:tc>
          <w:tcPr>
            <w:tcW w:w="10058" w:type="dxa"/>
            <w:tcBorders/>
            <w:shd w:fill="auto" w:val="clear"/>
            <w:vAlign w:val="center"/>
          </w:tcPr>
          <w:p>
            <w:pPr>
              <w:pStyle w:val="TableContents"/>
              <w:spacing w:before="0" w:after="283"/>
              <w:jc w:val="both"/>
              <w:rPr/>
            </w:pPr>
            <w:r>
              <w:rPr>
                <w:i/>
              </w:rPr>
              <w:t xml:space="preserve">DTX301 for the treatment of ornithine transcarbamylase (OTC) deficiency: </w:t>
            </w:r>
            <w:r>
              <w:rPr/>
              <w:t xml:space="preserve">In May 2022, we presented additional longer-term safety and durability data from the Phase 1/2 study of DTX301 at the 2022 ASGCT conference, which showed sustained responses lasting more than 4 years following treatment with DTX301. We initiated the Phase 3 </w:t>
            </w:r>
            <w:r>
              <w:rPr>
                <w:i/>
              </w:rPr>
              <w:t xml:space="preserve">Enh3ance </w:t>
            </w:r>
            <w:r>
              <w:rPr/>
              <w:t>study of DTX301 and randomized and dosed the first patient earlier this year.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4D4D4D"/>
              </w:rPr>
            </w:pPr>
            <w:r>
              <w:rPr>
                <w:color w:val="4D4D4D"/>
              </w:rPr>
              <w:t>•</w:t>
            </w:r>
          </w:p>
        </w:tc>
        <w:tc>
          <w:tcPr>
            <w:tcW w:w="10058" w:type="dxa"/>
            <w:tcBorders/>
            <w:shd w:fill="auto" w:val="clear"/>
            <w:vAlign w:val="center"/>
          </w:tcPr>
          <w:p>
            <w:pPr>
              <w:pStyle w:val="TableContents"/>
              <w:spacing w:before="0" w:after="283"/>
              <w:jc w:val="both"/>
              <w:rPr/>
            </w:pPr>
            <w:r>
              <w:rPr>
                <w:i/>
              </w:rPr>
              <w:t xml:space="preserve">UX701 for the treatment of Wilson Disease: </w:t>
            </w:r>
            <w:r>
              <w:rPr/>
              <w:t xml:space="preserve">We initiated and dosed patients in the first stage of the pivotal seamless Phase 1/2/3 </w:t>
            </w:r>
            <w:r>
              <w:rPr>
                <w:i/>
              </w:rPr>
              <w:t xml:space="preserve">Cyprus2+ </w:t>
            </w:r>
            <w:r>
              <w:rPr/>
              <w:t>study for UX701. During this first stage of the study, safety and efficacy of up to three dose levels of UX701 will be evaluated and a dose will be selected for further evaluation in Stage 2.</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 xml:space="preserve">Strategic Investments and Other Achievements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4D4D4D"/>
              </w:rPr>
            </w:pPr>
            <w:r>
              <w:rPr>
                <w:color w:val="4D4D4D"/>
              </w:rPr>
              <w:t>•</w:t>
            </w:r>
          </w:p>
        </w:tc>
        <w:tc>
          <w:tcPr>
            <w:tcW w:w="10058" w:type="dxa"/>
            <w:tcBorders/>
            <w:shd w:fill="auto" w:val="clear"/>
            <w:vAlign w:val="center"/>
          </w:tcPr>
          <w:p>
            <w:pPr>
              <w:pStyle w:val="TableContents"/>
              <w:spacing w:before="0" w:after="283"/>
              <w:jc w:val="both"/>
              <w:rPr/>
            </w:pPr>
            <w:r>
              <w:rPr>
                <w:i/>
              </w:rPr>
              <w:t xml:space="preserve">Collaboration Agreement with Regeneron to Commercialize Evkeeza. </w:t>
            </w:r>
            <w:r>
              <w:rPr/>
              <w:t>In January 2022, we announced a collaboration agreement with Regeneron to develop and commercialize Evkeeza in countries outside of the U.S., including the European Economic Area. Evkeeza is an approved therapy for the treatment of homozygous familial hypercholesterolemia, or HoFH, a rare inherited condition. The collaboration with Regeneron positions us to further leverage our commercial and medical affairs infrastructure to bring this potent monoclonal antibody to patients in Europe, Canada, Latin America and Japan.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4D4D4D"/>
              </w:rPr>
            </w:pPr>
            <w:r>
              <w:rPr>
                <w:color w:val="4D4D4D"/>
              </w:rPr>
              <w:t>•</w:t>
            </w:r>
          </w:p>
        </w:tc>
        <w:tc>
          <w:tcPr>
            <w:tcW w:w="10058" w:type="dxa"/>
            <w:tcBorders/>
            <w:shd w:fill="auto" w:val="clear"/>
            <w:vAlign w:val="center"/>
          </w:tcPr>
          <w:p>
            <w:pPr>
              <w:pStyle w:val="TableContents"/>
              <w:spacing w:before="0" w:after="283"/>
              <w:jc w:val="both"/>
              <w:rPr/>
            </w:pPr>
            <w:r>
              <w:rPr>
                <w:i/>
              </w:rPr>
              <w:t xml:space="preserve">Exclusive License with Abeona Therapeutics (Abeona) to Global Rights to AAV Gene Therapy. </w:t>
            </w:r>
            <w:r>
              <w:rPr/>
              <w:t xml:space="preserve">We entered into an exclusive license agreement with Abeona for AAV therapy ABO-102 (now UX111) for the treatment of Sanfilippo syndrome type A (MPS IIIA). Under the terms of the agreement, we will assume responsibility for the ABO-102 program and in return Abeona will receive tiered royalties of up to 10% on net sales and commercial milestone payments following regulatory approval. UX111 is our most advanced gene therapy and could be the first commercial gene therapy program. The transaction matches our team’s strong development and commercial capabilities in the lysosomal storage disease space given our experience with Mepsevii and gene therapy acumen with the promising clinical data generated by Abeona in the pivotal </w:t>
            </w:r>
            <w:r>
              <w:rPr>
                <w:i/>
              </w:rPr>
              <w:t xml:space="preserve">Transpher A </w:t>
            </w:r>
            <w:r>
              <w:rPr/>
              <w:t>study.</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4D4D4D"/>
              </w:rPr>
            </w:pPr>
            <w:r>
              <w:rPr>
                <w:color w:val="4D4D4D"/>
              </w:rPr>
              <w:t>•</w:t>
            </w:r>
          </w:p>
        </w:tc>
        <w:tc>
          <w:tcPr>
            <w:tcW w:w="10058" w:type="dxa"/>
            <w:tcBorders/>
            <w:shd w:fill="auto" w:val="clear"/>
            <w:vAlign w:val="center"/>
          </w:tcPr>
          <w:p>
            <w:pPr>
              <w:pStyle w:val="TableContents"/>
              <w:spacing w:before="0" w:after="283"/>
              <w:jc w:val="both"/>
              <w:rPr/>
            </w:pPr>
            <w:r>
              <w:rPr>
                <w:i/>
              </w:rPr>
              <w:t xml:space="preserve">Acquisition of GeneTx. </w:t>
            </w:r>
            <w:r>
              <w:rPr/>
              <w:t>As discussed above, based on the strength of the interim data we received in our ongoing Phase 1/2 study of GTX-102, we exercised our option to acquire GeneTx in July 2022. The acquisition of GeneTx grants us full control of the GTX-102 program.</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4D4D4D"/>
              </w:rPr>
            </w:pPr>
            <w:r>
              <w:rPr>
                <w:color w:val="4D4D4D"/>
              </w:rPr>
              <w:t>•</w:t>
            </w:r>
          </w:p>
        </w:tc>
        <w:tc>
          <w:tcPr>
            <w:tcW w:w="10058" w:type="dxa"/>
            <w:tcBorders/>
            <w:shd w:fill="auto" w:val="clear"/>
            <w:vAlign w:val="center"/>
          </w:tcPr>
          <w:p>
            <w:pPr>
              <w:pStyle w:val="TableContents"/>
              <w:spacing w:before="0" w:after="283"/>
              <w:jc w:val="both"/>
              <w:rPr/>
            </w:pPr>
            <w:r>
              <w:rPr>
                <w:i/>
              </w:rPr>
              <w:t xml:space="preserve">Gene Therapy Manufacturing Plant. </w:t>
            </w:r>
            <w:r>
              <w:rPr/>
              <w:t>Throughout 2022, we continued to make substantial progress on construction of our gene therapy manufacturing plan in Massachusetts and by the end of 2022, we had substantially completed the build out of the plant. The significant process we made in constructing our plant positions us to begin production later this year. The facility and our manufacturing capabilities is expected to grant us the ability to better control the timing, costs and scale of production of our gene therapy products.</w:t>
            </w:r>
          </w:p>
        </w:tc>
      </w:tr>
    </w:tbl>
    <w:p>
      <w:pPr>
        <w:pStyle w:val="TextBody"/>
        <w:spacing w:before="0" w:after="0"/>
        <w:rPr>
          <w:caps w:val="false"/>
          <w:smallCaps w:val="false"/>
        </w:rPr>
      </w:pPr>
      <w:r>
        <w:rPr>
          <w:caps w:val="false"/>
          <w:smallCaps w:val="fals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Stockholder Outreach</w:t>
      </w:r>
    </w:p>
    <w:p>
      <w:pPr>
        <w:pStyle w:val="TextBody"/>
        <w:spacing w:before="0" w:after="0"/>
        <w:ind w:left="0" w:right="0" w:hanging="0"/>
        <w:rPr>
          <w:caps w:val="false"/>
          <w:smallCaps w:val="false"/>
          <w:color w:val="7CBC3E"/>
        </w:rPr>
      </w:pPr>
      <w:r>
        <w:rPr>
          <w:caps w:val="false"/>
          <w:smallCaps w:val="false"/>
          <w:color w:val="7CBC3E"/>
        </w:rPr>
        <w:t> </w:t>
      </w:r>
    </w:p>
    <w:p>
      <w:pPr>
        <w:pStyle w:val="Heading5"/>
        <w:spacing w:before="0" w:after="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Stockholder Advisory Vote on Executive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year, our stockholders are provided the opportunity to cast an advisory vote on the compensation of our named executive officers, or the “say-on-pay” vote, and the Compensation Committee considers the outcome of the prior year’s say-on-pay vote when making decisions relating to the compensation of our named executive officers and our executive compensation programs. We received 88% support for our say-on-pay proposal at our 2022 Annual Meeting, representing a significant increase over the 74.2% support we received at our 2021 Annual Meeting. We did not make any changes to our executive compensation programs as a result of the say-on-pay vote.</w:t>
      </w:r>
    </w:p>
    <w:p>
      <w:pPr>
        <w:pStyle w:val="TextBody"/>
        <w:spacing w:before="0" w:after="0"/>
        <w:ind w:left="0" w:right="0" w:hanging="0"/>
        <w:jc w:val="both"/>
        <w:rPr>
          <w:caps w:val="false"/>
          <w:smallCaps w:val="false"/>
        </w:rPr>
      </w:pPr>
      <w:r>
        <w:rPr>
          <w:caps w:val="false"/>
          <w:smallCaps w:val="false"/>
        </w:rPr>
        <w:t> </w:t>
      </w:r>
    </w:p>
    <w:p>
      <w:pPr>
        <w:pStyle w:val="Heading5"/>
        <w:spacing w:before="0" w:after="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Stockholder Engagement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regularly engage with our stockholders to solicit their feedback on a variety of topics, including executive compensation, corporate governance, ESG and other topics in order to gain a better understanding of their perspective on these issues. Stockholder feedback is important, and the information we glean from these engagements is highly valued. Our stockholder engagement team has consisted of certain independent directors and members of our legal, investor relations and human resources expertise areas. Stockholders also regularly meet with members of our senior management team to discuss our strategy and review our business, goals and performance. In 2022, we engaged with several shareholders who owned, in aggregate, a meaningful percentage of outstanding shares. The feedback we received from those conversations were conveyed to the rest of our senior management team and the board and relevant board committees, as appropriate.</w:t>
      </w:r>
    </w:p>
    <w:p>
      <w:pPr>
        <w:pStyle w:val="TextBody"/>
        <w:spacing w:before="0" w:after="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 </w:t>
      </w:r>
      <w:r>
        <w:rPr>
          <w:rFonts w:ascii="Arial;Helvetica;Sans-Serif" w:hAnsi="Arial;Helvetica;Sans-Serif"/>
          <w:b/>
          <w:i w:val="false"/>
          <w:caps w:val="false"/>
          <w:smallCaps w:val="false"/>
          <w:color w:val="7ABD3E"/>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47</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Compensation Highlights</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described below under “Compensation Philosophy and Objectives”, our Compensation Committee believes that executive compensation should be directly linked to short-term and long-term performance. A few of the key decisions made by the Compensation Committee aligned with such philosophy are as follows:</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4D4D4D"/>
              </w:rPr>
            </w:pPr>
            <w:r>
              <w:rPr>
                <w:color w:val="4D4D4D"/>
              </w:rPr>
              <w:t>•</w:t>
            </w:r>
          </w:p>
        </w:tc>
        <w:tc>
          <w:tcPr>
            <w:tcW w:w="10058" w:type="dxa"/>
            <w:tcBorders/>
            <w:shd w:fill="auto" w:val="clear"/>
            <w:vAlign w:val="center"/>
          </w:tcPr>
          <w:p>
            <w:pPr>
              <w:pStyle w:val="TableContents"/>
              <w:spacing w:before="0" w:after="283"/>
              <w:jc w:val="both"/>
              <w:rPr/>
            </w:pPr>
            <w:r>
              <w:rPr>
                <w:i/>
              </w:rPr>
              <w:t xml:space="preserve">Modest base salary adjustments: </w:t>
            </w:r>
            <w:r>
              <w:rPr/>
              <w:t>Base salary increases for our executives ranged from 3.2% to 4.5%. Salary increases were driven generally by market merit spends for 2022 and achievement of 2021 individual goals.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4D4D4D"/>
              </w:rPr>
            </w:pPr>
            <w:r>
              <w:rPr>
                <w:color w:val="4D4D4D"/>
              </w:rPr>
              <w:t>•</w:t>
            </w:r>
          </w:p>
        </w:tc>
        <w:tc>
          <w:tcPr>
            <w:tcW w:w="10058" w:type="dxa"/>
            <w:tcBorders/>
            <w:shd w:fill="auto" w:val="clear"/>
            <w:vAlign w:val="center"/>
          </w:tcPr>
          <w:p>
            <w:pPr>
              <w:pStyle w:val="TableContents"/>
              <w:spacing w:before="0" w:after="283"/>
              <w:jc w:val="both"/>
              <w:rPr/>
            </w:pPr>
            <w:r>
              <w:rPr>
                <w:i/>
              </w:rPr>
              <w:t>Annual bonuses linked to pre-determined milestone performance goals and individual accomplishments</w:t>
            </w:r>
            <w:r>
              <w:rPr/>
              <w:t>. Our CEO received a below target bonus of 70% of his base salary based solely on corporate performance. Annual bonuses for our other NEOs ranged from 41% to 49% of their base salary when the impact of individual performance is factored in.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4D4D4D"/>
              </w:rPr>
            </w:pPr>
            <w:r>
              <w:rPr>
                <w:color w:val="4D4D4D"/>
              </w:rPr>
              <w:t>•</w:t>
            </w:r>
          </w:p>
        </w:tc>
        <w:tc>
          <w:tcPr>
            <w:tcW w:w="10058" w:type="dxa"/>
            <w:tcBorders/>
            <w:shd w:fill="auto" w:val="clear"/>
            <w:vAlign w:val="center"/>
          </w:tcPr>
          <w:p>
            <w:pPr>
              <w:pStyle w:val="TableContents"/>
              <w:spacing w:before="0" w:after="283"/>
              <w:jc w:val="both"/>
              <w:rPr/>
            </w:pPr>
            <w:r>
              <w:rPr/>
              <w:t>Our equity mix included performance-based equity: We maintained our equity mix at one-third of each PSUs, RSUs and stock options. For our CEO we increased the percentage of PSUs to 60% in early 2023.</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4D4D4D"/>
              </w:rPr>
            </w:pPr>
            <w:r>
              <w:rPr>
                <w:color w:val="4D4D4D"/>
              </w:rPr>
              <w:t>•</w:t>
            </w:r>
          </w:p>
        </w:tc>
        <w:tc>
          <w:tcPr>
            <w:tcW w:w="10058" w:type="dxa"/>
            <w:tcBorders/>
            <w:shd w:fill="auto" w:val="clear"/>
            <w:vAlign w:val="center"/>
          </w:tcPr>
          <w:p>
            <w:pPr>
              <w:pStyle w:val="TableContents"/>
              <w:spacing w:before="0" w:after="283"/>
              <w:jc w:val="both"/>
              <w:rPr/>
            </w:pPr>
            <w:r>
              <w:rPr/>
              <w:t>PSU payouts linked to performance: Our 2021 PSUs paid out below target, at 60.5% based on revenue results.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4D4D4D"/>
              </w:rPr>
            </w:pPr>
            <w:r>
              <w:rPr>
                <w:color w:val="4D4D4D"/>
              </w:rPr>
              <w:t>•</w:t>
            </w:r>
          </w:p>
        </w:tc>
        <w:tc>
          <w:tcPr>
            <w:tcW w:w="10058" w:type="dxa"/>
            <w:tcBorders/>
            <w:shd w:fill="auto" w:val="clear"/>
            <w:vAlign w:val="center"/>
          </w:tcPr>
          <w:p>
            <w:pPr>
              <w:pStyle w:val="TableContents"/>
              <w:spacing w:before="0" w:after="283"/>
              <w:jc w:val="both"/>
              <w:rPr/>
            </w:pPr>
            <w:r>
              <w:rPr/>
              <w:t>Pay mix is highly “at risk”: The percentage of pay that is “at risk” for our CEO and NEOs is 93% and 85%, respectively, helping us align pay with performance.</w:t>
            </w:r>
          </w:p>
        </w:tc>
      </w:tr>
    </w:tbl>
    <w:p>
      <w:pPr>
        <w:pStyle w:val="TextBody"/>
        <w:spacing w:before="0" w:after="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5238750" cy="2162175"/>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embed="rId154"/>
                    <a:stretch>
                      <a:fillRect/>
                    </a:stretch>
                  </pic:blipFill>
                  <pic:spPr bwMode="auto">
                    <a:xfrm>
                      <a:off x="0" y="0"/>
                      <a:ext cx="5238750" cy="2162175"/>
                    </a:xfrm>
                    <a:prstGeom prst="rect">
                      <a:avLst/>
                    </a:prstGeom>
                  </pic:spPr>
                </pic:pic>
              </a:graphicData>
            </a:graphic>
          </wp:inline>
        </w:drawing>
      </w:r>
    </w:p>
    <w:p>
      <w:pPr>
        <w:pStyle w:val="TextBody"/>
        <w:spacing w:before="0" w:after="0"/>
        <w:rPr>
          <w:caps w:val="false"/>
          <w:smallCaps w:val="false"/>
        </w:rPr>
      </w:pPr>
      <w:r>
        <w:rPr>
          <w:caps w:val="false"/>
          <w:smallCaps w:val="fals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Compensation Philosophy and Objectives</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philosophy in setting compensation policies for executive officers has two fundamental objectives: (1) to attract and retain a highly-skilled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to both continuous improvements in corporate performance (pay for performance) and accomplishments that are expected to increase stockholder value. In furtherance of this goal, the Compensation Committee has adhered to the following guidelines as a foundation for decisions that affect the levels of compensation:</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CBC3E"/>
              </w:rPr>
            </w:pPr>
            <w:r>
              <w:rPr>
                <w:color w:val="7CBC3E"/>
              </w:rPr>
              <w:t>•</w:t>
            </w:r>
          </w:p>
        </w:tc>
        <w:tc>
          <w:tcPr>
            <w:tcW w:w="10058" w:type="dxa"/>
            <w:tcBorders/>
            <w:shd w:fill="auto" w:val="clear"/>
            <w:vAlign w:val="center"/>
          </w:tcPr>
          <w:p>
            <w:pPr>
              <w:pStyle w:val="TableContents"/>
              <w:spacing w:before="0" w:after="283"/>
              <w:jc w:val="both"/>
              <w:rPr/>
            </w:pPr>
            <w:r>
              <w:rPr/>
              <w:t>provide a competitive total compensation package that enables us to attract and retain highly qualified executives with the skills and experience required for the achievement of business goals;</w:t>
            </w:r>
          </w:p>
        </w:tc>
      </w:tr>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CBC3E"/>
              </w:rPr>
            </w:pPr>
            <w:r>
              <w:rPr>
                <w:color w:val="7CBC3E"/>
              </w:rPr>
              <w:t>•</w:t>
            </w:r>
          </w:p>
        </w:tc>
        <w:tc>
          <w:tcPr>
            <w:tcW w:w="10058" w:type="dxa"/>
            <w:tcBorders/>
            <w:shd w:fill="auto" w:val="clear"/>
            <w:vAlign w:val="center"/>
          </w:tcPr>
          <w:p>
            <w:pPr>
              <w:pStyle w:val="TableContents"/>
              <w:spacing w:before="0" w:after="283"/>
              <w:jc w:val="both"/>
              <w:rPr/>
            </w:pPr>
            <w:r>
              <w:rPr/>
              <w:t>align compensation elements with our annual goals and long-term business strategies and objectives;</w:t>
            </w:r>
          </w:p>
        </w:tc>
      </w:tr>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CBC3E"/>
              </w:rPr>
            </w:pPr>
            <w:r>
              <w:rPr>
                <w:color w:val="7CBC3E"/>
              </w:rPr>
              <w:t>•</w:t>
            </w:r>
          </w:p>
        </w:tc>
        <w:tc>
          <w:tcPr>
            <w:tcW w:w="10058" w:type="dxa"/>
            <w:tcBorders/>
            <w:shd w:fill="auto" w:val="clear"/>
            <w:vAlign w:val="center"/>
          </w:tcPr>
          <w:p>
            <w:pPr>
              <w:pStyle w:val="TableContents"/>
              <w:spacing w:before="0" w:after="283"/>
              <w:jc w:val="both"/>
              <w:rPr/>
            </w:pPr>
            <w:r>
              <w:rPr/>
              <w:t>promote the achievement of key strategic and financial performance measures by linking short-term and long-term cash and equity incentives to the achievement of measurable corporate and individual performance goals and objectives; and</w:t>
            </w:r>
          </w:p>
        </w:tc>
      </w:tr>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CBC3E"/>
              </w:rPr>
            </w:pPr>
            <w:r>
              <w:rPr>
                <w:color w:val="7CBC3E"/>
              </w:rPr>
              <w:t>•</w:t>
            </w:r>
          </w:p>
        </w:tc>
        <w:tc>
          <w:tcPr>
            <w:tcW w:w="10058" w:type="dxa"/>
            <w:tcBorders/>
            <w:shd w:fill="auto" w:val="clear"/>
            <w:vAlign w:val="center"/>
          </w:tcPr>
          <w:p>
            <w:pPr>
              <w:pStyle w:val="TableContents"/>
              <w:spacing w:before="0" w:after="283"/>
              <w:jc w:val="both"/>
              <w:rPr/>
            </w:pPr>
            <w:r>
              <w:rPr/>
              <w:t>align executives’ incentives with the creation of stockholder value.</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has historically compensated executive officers with three primary compensation components: a base salary, an annual bonus opportunity, and equity-based compensation. The Compensation Committee believes that cash compensation in the form of base salary and an annual bonus opportunity provides our executive officers with short-term rewards for success in achieving annual goals and objectives, and that long-term compensation through the award of stock options, restricted stock units (RSUs) and performance stock units (PSUs) aligns the objectives of management with those of our stockholders with respect to long-term performance and success of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setting compensation levels for our executive officers, the Compensation Committee does not formulaically benchmark against any one specific reference point. Instead, it considers a variety of factors, including peer group survey data, tenure, role, responsibilities, performance, and competitive market practices. Compensation paid to our named executive officers is delivered primarily through at-risk pay, based on both short-term and long-term incentives, including the achievement of corporate and individual goals and objectives.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to our compensation elements, the following compensation program features are designed to align our executive team’s interests with stockholder interests and market best practices.</w:t>
      </w:r>
    </w:p>
    <w:p>
      <w:pPr>
        <w:pStyle w:val="TextBody"/>
        <w:spacing w:before="0" w:after="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 </w:t>
      </w:r>
      <w:r>
        <w:rPr>
          <w:rFonts w:ascii="Arial;Helvetica;Sans-Serif" w:hAnsi="Arial;Helvetica;Sans-Serif"/>
          <w:b/>
          <w:i w:val="false"/>
          <w:caps w:val="false"/>
          <w:smallCaps w:val="false"/>
          <w:color w:val="7ABD3E"/>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48</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345"/>
        <w:gridCol w:w="6250"/>
        <w:gridCol w:w="60"/>
        <w:gridCol w:w="330"/>
        <w:gridCol w:w="3220"/>
      </w:tblGrid>
      <w:tr>
        <w:trPr/>
        <w:tc>
          <w:tcPr>
            <w:tcW w:w="6595" w:type="dxa"/>
            <w:gridSpan w:val="2"/>
            <w:tcBorders/>
            <w:shd w:fill="7CBC3E" w:val="clear"/>
            <w:vAlign w:val="center"/>
          </w:tcPr>
          <w:p>
            <w:pPr>
              <w:pStyle w:val="TableContents"/>
              <w:spacing w:before="0" w:after="283"/>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What We Do</w:t>
            </w:r>
          </w:p>
        </w:tc>
        <w:tc>
          <w:tcPr>
            <w:tcW w:w="60" w:type="dxa"/>
            <w:tcBorders/>
            <w:shd w:fill="FFFFFF" w:val="clear"/>
            <w:vAlign w:val="center"/>
          </w:tcPr>
          <w:p>
            <w:pPr>
              <w:pStyle w:val="TableContents"/>
              <w:spacing w:before="0" w:after="283"/>
              <w:rPr/>
            </w:pPr>
            <w:r>
              <w:rPr/>
              <w:t> </w:t>
            </w:r>
          </w:p>
        </w:tc>
        <w:tc>
          <w:tcPr>
            <w:tcW w:w="3550" w:type="dxa"/>
            <w:gridSpan w:val="2"/>
            <w:tcBorders/>
            <w:shd w:fill="7CBC3E" w:val="clear"/>
            <w:vAlign w:val="center"/>
          </w:tcPr>
          <w:p>
            <w:pPr>
              <w:pStyle w:val="TableContents"/>
              <w:spacing w:before="0" w:after="283"/>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What We Don’t Do</w:t>
            </w:r>
          </w:p>
        </w:tc>
      </w:tr>
      <w:tr>
        <w:trPr/>
        <w:tc>
          <w:tcPr>
            <w:tcW w:w="345" w:type="dxa"/>
            <w:tcBorders>
              <w:bottom w:val="single" w:sz="2" w:space="0" w:color="000000"/>
            </w:tcBorders>
            <w:shd w:fill="EFF6EA" w:val="clear"/>
            <w:tcMar>
              <w:bottom w:w="40" w:type="dxa"/>
            </w:tcMar>
            <w:vAlign w:val="center"/>
          </w:tcPr>
          <w:p>
            <w:pPr>
              <w:pStyle w:val="TableContents"/>
              <w:spacing w:before="0" w:after="283"/>
              <w:rPr/>
            </w:pPr>
            <w:r>
              <w:rPr/>
              <w:drawing>
                <wp:inline distT="0" distB="0" distL="0" distR="0">
                  <wp:extent cx="209550" cy="200025"/>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embed="rId155"/>
                          <a:stretch>
                            <a:fillRect/>
                          </a:stretch>
                        </pic:blipFill>
                        <pic:spPr bwMode="auto">
                          <a:xfrm>
                            <a:off x="0" y="0"/>
                            <a:ext cx="209550" cy="200025"/>
                          </a:xfrm>
                          <a:prstGeom prst="rect">
                            <a:avLst/>
                          </a:prstGeom>
                        </pic:spPr>
                      </pic:pic>
                    </a:graphicData>
                  </a:graphic>
                </wp:inline>
              </w:drawing>
            </w:r>
          </w:p>
        </w:tc>
        <w:tc>
          <w:tcPr>
            <w:tcW w:w="6250" w:type="dxa"/>
            <w:tcBorders>
              <w:bottom w:val="single" w:sz="2" w:space="0" w:color="000000"/>
            </w:tcBorders>
            <w:shd w:fill="auto" w:val="clear"/>
            <w:tcMar>
              <w:bottom w:w="4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Compensation Committee is comprised solely of independent directors.</w:t>
            </w:r>
          </w:p>
        </w:tc>
        <w:tc>
          <w:tcPr>
            <w:tcW w:w="60" w:type="dxa"/>
            <w:tcBorders/>
            <w:shd w:fill="auto" w:val="clear"/>
            <w:vAlign w:val="center"/>
          </w:tcPr>
          <w:p>
            <w:pPr>
              <w:pStyle w:val="TableContents"/>
              <w:spacing w:before="0" w:after="283"/>
              <w:rPr/>
            </w:pPr>
            <w:r>
              <w:rPr/>
              <w:t> </w:t>
            </w:r>
          </w:p>
        </w:tc>
        <w:tc>
          <w:tcPr>
            <w:tcW w:w="330" w:type="dxa"/>
            <w:tcBorders>
              <w:bottom w:val="single" w:sz="2" w:space="0" w:color="000000"/>
            </w:tcBorders>
            <w:shd w:fill="EFF6EA" w:val="clear"/>
            <w:tcMar>
              <w:bottom w:w="40" w:type="dxa"/>
            </w:tcMar>
            <w:vAlign w:val="center"/>
          </w:tcPr>
          <w:p>
            <w:pPr>
              <w:pStyle w:val="TableContents"/>
              <w:spacing w:before="0" w:after="283"/>
              <w:rPr/>
            </w:pPr>
            <w:r>
              <w:rPr/>
              <w:drawing>
                <wp:inline distT="0" distB="0" distL="0" distR="0">
                  <wp:extent cx="209550" cy="200025"/>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embed="rId156"/>
                          <a:stretch>
                            <a:fillRect/>
                          </a:stretch>
                        </pic:blipFill>
                        <pic:spPr bwMode="auto">
                          <a:xfrm>
                            <a:off x="0" y="0"/>
                            <a:ext cx="209550" cy="200025"/>
                          </a:xfrm>
                          <a:prstGeom prst="rect">
                            <a:avLst/>
                          </a:prstGeom>
                        </pic:spPr>
                      </pic:pic>
                    </a:graphicData>
                  </a:graphic>
                </wp:inline>
              </w:drawing>
            </w:r>
          </w:p>
        </w:tc>
        <w:tc>
          <w:tcPr>
            <w:tcW w:w="3220" w:type="dxa"/>
            <w:tcBorders>
              <w:bottom w:val="single"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do not offer any tax gross-up payments to our executive team for any change-of-control payments.</w:t>
            </w:r>
          </w:p>
        </w:tc>
      </w:tr>
      <w:tr>
        <w:trPr/>
        <w:tc>
          <w:tcPr>
            <w:tcW w:w="345" w:type="dxa"/>
            <w:tcBorders>
              <w:bottom w:val="single" w:sz="2" w:space="0" w:color="000000"/>
            </w:tcBorders>
            <w:shd w:fill="EFF6EA" w:val="clear"/>
            <w:tcMar>
              <w:bottom w:w="40" w:type="dxa"/>
            </w:tcMar>
            <w:vAlign w:val="center"/>
          </w:tcPr>
          <w:p>
            <w:pPr>
              <w:pStyle w:val="TableContents"/>
              <w:spacing w:before="0" w:after="283"/>
              <w:rPr/>
            </w:pPr>
            <w:r>
              <w:rPr/>
              <w:drawing>
                <wp:inline distT="0" distB="0" distL="0" distR="0">
                  <wp:extent cx="209550" cy="200025"/>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embed="rId157"/>
                          <a:stretch>
                            <a:fillRect/>
                          </a:stretch>
                        </pic:blipFill>
                        <pic:spPr bwMode="auto">
                          <a:xfrm>
                            <a:off x="0" y="0"/>
                            <a:ext cx="209550" cy="200025"/>
                          </a:xfrm>
                          <a:prstGeom prst="rect">
                            <a:avLst/>
                          </a:prstGeom>
                        </pic:spPr>
                      </pic:pic>
                    </a:graphicData>
                  </a:graphic>
                </wp:inline>
              </w:drawing>
            </w:r>
          </w:p>
        </w:tc>
        <w:tc>
          <w:tcPr>
            <w:tcW w:w="6250" w:type="dxa"/>
            <w:tcBorders>
              <w:bottom w:val="single" w:sz="2" w:space="0" w:color="000000"/>
            </w:tcBorders>
            <w:shd w:fill="auto" w:val="clear"/>
            <w:tcMar>
              <w:bottom w:w="4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Compensation Committee engages its own independent, external compensation consultant to assist the committee in its review of executive and director compensation practices.</w:t>
            </w:r>
          </w:p>
        </w:tc>
        <w:tc>
          <w:tcPr>
            <w:tcW w:w="60" w:type="dxa"/>
            <w:tcBorders/>
            <w:shd w:fill="auto" w:val="clear"/>
            <w:vAlign w:val="center"/>
          </w:tcPr>
          <w:p>
            <w:pPr>
              <w:pStyle w:val="TableContents"/>
              <w:spacing w:before="0" w:after="283"/>
              <w:rPr/>
            </w:pPr>
            <w:r>
              <w:rPr/>
              <w:t> </w:t>
            </w:r>
          </w:p>
        </w:tc>
        <w:tc>
          <w:tcPr>
            <w:tcW w:w="330" w:type="dxa"/>
            <w:tcBorders>
              <w:bottom w:val="single" w:sz="2" w:space="0" w:color="000000"/>
            </w:tcBorders>
            <w:shd w:fill="EFF6EA" w:val="clear"/>
            <w:tcMar>
              <w:bottom w:w="40" w:type="dxa"/>
            </w:tcMar>
            <w:vAlign w:val="center"/>
          </w:tcPr>
          <w:p>
            <w:pPr>
              <w:pStyle w:val="TableContents"/>
              <w:spacing w:before="0" w:after="283"/>
              <w:rPr/>
            </w:pPr>
            <w:r>
              <w:rPr/>
              <w:drawing>
                <wp:inline distT="0" distB="0" distL="0" distR="0">
                  <wp:extent cx="209550" cy="200025"/>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embed="rId158"/>
                          <a:stretch>
                            <a:fillRect/>
                          </a:stretch>
                        </pic:blipFill>
                        <pic:spPr bwMode="auto">
                          <a:xfrm>
                            <a:off x="0" y="0"/>
                            <a:ext cx="209550" cy="200025"/>
                          </a:xfrm>
                          <a:prstGeom prst="rect">
                            <a:avLst/>
                          </a:prstGeom>
                        </pic:spPr>
                      </pic:pic>
                    </a:graphicData>
                  </a:graphic>
                </wp:inline>
              </w:drawing>
            </w:r>
          </w:p>
        </w:tc>
        <w:tc>
          <w:tcPr>
            <w:tcW w:w="3220" w:type="dxa"/>
            <w:tcBorders>
              <w:bottom w:val="single"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discussed above under “– Corporate Governance”, we prohibit our executive officers from hedging our securities.</w:t>
            </w:r>
          </w:p>
        </w:tc>
      </w:tr>
      <w:tr>
        <w:trPr/>
        <w:tc>
          <w:tcPr>
            <w:tcW w:w="345" w:type="dxa"/>
            <w:tcBorders>
              <w:bottom w:val="single" w:sz="2" w:space="0" w:color="000000"/>
            </w:tcBorders>
            <w:shd w:fill="EFF6EA" w:val="clear"/>
            <w:tcMar>
              <w:bottom w:w="40" w:type="dxa"/>
            </w:tcMar>
            <w:vAlign w:val="center"/>
          </w:tcPr>
          <w:p>
            <w:pPr>
              <w:pStyle w:val="TableContents"/>
              <w:spacing w:before="0" w:after="283"/>
              <w:rPr/>
            </w:pPr>
            <w:r>
              <w:rPr/>
              <w:drawing>
                <wp:inline distT="0" distB="0" distL="0" distR="0">
                  <wp:extent cx="209550" cy="200025"/>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embed="rId159"/>
                          <a:stretch>
                            <a:fillRect/>
                          </a:stretch>
                        </pic:blipFill>
                        <pic:spPr bwMode="auto">
                          <a:xfrm>
                            <a:off x="0" y="0"/>
                            <a:ext cx="209550" cy="200025"/>
                          </a:xfrm>
                          <a:prstGeom prst="rect">
                            <a:avLst/>
                          </a:prstGeom>
                        </pic:spPr>
                      </pic:pic>
                    </a:graphicData>
                  </a:graphic>
                </wp:inline>
              </w:drawing>
            </w:r>
          </w:p>
        </w:tc>
        <w:tc>
          <w:tcPr>
            <w:tcW w:w="6250" w:type="dxa"/>
            <w:tcBorders>
              <w:bottom w:val="single" w:sz="2" w:space="0" w:color="000000"/>
            </w:tcBorders>
            <w:shd w:fill="auto" w:val="clear"/>
            <w:tcMar>
              <w:bottom w:w="4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proactively engage with our stockholders throughout the year.</w:t>
            </w:r>
          </w:p>
        </w:tc>
        <w:tc>
          <w:tcPr>
            <w:tcW w:w="60" w:type="dxa"/>
            <w:tcBorders/>
            <w:shd w:fill="auto" w:val="clear"/>
            <w:vAlign w:val="center"/>
          </w:tcPr>
          <w:p>
            <w:pPr>
              <w:pStyle w:val="TableContents"/>
              <w:spacing w:before="0" w:after="283"/>
              <w:rPr/>
            </w:pPr>
            <w:r>
              <w:rPr/>
              <w:t> </w:t>
            </w:r>
          </w:p>
        </w:tc>
        <w:tc>
          <w:tcPr>
            <w:tcW w:w="330" w:type="dxa"/>
            <w:tcBorders>
              <w:bottom w:val="single" w:sz="2" w:space="0" w:color="000000"/>
            </w:tcBorders>
            <w:shd w:fill="EFF6EA" w:val="clear"/>
            <w:tcMar>
              <w:bottom w:w="40" w:type="dxa"/>
            </w:tcMar>
            <w:vAlign w:val="center"/>
          </w:tcPr>
          <w:p>
            <w:pPr>
              <w:pStyle w:val="TableContents"/>
              <w:spacing w:before="0" w:after="283"/>
              <w:rPr/>
            </w:pPr>
            <w:r>
              <w:rPr/>
              <w:drawing>
                <wp:inline distT="0" distB="0" distL="0" distR="0">
                  <wp:extent cx="209550" cy="200025"/>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embed="rId160"/>
                          <a:stretch>
                            <a:fillRect/>
                          </a:stretch>
                        </pic:blipFill>
                        <pic:spPr bwMode="auto">
                          <a:xfrm>
                            <a:off x="0" y="0"/>
                            <a:ext cx="209550" cy="200025"/>
                          </a:xfrm>
                          <a:prstGeom prst="rect">
                            <a:avLst/>
                          </a:prstGeom>
                        </pic:spPr>
                      </pic:pic>
                    </a:graphicData>
                  </a:graphic>
                </wp:inline>
              </w:drawing>
            </w:r>
          </w:p>
        </w:tc>
        <w:tc>
          <w:tcPr>
            <w:tcW w:w="3220" w:type="dxa"/>
            <w:tcBorders>
              <w:bottom w:val="single"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prohibit our employees, including our executive team, from pledging our securities.</w:t>
            </w:r>
          </w:p>
        </w:tc>
      </w:tr>
      <w:tr>
        <w:trPr/>
        <w:tc>
          <w:tcPr>
            <w:tcW w:w="345" w:type="dxa"/>
            <w:tcBorders>
              <w:bottom w:val="single" w:sz="2" w:space="0" w:color="000000"/>
            </w:tcBorders>
            <w:shd w:fill="EFF6EA" w:val="clear"/>
            <w:tcMar>
              <w:bottom w:w="40" w:type="dxa"/>
            </w:tcMar>
            <w:vAlign w:val="center"/>
          </w:tcPr>
          <w:p>
            <w:pPr>
              <w:pStyle w:val="TableContents"/>
              <w:spacing w:before="0" w:after="283"/>
              <w:rPr/>
            </w:pPr>
            <w:r>
              <w:rPr/>
              <w:drawing>
                <wp:inline distT="0" distB="0" distL="0" distR="0">
                  <wp:extent cx="209550" cy="200025"/>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embed="rId161"/>
                          <a:stretch>
                            <a:fillRect/>
                          </a:stretch>
                        </pic:blipFill>
                        <pic:spPr bwMode="auto">
                          <a:xfrm>
                            <a:off x="0" y="0"/>
                            <a:ext cx="209550" cy="200025"/>
                          </a:xfrm>
                          <a:prstGeom prst="rect">
                            <a:avLst/>
                          </a:prstGeom>
                        </pic:spPr>
                      </pic:pic>
                    </a:graphicData>
                  </a:graphic>
                </wp:inline>
              </w:drawing>
            </w:r>
          </w:p>
        </w:tc>
        <w:tc>
          <w:tcPr>
            <w:tcW w:w="6250" w:type="dxa"/>
            <w:tcBorders>
              <w:bottom w:val="single" w:sz="2" w:space="0" w:color="000000"/>
            </w:tcBorders>
            <w:shd w:fill="auto" w:val="clear"/>
            <w:tcMar>
              <w:bottom w:w="4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have a clawback policy, which permits us to recover performance-based cash and equity compensation paid to our current or former executive officers in certain cases; see “—Clawback Policy”.</w:t>
            </w:r>
          </w:p>
        </w:tc>
        <w:tc>
          <w:tcPr>
            <w:tcW w:w="60" w:type="dxa"/>
            <w:tcBorders/>
            <w:shd w:fill="auto" w:val="clear"/>
            <w:vAlign w:val="center"/>
          </w:tcPr>
          <w:p>
            <w:pPr>
              <w:pStyle w:val="TableContents"/>
              <w:spacing w:before="0" w:after="283"/>
              <w:rPr/>
            </w:pPr>
            <w:r>
              <w:rPr/>
              <w:t> </w:t>
            </w:r>
          </w:p>
        </w:tc>
        <w:tc>
          <w:tcPr>
            <w:tcW w:w="330" w:type="dxa"/>
            <w:tcBorders>
              <w:bottom w:val="single" w:sz="2" w:space="0" w:color="000000"/>
            </w:tcBorders>
            <w:shd w:fill="EFF6EA" w:val="clear"/>
            <w:tcMar>
              <w:bottom w:w="40" w:type="dxa"/>
            </w:tcMar>
            <w:vAlign w:val="center"/>
          </w:tcPr>
          <w:p>
            <w:pPr>
              <w:pStyle w:val="TableContents"/>
              <w:spacing w:before="0" w:after="283"/>
              <w:rPr/>
            </w:pPr>
            <w:r>
              <w:rPr/>
              <w:drawing>
                <wp:inline distT="0" distB="0" distL="0" distR="0">
                  <wp:extent cx="209550" cy="200025"/>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embed="rId162"/>
                          <a:stretch>
                            <a:fillRect/>
                          </a:stretch>
                        </pic:blipFill>
                        <pic:spPr bwMode="auto">
                          <a:xfrm>
                            <a:off x="0" y="0"/>
                            <a:ext cx="209550" cy="200025"/>
                          </a:xfrm>
                          <a:prstGeom prst="rect">
                            <a:avLst/>
                          </a:prstGeom>
                        </pic:spPr>
                      </pic:pic>
                    </a:graphicData>
                  </a:graphic>
                </wp:inline>
              </w:drawing>
            </w:r>
          </w:p>
        </w:tc>
        <w:tc>
          <w:tcPr>
            <w:tcW w:w="3220" w:type="dxa"/>
            <w:tcBorders>
              <w:bottom w:val="single"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do not offer our executive team any substantially enhanced benefits or perquisites when compared with our overall employee population.</w:t>
            </w:r>
          </w:p>
        </w:tc>
      </w:tr>
      <w:tr>
        <w:trPr/>
        <w:tc>
          <w:tcPr>
            <w:tcW w:w="345" w:type="dxa"/>
            <w:tcBorders>
              <w:bottom w:val="single" w:sz="2" w:space="0" w:color="000000"/>
            </w:tcBorders>
            <w:shd w:fill="EFF6EA" w:val="clear"/>
            <w:tcMar>
              <w:bottom w:w="40" w:type="dxa"/>
            </w:tcMar>
            <w:vAlign w:val="center"/>
          </w:tcPr>
          <w:p>
            <w:pPr>
              <w:pStyle w:val="TableContents"/>
              <w:spacing w:before="0" w:after="283"/>
              <w:rPr/>
            </w:pPr>
            <w:r>
              <w:rPr/>
              <w:drawing>
                <wp:inline distT="0" distB="0" distL="0" distR="0">
                  <wp:extent cx="209550" cy="200025"/>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embed="rId163"/>
                          <a:stretch>
                            <a:fillRect/>
                          </a:stretch>
                        </pic:blipFill>
                        <pic:spPr bwMode="auto">
                          <a:xfrm>
                            <a:off x="0" y="0"/>
                            <a:ext cx="209550" cy="200025"/>
                          </a:xfrm>
                          <a:prstGeom prst="rect">
                            <a:avLst/>
                          </a:prstGeom>
                        </pic:spPr>
                      </pic:pic>
                    </a:graphicData>
                  </a:graphic>
                </wp:inline>
              </w:drawing>
            </w:r>
          </w:p>
        </w:tc>
        <w:tc>
          <w:tcPr>
            <w:tcW w:w="6250" w:type="dxa"/>
            <w:tcBorders>
              <w:bottom w:val="single" w:sz="2" w:space="0" w:color="000000"/>
            </w:tcBorders>
            <w:shd w:fill="auto" w:val="clear"/>
            <w:tcMar>
              <w:bottom w:w="4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require our executive officers and directors to hold shares of our common stock in order to align their long-term interests with those of our stockholders; see “— Minimum Stock Ownership Requirements”.</w:t>
            </w:r>
          </w:p>
        </w:tc>
        <w:tc>
          <w:tcPr>
            <w:tcW w:w="60" w:type="dxa"/>
            <w:tcBorders/>
            <w:shd w:fill="auto" w:val="clear"/>
            <w:vAlign w:val="center"/>
          </w:tcPr>
          <w:p>
            <w:pPr>
              <w:pStyle w:val="TableContents"/>
              <w:spacing w:before="0" w:after="283"/>
              <w:rPr/>
            </w:pPr>
            <w:r>
              <w:rPr/>
              <w:t> </w:t>
            </w:r>
          </w:p>
        </w:tc>
        <w:tc>
          <w:tcPr>
            <w:tcW w:w="330" w:type="dxa"/>
            <w:tcBorders>
              <w:bottom w:val="single" w:sz="2" w:space="0" w:color="000000"/>
            </w:tcBorders>
            <w:shd w:fill="EFF6EA" w:val="clear"/>
            <w:tcMar>
              <w:bottom w:w="40" w:type="dxa"/>
            </w:tcMar>
            <w:vAlign w:val="center"/>
          </w:tcPr>
          <w:p>
            <w:pPr>
              <w:pStyle w:val="TableContents"/>
              <w:spacing w:before="0" w:after="283"/>
              <w:rPr/>
            </w:pPr>
            <w:r>
              <w:rPr/>
              <w:drawing>
                <wp:inline distT="0" distB="0" distL="0" distR="0">
                  <wp:extent cx="209550" cy="200025"/>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embed="rId164"/>
                          <a:stretch>
                            <a:fillRect/>
                          </a:stretch>
                        </pic:blipFill>
                        <pic:spPr bwMode="auto">
                          <a:xfrm>
                            <a:off x="0" y="0"/>
                            <a:ext cx="209550" cy="200025"/>
                          </a:xfrm>
                          <a:prstGeom prst="rect">
                            <a:avLst/>
                          </a:prstGeom>
                        </pic:spPr>
                      </pic:pic>
                    </a:graphicData>
                  </a:graphic>
                </wp:inline>
              </w:drawing>
            </w:r>
          </w:p>
        </w:tc>
        <w:tc>
          <w:tcPr>
            <w:tcW w:w="3220" w:type="dxa"/>
            <w:tcBorders>
              <w:bottom w:val="single" w:sz="2" w:space="0" w:color="000000"/>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prohibit the repricing of outstanding stock options without stockholder approval.</w:t>
            </w:r>
          </w:p>
        </w:tc>
      </w:tr>
      <w:tr>
        <w:trPr/>
        <w:tc>
          <w:tcPr>
            <w:tcW w:w="345" w:type="dxa"/>
            <w:tcBorders>
              <w:bottom w:val="single" w:sz="2" w:space="0" w:color="000000"/>
            </w:tcBorders>
            <w:shd w:fill="EFF6EA" w:val="clear"/>
            <w:tcMar>
              <w:bottom w:w="40" w:type="dxa"/>
            </w:tcMar>
            <w:vAlign w:val="center"/>
          </w:tcPr>
          <w:p>
            <w:pPr>
              <w:pStyle w:val="TableContents"/>
              <w:spacing w:before="0" w:after="283"/>
              <w:rPr/>
            </w:pPr>
            <w:r>
              <w:rPr/>
              <w:drawing>
                <wp:inline distT="0" distB="0" distL="0" distR="0">
                  <wp:extent cx="209550" cy="200025"/>
                  <wp:effectExtent l="0" t="0" r="0" b="0"/>
                  <wp:docPr id="16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4" descr=""/>
                          <pic:cNvPicPr>
                            <a:picLocks noChangeAspect="1" noChangeArrowheads="1"/>
                          </pic:cNvPicPr>
                        </pic:nvPicPr>
                        <pic:blipFill>
                          <a:blip r:embed="rId165"/>
                          <a:stretch>
                            <a:fillRect/>
                          </a:stretch>
                        </pic:blipFill>
                        <pic:spPr bwMode="auto">
                          <a:xfrm>
                            <a:off x="0" y="0"/>
                            <a:ext cx="209550" cy="200025"/>
                          </a:xfrm>
                          <a:prstGeom prst="rect">
                            <a:avLst/>
                          </a:prstGeom>
                        </pic:spPr>
                      </pic:pic>
                    </a:graphicData>
                  </a:graphic>
                </wp:inline>
              </w:drawing>
            </w:r>
          </w:p>
        </w:tc>
        <w:tc>
          <w:tcPr>
            <w:tcW w:w="6250" w:type="dxa"/>
            <w:tcBorders>
              <w:bottom w:val="single" w:sz="2" w:space="0" w:color="000000"/>
            </w:tcBorders>
            <w:shd w:fill="auto" w:val="clear"/>
            <w:tcMar>
              <w:bottom w:w="4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have double-trigger vesting of outstanding equity awards following covered transactions under our employment arrangements with our executive officers. See “Summary Compensation Table—Narrative Disclosure to Summary Compensation Table—Covered Transaction”.</w:t>
            </w:r>
          </w:p>
        </w:tc>
        <w:tc>
          <w:tcPr>
            <w:tcW w:w="60" w:type="dxa"/>
            <w:tcBorders/>
            <w:shd w:fill="auto" w:val="clear"/>
            <w:vAlign w:val="center"/>
          </w:tcPr>
          <w:p>
            <w:pPr>
              <w:pStyle w:val="TableContents"/>
              <w:spacing w:before="0" w:after="283"/>
              <w:rPr/>
            </w:pPr>
            <w:r>
              <w:rPr/>
              <w:t> </w:t>
            </w:r>
          </w:p>
        </w:tc>
        <w:tc>
          <w:tcPr>
            <w:tcW w:w="330" w:type="dxa"/>
            <w:tcBorders>
              <w:bottom w:val="single" w:sz="12" w:space="0" w:color="7CBC3E"/>
            </w:tcBorders>
            <w:shd w:fill="EFF6EA" w:val="clear"/>
            <w:tcMar>
              <w:bottom w:w="40" w:type="dxa"/>
            </w:tcMar>
            <w:vAlign w:val="center"/>
          </w:tcPr>
          <w:p>
            <w:pPr>
              <w:pStyle w:val="TableContents"/>
              <w:spacing w:before="0" w:after="283"/>
              <w:rPr/>
            </w:pPr>
            <w:r>
              <w:rPr/>
              <w:drawing>
                <wp:inline distT="0" distB="0" distL="0" distR="0">
                  <wp:extent cx="209550" cy="200025"/>
                  <wp:effectExtent l="0" t="0" r="0" b="0"/>
                  <wp:docPr id="16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5" descr=""/>
                          <pic:cNvPicPr>
                            <a:picLocks noChangeAspect="1" noChangeArrowheads="1"/>
                          </pic:cNvPicPr>
                        </pic:nvPicPr>
                        <pic:blipFill>
                          <a:blip r:embed="rId166"/>
                          <a:stretch>
                            <a:fillRect/>
                          </a:stretch>
                        </pic:blipFill>
                        <pic:spPr bwMode="auto">
                          <a:xfrm>
                            <a:off x="0" y="0"/>
                            <a:ext cx="209550" cy="200025"/>
                          </a:xfrm>
                          <a:prstGeom prst="rect">
                            <a:avLst/>
                          </a:prstGeom>
                        </pic:spPr>
                      </pic:pic>
                    </a:graphicData>
                  </a:graphic>
                </wp:inline>
              </w:drawing>
            </w:r>
          </w:p>
        </w:tc>
        <w:tc>
          <w:tcPr>
            <w:tcW w:w="3220" w:type="dxa"/>
            <w:tcBorders>
              <w:bottom w:val="single" w:sz="12" w:space="0" w:color="7CBC3E"/>
            </w:tcBorders>
            <w:shd w:fill="auto" w:val="clear"/>
            <w:tcMar>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approved by stockholders, the 2023 Plan does not include an “evergreen” feature.</w:t>
            </w:r>
          </w:p>
        </w:tc>
      </w:tr>
      <w:tr>
        <w:trPr/>
        <w:tc>
          <w:tcPr>
            <w:tcW w:w="345" w:type="dxa"/>
            <w:tcBorders>
              <w:bottom w:val="single" w:sz="2" w:space="0" w:color="000000"/>
            </w:tcBorders>
            <w:shd w:fill="EFF6EA" w:val="clear"/>
            <w:tcMar>
              <w:bottom w:w="40" w:type="dxa"/>
            </w:tcMar>
            <w:vAlign w:val="center"/>
          </w:tcPr>
          <w:p>
            <w:pPr>
              <w:pStyle w:val="TableContents"/>
              <w:spacing w:before="0" w:after="283"/>
              <w:rPr/>
            </w:pPr>
            <w:r>
              <w:rPr/>
              <w:drawing>
                <wp:inline distT="0" distB="0" distL="0" distR="0">
                  <wp:extent cx="209550" cy="200025"/>
                  <wp:effectExtent l="0" t="0" r="0" b="0"/>
                  <wp:docPr id="16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6" descr=""/>
                          <pic:cNvPicPr>
                            <a:picLocks noChangeAspect="1" noChangeArrowheads="1"/>
                          </pic:cNvPicPr>
                        </pic:nvPicPr>
                        <pic:blipFill>
                          <a:blip r:embed="rId167"/>
                          <a:stretch>
                            <a:fillRect/>
                          </a:stretch>
                        </pic:blipFill>
                        <pic:spPr bwMode="auto">
                          <a:xfrm>
                            <a:off x="0" y="0"/>
                            <a:ext cx="209550" cy="200025"/>
                          </a:xfrm>
                          <a:prstGeom prst="rect">
                            <a:avLst/>
                          </a:prstGeom>
                        </pic:spPr>
                      </pic:pic>
                    </a:graphicData>
                  </a:graphic>
                </wp:inline>
              </w:drawing>
            </w:r>
          </w:p>
        </w:tc>
        <w:tc>
          <w:tcPr>
            <w:tcW w:w="6250" w:type="dxa"/>
            <w:tcBorders>
              <w:bottom w:val="single" w:sz="2" w:space="0" w:color="000000"/>
            </w:tcBorders>
            <w:shd w:fill="auto" w:val="clear"/>
            <w:tcMar>
              <w:bottom w:w="4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have established a long-term incentive program applicable to all current employees, including our executive officers, to further tie compensation to performance and focus employee efforts on corporate goals and objectives; see “—Equity Compensation—Annual Equity Grants in Fiscal 2022” and “– Fiscal 2023 Compensation – Equity Grants.”</w:t>
            </w:r>
          </w:p>
        </w:tc>
        <w:tc>
          <w:tcPr>
            <w:tcW w:w="6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3220" w:type="dxa"/>
            <w:tcBorders/>
            <w:shd w:fill="auto" w:val="clear"/>
            <w:vAlign w:val="center"/>
          </w:tcPr>
          <w:p>
            <w:pPr>
              <w:pStyle w:val="TableContents"/>
              <w:spacing w:before="0" w:after="283"/>
              <w:rPr/>
            </w:pPr>
            <w:r>
              <w:rPr/>
              <w:t> </w:t>
            </w:r>
          </w:p>
        </w:tc>
      </w:tr>
      <w:tr>
        <w:trPr/>
        <w:tc>
          <w:tcPr>
            <w:tcW w:w="345" w:type="dxa"/>
            <w:tcBorders>
              <w:bottom w:val="single" w:sz="12" w:space="0" w:color="7CBC3E"/>
            </w:tcBorders>
            <w:shd w:fill="EFF6EA" w:val="clear"/>
            <w:tcMar>
              <w:bottom w:w="40" w:type="dxa"/>
            </w:tcMar>
            <w:vAlign w:val="center"/>
          </w:tcPr>
          <w:p>
            <w:pPr>
              <w:pStyle w:val="TableContents"/>
              <w:spacing w:before="0" w:after="283"/>
              <w:rPr/>
            </w:pPr>
            <w:r>
              <w:rPr/>
              <w:drawing>
                <wp:inline distT="0" distB="0" distL="0" distR="0">
                  <wp:extent cx="209550" cy="200025"/>
                  <wp:effectExtent l="0" t="0" r="0" b="0"/>
                  <wp:docPr id="1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7" descr=""/>
                          <pic:cNvPicPr>
                            <a:picLocks noChangeAspect="1" noChangeArrowheads="1"/>
                          </pic:cNvPicPr>
                        </pic:nvPicPr>
                        <pic:blipFill>
                          <a:blip r:embed="rId168"/>
                          <a:stretch>
                            <a:fillRect/>
                          </a:stretch>
                        </pic:blipFill>
                        <pic:spPr bwMode="auto">
                          <a:xfrm>
                            <a:off x="0" y="0"/>
                            <a:ext cx="209550" cy="200025"/>
                          </a:xfrm>
                          <a:prstGeom prst="rect">
                            <a:avLst/>
                          </a:prstGeom>
                        </pic:spPr>
                      </pic:pic>
                    </a:graphicData>
                  </a:graphic>
                </wp:inline>
              </w:drawing>
            </w:r>
          </w:p>
        </w:tc>
        <w:tc>
          <w:tcPr>
            <w:tcW w:w="6250" w:type="dxa"/>
            <w:tcBorders>
              <w:bottom w:val="single" w:sz="12" w:space="0" w:color="7CBC3E"/>
            </w:tcBorders>
            <w:shd w:fill="auto" w:val="clear"/>
            <w:tcMar>
              <w:bottom w:w="4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hold an annual say-on-pay vote for stockholders.</w:t>
            </w:r>
          </w:p>
        </w:tc>
        <w:tc>
          <w:tcPr>
            <w:tcW w:w="6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322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color w:val="7CBC3E"/>
        </w:rPr>
      </w:pPr>
      <w:r>
        <w:rPr>
          <w:caps w:val="false"/>
          <w:smallCaps w:val="false"/>
          <w:color w:val="7CBC3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Roles in Determining Compensation</w:t>
      </w:r>
    </w:p>
    <w:p>
      <w:pPr>
        <w:pStyle w:val="TextBody"/>
        <w:spacing w:before="0" w:after="0"/>
        <w:ind w:left="0" w:right="0" w:hanging="0"/>
        <w:rPr>
          <w:caps w:val="false"/>
          <w:smallCaps w:val="false"/>
          <w:color w:val="7CBC3E"/>
        </w:rPr>
      </w:pPr>
      <w:r>
        <w:rPr>
          <w:caps w:val="false"/>
          <w:smallCaps w:val="false"/>
          <w:color w:val="7CBC3E"/>
        </w:rPr>
        <w:t> </w:t>
      </w:r>
    </w:p>
    <w:p>
      <w:pPr>
        <w:pStyle w:val="Heading5"/>
        <w:spacing w:before="0" w:after="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Compensation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has delegated to the Compensation Committee the responsibility to ensure that total compensation paid to our executive officers, including our named executive officers, is consistent with our compensation policy and objectives. The Compensation Committee oversees and approves all compensation arrangements and actions for our executive officers, including our named executive officers. While the Compensation Committee draws on a number of resources, including input from the Board, the Chief Executive Officer, and its independent compensation consultants, to make decisions regarding our executive compensation program, ultimate decision-making authority rests with the Compensation Committee. The Compensation Committee retains discretion over base salaries, annual bonuses, and equity compensation for executive officers. The Compensation Committee relies upon the judgment of its members in making compensation decisions, after reviewing our corporate performance and carefully evaluating an executive’s performance during the year against established goals, operational performance, and business responsibilities. In addition, the Compensation Committee utilizes discretion in the assessment process to respond to and adjust to a dynamic business environment.</w:t>
      </w:r>
    </w:p>
    <w:p>
      <w:pPr>
        <w:pStyle w:val="TextBody"/>
        <w:spacing w:before="0" w:after="0"/>
        <w:ind w:left="0" w:right="0" w:hanging="0"/>
        <w:jc w:val="both"/>
        <w:rPr>
          <w:caps w:val="false"/>
          <w:smallCaps w:val="false"/>
        </w:rPr>
      </w:pPr>
      <w:r>
        <w:rPr>
          <w:caps w:val="false"/>
          <w:smallCaps w:val="false"/>
        </w:rPr>
        <w:t> </w:t>
      </w:r>
    </w:p>
    <w:p>
      <w:pPr>
        <w:pStyle w:val="Heading5"/>
        <w:spacing w:before="0" w:after="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Compensation Consultant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retains the services of an independent, external compensation consultant, Aon’s Human Capital Solutions Practice, a division of Aon plc (Aon). The mandate of the consultant is to assist the Compensation Committee in its review of executive and director compensation practices, including the competitiveness of pay levels, executive compensation design, benchmarking with our peers in the industry, and other technical considerations, including tax- and accounting-related matters. The Compensation Committee annually evaluates Aon’s performance and determines whether to engage Aon or another compensation consultant and has the final authority to engage and terminate Aon’s services. In 2022, the cost of Aon’s consulting services related to executive compensation, director compensation and equity plan design and considerations provided to the Compensation Committee was approximately $195,000. In addition, in 2022, management also engaged Aon to provide survey data relating to non-executive employee compensation and services and other performance analytics and affiliates of Aon. The aggregate cost of such other consulting services provided in 2022 by Aon and other affiliates of Aon (not related to Aon’s executive compensation, director compensation and equity consulting services provided to the Compensation Committee) was approximately $24,000.</w:t>
      </w:r>
    </w:p>
    <w:p>
      <w:pPr>
        <w:pStyle w:val="TextBody"/>
        <w:spacing w:before="0" w:after="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 </w:t>
      </w:r>
      <w:r>
        <w:rPr>
          <w:rFonts w:ascii="Arial;Helvetica;Sans-Serif" w:hAnsi="Arial;Helvetica;Sans-Serif"/>
          <w:b/>
          <w:i w:val="false"/>
          <w:caps w:val="false"/>
          <w:smallCaps w:val="false"/>
          <w:color w:val="7ABD3E"/>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49</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Compensation Committee has assessed the independence of Aon consistent with Nasdaq listing standards and has concluded that the engagement of Aon does not raise any conflict of interest.</w:t>
      </w:r>
    </w:p>
    <w:p>
      <w:pPr>
        <w:pStyle w:val="TextBody"/>
        <w:spacing w:before="0" w:after="0"/>
        <w:ind w:left="0" w:right="0" w:hanging="0"/>
        <w:jc w:val="both"/>
        <w:rPr>
          <w:caps w:val="false"/>
          <w:smallCaps w:val="false"/>
        </w:rPr>
      </w:pPr>
      <w:r>
        <w:rPr>
          <w:caps w:val="false"/>
          <w:smallCaps w:val="false"/>
        </w:rPr>
        <w:t> </w:t>
      </w:r>
    </w:p>
    <w:p>
      <w:pPr>
        <w:pStyle w:val="Heading5"/>
        <w:spacing w:before="0" w:after="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Chief Executive Officer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Chief Executive Officer attends Compensation Committee meetings and works with the Compensation Committee Chairman and Aon to develop compensation recommendations for the executive officers (excluding the Chief Executive Officer), based upon individual experience and breadth of knowledge, internal considerations, individual performance during the fiscal year, competitive market considerations, and other factors deemed relevant by the Compensation Committee. The recommendations are then submitted to the Compensation Committee for review and consideration. The Compensation Committee works directly with Aon and the other non-employee directors of the Board to evaluate the performance of the Chief Executive Officer and determine compensation actions for the Chief Executive Officer.</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Defining and Comparing Compensation to Peer Group Benchmarks</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While we do not establish compensation levels based solely on benchmarking, pay practices at other companies are an important factor that the Compensation Committee considers in assessing the reasonableness of compensation and ensuring that our compensation practices are competitive in the marketplace. Market data is one element considered by the Compensation Committee when making executive compensation decisions, but the Compensation Committee does not set compensation levels based solely on market data. Rather, the Compensation Committee reviews the 25</w:t>
      </w:r>
      <w:r>
        <w:rPr>
          <w:rFonts w:ascii="Arial;Helvetica;Sans-Serif" w:hAnsi="Arial;Helvetica;Sans-Serif"/>
          <w:b w:val="false"/>
          <w:i w:val="false"/>
          <w:caps w:val="false"/>
          <w:smallCaps w:val="false"/>
          <w:position w:val="6"/>
          <w:sz w:val="14"/>
          <w:sz w:val="18"/>
        </w:rPr>
        <w:t>th</w:t>
      </w:r>
      <w:r>
        <w:rPr>
          <w:rFonts w:ascii="Arial;Helvetica;Sans-Serif" w:hAnsi="Arial;Helvetica;Sans-Serif"/>
          <w:b w:val="false"/>
          <w:i w:val="false"/>
          <w:caps w:val="false"/>
          <w:smallCaps w:val="false"/>
          <w:sz w:val="18"/>
        </w:rPr>
        <w:t>, 50</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and 75</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percentiles of relevant market data as one frame of reference in making its executive compensation decisions. Final executive compensation decisions reflect a variety of factors, including each executive’s experience, performance rating, the relative importance of the executive’s role within the organization, as well as where each executive’s pay level falls relative to the market data.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order to evaluate the level of compensation for our named executive officers for 2022, our Compensation Committee, using information provided by Aon, established a peer group of publicly traded, national, and regional companies in the biopharmaceutical and biotechnology industries based on a balance of the following criteria:</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1"/>
        <w:gridCol w:w="119"/>
        <w:gridCol w:w="10045"/>
      </w:tblGrid>
      <w:tr>
        <w:trPr/>
        <w:tc>
          <w:tcPr>
            <w:tcW w:w="4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color w:val="7CBC3E"/>
              </w:rPr>
            </w:pPr>
            <w:r>
              <w:rPr>
                <w:color w:val="7CBC3E"/>
              </w:rPr>
              <w:t>•</w:t>
            </w:r>
          </w:p>
        </w:tc>
        <w:tc>
          <w:tcPr>
            <w:tcW w:w="10045" w:type="dxa"/>
            <w:tcBorders/>
            <w:shd w:fill="auto" w:val="clear"/>
            <w:vAlign w:val="center"/>
          </w:tcPr>
          <w:p>
            <w:pPr>
              <w:pStyle w:val="TableContents"/>
              <w:spacing w:before="0" w:after="283"/>
              <w:jc w:val="both"/>
              <w:rPr/>
            </w:pPr>
            <w:r>
              <w:rPr/>
              <w:t>companies with emphasis on orphan pharmaceutical products;</w:t>
            </w:r>
          </w:p>
        </w:tc>
      </w:tr>
      <w:tr>
        <w:trPr/>
        <w:tc>
          <w:tcPr>
            <w:tcW w:w="4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color w:val="7CBC3E"/>
              </w:rPr>
            </w:pPr>
            <w:r>
              <w:rPr>
                <w:color w:val="7CBC3E"/>
              </w:rPr>
              <w:t>•</w:t>
            </w:r>
          </w:p>
        </w:tc>
        <w:tc>
          <w:tcPr>
            <w:tcW w:w="10045" w:type="dxa"/>
            <w:tcBorders/>
            <w:shd w:fill="auto" w:val="clear"/>
            <w:vAlign w:val="center"/>
          </w:tcPr>
          <w:p>
            <w:pPr>
              <w:pStyle w:val="TableContents"/>
              <w:spacing w:before="0" w:after="283"/>
              <w:jc w:val="both"/>
              <w:rPr/>
            </w:pPr>
            <w:r>
              <w:rPr/>
              <w:t>companies with comparable market capitalizations (i.e., in the range of $2.5 billion to $20 billion);</w:t>
            </w:r>
          </w:p>
        </w:tc>
      </w:tr>
      <w:tr>
        <w:trPr/>
        <w:tc>
          <w:tcPr>
            <w:tcW w:w="4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color w:val="7CBC3E"/>
              </w:rPr>
            </w:pPr>
            <w:r>
              <w:rPr>
                <w:color w:val="7CBC3E"/>
              </w:rPr>
              <w:t>•</w:t>
            </w:r>
          </w:p>
        </w:tc>
        <w:tc>
          <w:tcPr>
            <w:tcW w:w="10045" w:type="dxa"/>
            <w:tcBorders/>
            <w:shd w:fill="auto" w:val="clear"/>
            <w:vAlign w:val="center"/>
          </w:tcPr>
          <w:p>
            <w:pPr>
              <w:pStyle w:val="TableContents"/>
              <w:spacing w:before="0" w:after="283"/>
              <w:jc w:val="both"/>
              <w:rPr/>
            </w:pPr>
            <w:r>
              <w:rPr/>
              <w:t>companies with revenue of between $100 million and $1 billion; and</w:t>
            </w:r>
          </w:p>
        </w:tc>
      </w:tr>
      <w:tr>
        <w:trPr/>
        <w:tc>
          <w:tcPr>
            <w:tcW w:w="4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color w:val="7CBC3E"/>
              </w:rPr>
            </w:pPr>
            <w:r>
              <w:rPr>
                <w:color w:val="7CBC3E"/>
              </w:rPr>
              <w:t>•</w:t>
            </w:r>
          </w:p>
        </w:tc>
        <w:tc>
          <w:tcPr>
            <w:tcW w:w="10045" w:type="dxa"/>
            <w:tcBorders/>
            <w:shd w:fill="auto" w:val="clear"/>
            <w:vAlign w:val="center"/>
          </w:tcPr>
          <w:p>
            <w:pPr>
              <w:pStyle w:val="TableContents"/>
              <w:spacing w:before="0" w:after="283"/>
              <w:jc w:val="both"/>
              <w:rPr/>
            </w:pPr>
            <w:r>
              <w:rPr/>
              <w:t>companies with headcounts between 300 to 3,000 employees.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2022 peer group is comprised of the following 20 companies in the pharmaceutical and biotechnology industries, reflecting the addition of Biohaven Pharmaceutical Holding Company Ltd., BioMarin Pharmaceutical Inc., Insmed Incorporated, Jazz Pharmaceuticals plc and United Therapeutics Corporation and the removal of bluebird bio, Inc., GW Pharmaceuticals plc, Intercept Pharmaceuticals Inc. and Theravance Biopharma, Inc. from our 2021 peer group.</w:t>
      </w:r>
    </w:p>
    <w:p>
      <w:pPr>
        <w:pStyle w:val="TextBody"/>
        <w:spacing w:before="0" w:after="0"/>
        <w:ind w:left="0" w:right="0" w:hanging="0"/>
        <w:jc w:val="both"/>
        <w:rPr>
          <w:caps w:val="false"/>
          <w:smallCaps w:val="false"/>
        </w:rPr>
      </w:pPr>
      <w:r>
        <w:rPr>
          <w:caps w:val="false"/>
          <w:smallCaps w:val="false"/>
        </w:rPr>
        <w:t> </w:t>
      </w:r>
    </w:p>
    <w:tbl>
      <w:tblPr>
        <w:tblW w:w="9375" w:type="dxa"/>
        <w:jc w:val="left"/>
        <w:tblInd w:w="0" w:type="dxa"/>
        <w:tblCellMar>
          <w:top w:w="40" w:type="dxa"/>
          <w:left w:w="0" w:type="dxa"/>
          <w:bottom w:w="0" w:type="dxa"/>
          <w:right w:w="0" w:type="dxa"/>
        </w:tblCellMar>
      </w:tblPr>
      <w:tblGrid>
        <w:gridCol w:w="4010"/>
        <w:gridCol w:w="2660"/>
        <w:gridCol w:w="2705"/>
      </w:tblGrid>
      <w:tr>
        <w:trPr/>
        <w:tc>
          <w:tcPr>
            <w:tcW w:w="4010" w:type="dxa"/>
            <w:tcBorders>
              <w:top w:val="single" w:sz="12" w:space="0" w:color="7CBC3E"/>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ACADIA Pharmaceuticals Inc.</w:t>
            </w:r>
          </w:p>
        </w:tc>
        <w:tc>
          <w:tcPr>
            <w:tcW w:w="2660" w:type="dxa"/>
            <w:tcBorders>
              <w:top w:val="single" w:sz="12" w:space="0" w:color="7CBC3E"/>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Blueprint Medicines Corporation</w:t>
            </w:r>
          </w:p>
        </w:tc>
        <w:tc>
          <w:tcPr>
            <w:tcW w:w="2705" w:type="dxa"/>
            <w:tcBorders>
              <w:top w:val="single" w:sz="12" w:space="0" w:color="7CBC3E"/>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Jazz Pharmaceuticals plc</w:t>
            </w:r>
          </w:p>
        </w:tc>
      </w:tr>
      <w:tr>
        <w:trPr/>
        <w:tc>
          <w:tcPr>
            <w:tcW w:w="4010"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Acceleron Pharma, Inc.</w:t>
            </w:r>
          </w:p>
        </w:tc>
        <w:tc>
          <w:tcPr>
            <w:tcW w:w="2660"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Exelixis Inc.</w:t>
            </w:r>
          </w:p>
        </w:tc>
        <w:tc>
          <w:tcPr>
            <w:tcW w:w="2705"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Nektar Therapeutics</w:t>
            </w:r>
          </w:p>
        </w:tc>
      </w:tr>
      <w:tr>
        <w:trPr/>
        <w:tc>
          <w:tcPr>
            <w:tcW w:w="4010" w:type="dxa"/>
            <w:tcBorders/>
            <w:shd w:fill="auto"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Agios Pharmaceuticals, Inc.</w:t>
            </w:r>
          </w:p>
        </w:tc>
        <w:tc>
          <w:tcPr>
            <w:tcW w:w="2660" w:type="dxa"/>
            <w:tcBorders/>
            <w:shd w:fill="auto"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FibroGen, Inc.</w:t>
            </w:r>
          </w:p>
        </w:tc>
        <w:tc>
          <w:tcPr>
            <w:tcW w:w="2705" w:type="dxa"/>
            <w:tcBorders/>
            <w:shd w:fill="auto"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Neurocrine Biosciences, Inc.</w:t>
            </w:r>
          </w:p>
        </w:tc>
      </w:tr>
      <w:tr>
        <w:trPr/>
        <w:tc>
          <w:tcPr>
            <w:tcW w:w="4010"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Alnylam Pharmaceuticals Inc.</w:t>
            </w:r>
          </w:p>
        </w:tc>
        <w:tc>
          <w:tcPr>
            <w:tcW w:w="2660"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Global Blood Therapeutics, Inc.</w:t>
            </w:r>
          </w:p>
        </w:tc>
        <w:tc>
          <w:tcPr>
            <w:tcW w:w="2705"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PTC Therapeutics, Inc.</w:t>
            </w:r>
          </w:p>
        </w:tc>
      </w:tr>
      <w:tr>
        <w:trPr/>
        <w:tc>
          <w:tcPr>
            <w:tcW w:w="4010" w:type="dxa"/>
            <w:tcBorders/>
            <w:shd w:fill="auto"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Amicus Therapeutics</w:t>
            </w:r>
          </w:p>
        </w:tc>
        <w:tc>
          <w:tcPr>
            <w:tcW w:w="2660" w:type="dxa"/>
            <w:tcBorders/>
            <w:shd w:fill="auto"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Halozyme Therapeutics, Inc.</w:t>
            </w:r>
          </w:p>
        </w:tc>
        <w:tc>
          <w:tcPr>
            <w:tcW w:w="2705" w:type="dxa"/>
            <w:tcBorders/>
            <w:shd w:fill="auto"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Sarepta Therapeutics, Inc.</w:t>
            </w:r>
          </w:p>
        </w:tc>
      </w:tr>
      <w:tr>
        <w:trPr/>
        <w:tc>
          <w:tcPr>
            <w:tcW w:w="4010"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Biohaven Pharmaceutical Holding Company Ltd.</w:t>
            </w:r>
          </w:p>
        </w:tc>
        <w:tc>
          <w:tcPr>
            <w:tcW w:w="2660"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Insmed Incorporated</w:t>
            </w:r>
          </w:p>
        </w:tc>
        <w:tc>
          <w:tcPr>
            <w:tcW w:w="2705"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United Therapeutics Corporation</w:t>
            </w:r>
          </w:p>
        </w:tc>
      </w:tr>
      <w:tr>
        <w:trPr/>
        <w:tc>
          <w:tcPr>
            <w:tcW w:w="4010" w:type="dxa"/>
            <w:tcBorders>
              <w:bottom w:val="single" w:sz="12" w:space="0" w:color="7CBC3E"/>
            </w:tcBorders>
            <w:shd w:fill="auto" w:val="clear"/>
            <w:tcMar>
              <w:top w:w="0" w:type="dxa"/>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Biomarin Pharmaceutical Inc.</w:t>
            </w:r>
          </w:p>
        </w:tc>
        <w:tc>
          <w:tcPr>
            <w:tcW w:w="2660" w:type="dxa"/>
            <w:tcBorders>
              <w:bottom w:val="single" w:sz="12" w:space="0" w:color="7CBC3E"/>
            </w:tcBorders>
            <w:shd w:fill="auto" w:val="clear"/>
            <w:tcMar>
              <w:top w:w="0" w:type="dxa"/>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Ionis Pharmaceuticals, Inc.</w:t>
            </w:r>
          </w:p>
        </w:tc>
        <w:tc>
          <w:tcPr>
            <w:tcW w:w="2705" w:type="dxa"/>
            <w:tcBorders>
              <w:bottom w:val="single" w:sz="12" w:space="0" w:color="7CBC3E"/>
            </w:tcBorders>
            <w:shd w:fill="auto" w:val="clear"/>
            <w:tcMar>
              <w:top w:w="0" w:type="dxa"/>
              <w:bottom w:w="40" w:type="dxa"/>
            </w:tcM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the compensation practices of our 2022 peer group provided us with appropriate benchmarks for evaluating the compensation of our named executive officers for 2022 because of the developmental, market and organizational characteristics we shared with our peer group. At the time that we selected our 2022 peer group we were at approximately the 67</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percentile of the peer group in terms of market capitalization, the 85</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percentile in terms of employees headcount and the 42</w:t>
      </w:r>
      <w:r>
        <w:rPr>
          <w:rFonts w:ascii="Arial;Helvetica;Sans-Serif" w:hAnsi="Arial;Helvetica;Sans-Serif"/>
          <w:b w:val="false"/>
          <w:i w:val="false"/>
          <w:caps w:val="false"/>
          <w:smallCaps w:val="false"/>
          <w:position w:val="6"/>
          <w:sz w:val="14"/>
          <w:sz w:val="18"/>
        </w:rPr>
        <w:t xml:space="preserve">nd </w:t>
      </w:r>
      <w:r>
        <w:rPr>
          <w:rFonts w:ascii="Arial;Helvetica;Sans-Serif" w:hAnsi="Arial;Helvetica;Sans-Serif"/>
          <w:b w:val="false"/>
          <w:i w:val="false"/>
          <w:caps w:val="false"/>
          <w:smallCaps w:val="false"/>
          <w:sz w:val="18"/>
        </w:rPr>
        <w:t>percentile in terms of revenue.</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Annual Performance Reviews</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Compensation Committee conducts an annual performance review of our named executive officers and approves their compensation. By the end of the first quarter of each year, base salaries and equity awards for the fiscal year are approved and, for purposes of determining potential payments under our corporate bonus plan (the bonus plan), target bonuses, annual corporate goals and individual performance objectives are established and set forth in writing. After the end of each year, our Compensation Committee determines the amounts that will be paid to our executive officers under our bonus plan after carefully (1) reviewing overall corporate performance; (2) evaluating each named executive officer’s annual performance against established corporate goals; and (3) in the case of executive officers other than our Chief Executive Officer, reviewing the achievement of individual performance objectives.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 its first regularly scheduled meeting each year, our Compensation Committee, with input from the Board, evaluates our Chief Executive Officer’s individual performance, determines whether to adjust his base salary, and determines the amount of equity awards and his bonus, if any, under our bonus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Compensation Committee may also review and adjust the compensation of our executive officers throughout the course of the year.</w:t>
      </w:r>
    </w:p>
    <w:p>
      <w:pPr>
        <w:pStyle w:val="TextBody"/>
        <w:spacing w:before="0" w:after="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 </w:t>
      </w:r>
      <w:r>
        <w:rPr>
          <w:rFonts w:ascii="Arial;Helvetica;Sans-Serif" w:hAnsi="Arial;Helvetica;Sans-Serif"/>
          <w:b/>
          <w:i w:val="false"/>
          <w:caps w:val="false"/>
          <w:smallCaps w:val="false"/>
          <w:color w:val="7ABD3E"/>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50</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Base Salary</w:t>
      </w:r>
    </w:p>
    <w:p>
      <w:pPr>
        <w:pStyle w:val="TextBody"/>
        <w:spacing w:before="0" w:after="0"/>
        <w:ind w:left="0" w:right="0" w:hanging="0"/>
        <w:rPr>
          <w:caps w:val="false"/>
          <w:smallCaps w:val="false"/>
          <w:color w:val="7CBC3E"/>
        </w:rPr>
      </w:pPr>
      <w:r>
        <w:rPr>
          <w:caps w:val="false"/>
          <w:smallCaps w:val="false"/>
          <w:color w:val="7CBC3E"/>
        </w:rPr>
        <w:t> </w:t>
      </w:r>
    </w:p>
    <w:p>
      <w:pPr>
        <w:pStyle w:val="Heading5"/>
        <w:spacing w:before="0" w:after="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believes it is important to provide adequate fixed compensation to our executive officers working in a highly volatile and competitive industry. The Compensation Committee’s choice of actual pay levels versus our competitive market reflects consideration of our stockholders’ interests in paying what is necessary to achieve our corporate goals, while setting competitive levels which are essential to retain these key executives. In determining appropriate base salary levels for a given executive officer, the Compensation Committee considers the following factors:</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10"/>
        <w:gridCol w:w="10058"/>
      </w:tblGrid>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CBC3E"/>
              </w:rPr>
            </w:pPr>
            <w:r>
              <w:rPr>
                <w:color w:val="7CBC3E"/>
              </w:rPr>
              <w:t>•</w:t>
            </w:r>
          </w:p>
        </w:tc>
        <w:tc>
          <w:tcPr>
            <w:tcW w:w="10058" w:type="dxa"/>
            <w:tcBorders/>
            <w:shd w:fill="auto" w:val="clear"/>
            <w:vAlign w:val="center"/>
          </w:tcPr>
          <w:p>
            <w:pPr>
              <w:pStyle w:val="TableContents"/>
              <w:spacing w:before="0" w:after="283"/>
              <w:jc w:val="both"/>
              <w:rPr/>
            </w:pPr>
            <w:r>
              <w:rPr/>
              <w:t>individual performance of, and overall management of the function by, the executive, as well as our overall corporate performance, during the prior year;</w:t>
            </w:r>
          </w:p>
        </w:tc>
      </w:tr>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CBC3E"/>
              </w:rPr>
            </w:pPr>
            <w:r>
              <w:rPr>
                <w:color w:val="7CBC3E"/>
              </w:rPr>
              <w:t>•</w:t>
            </w:r>
          </w:p>
        </w:tc>
        <w:tc>
          <w:tcPr>
            <w:tcW w:w="10058" w:type="dxa"/>
            <w:tcBorders/>
            <w:shd w:fill="auto" w:val="clear"/>
            <w:vAlign w:val="center"/>
          </w:tcPr>
          <w:p>
            <w:pPr>
              <w:pStyle w:val="TableContents"/>
              <w:spacing w:before="0" w:after="283"/>
              <w:jc w:val="both"/>
              <w:rPr/>
            </w:pPr>
            <w:r>
              <w:rPr/>
              <w:t>level of responsibility, including breadth, scope, and complexity of the position;</w:t>
            </w:r>
          </w:p>
        </w:tc>
      </w:tr>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CBC3E"/>
              </w:rPr>
            </w:pPr>
            <w:r>
              <w:rPr>
                <w:color w:val="7CBC3E"/>
              </w:rPr>
              <w:t>•</w:t>
            </w:r>
          </w:p>
        </w:tc>
        <w:tc>
          <w:tcPr>
            <w:tcW w:w="10058" w:type="dxa"/>
            <w:tcBorders/>
            <w:shd w:fill="auto" w:val="clear"/>
            <w:vAlign w:val="center"/>
          </w:tcPr>
          <w:p>
            <w:pPr>
              <w:pStyle w:val="TableContents"/>
              <w:spacing w:before="0" w:after="283"/>
              <w:jc w:val="both"/>
              <w:rPr/>
            </w:pPr>
            <w:r>
              <w:rPr/>
              <w:t>level of experience and expertise of the executive;</w:t>
            </w:r>
          </w:p>
        </w:tc>
      </w:tr>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CBC3E"/>
              </w:rPr>
            </w:pPr>
            <w:r>
              <w:rPr>
                <w:color w:val="7CBC3E"/>
              </w:rPr>
              <w:t>•</w:t>
            </w:r>
          </w:p>
        </w:tc>
        <w:tc>
          <w:tcPr>
            <w:tcW w:w="10058" w:type="dxa"/>
            <w:tcBorders/>
            <w:shd w:fill="auto" w:val="clear"/>
            <w:vAlign w:val="center"/>
          </w:tcPr>
          <w:p>
            <w:pPr>
              <w:pStyle w:val="TableContents"/>
              <w:spacing w:before="0" w:after="283"/>
              <w:jc w:val="both"/>
              <w:rPr/>
            </w:pPr>
            <w:r>
              <w:rPr/>
              <w:t>internal review of the executive’s compensation relative to other executives to ensure internal equity;</w:t>
            </w:r>
          </w:p>
        </w:tc>
      </w:tr>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CBC3E"/>
              </w:rPr>
            </w:pPr>
            <w:r>
              <w:rPr>
                <w:color w:val="7CBC3E"/>
              </w:rPr>
              <w:t>•</w:t>
            </w:r>
          </w:p>
        </w:tc>
        <w:tc>
          <w:tcPr>
            <w:tcW w:w="10058" w:type="dxa"/>
            <w:tcBorders/>
            <w:shd w:fill="auto" w:val="clear"/>
            <w:vAlign w:val="center"/>
          </w:tcPr>
          <w:p>
            <w:pPr>
              <w:pStyle w:val="TableContents"/>
              <w:spacing w:before="0" w:after="283"/>
              <w:jc w:val="both"/>
              <w:rPr/>
            </w:pPr>
            <w:r>
              <w:rPr/>
              <w:t>executive officer compensation levels at other similar companies to ensure competitiveness; and</w:t>
            </w:r>
          </w:p>
        </w:tc>
      </w:tr>
      <w:tr>
        <w:trPr/>
        <w:tc>
          <w:tcPr>
            <w:tcW w:w="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7CBC3E"/>
              </w:rPr>
            </w:pPr>
            <w:r>
              <w:rPr>
                <w:color w:val="7CBC3E"/>
              </w:rPr>
              <w:t>•</w:t>
            </w:r>
          </w:p>
        </w:tc>
        <w:tc>
          <w:tcPr>
            <w:tcW w:w="10058" w:type="dxa"/>
            <w:tcBorders/>
            <w:shd w:fill="auto" w:val="clear"/>
            <w:vAlign w:val="center"/>
          </w:tcPr>
          <w:p>
            <w:pPr>
              <w:pStyle w:val="TableContents"/>
              <w:spacing w:before="0" w:after="283"/>
              <w:jc w:val="both"/>
              <w:rPr/>
            </w:pPr>
            <w:r>
              <w:rPr/>
              <w:t>recruiting and retention market dynamics.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effective date of annual merit increases to base salary is March 1.</w:t>
      </w:r>
    </w:p>
    <w:p>
      <w:pPr>
        <w:pStyle w:val="TextBody"/>
        <w:spacing w:before="0" w:after="0"/>
        <w:ind w:left="0" w:right="0" w:hanging="0"/>
        <w:jc w:val="both"/>
        <w:rPr>
          <w:caps w:val="false"/>
          <w:smallCaps w:val="false"/>
        </w:rPr>
      </w:pPr>
      <w:r>
        <w:rPr>
          <w:caps w:val="false"/>
          <w:smallCaps w:val="false"/>
        </w:rPr>
        <w:t> </w:t>
      </w:r>
    </w:p>
    <w:p>
      <w:pPr>
        <w:pStyle w:val="Heading5"/>
        <w:spacing w:before="0" w:after="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2022 Base Salaries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engaged Aon to conduct a competitive review and analysis of our current executive compensation program relative to our 2022 peer group. Aon prepared an Executive Compensation Assessment report in December 2021 that provided a competitive assessment of our executive compensation program as compared to the 2022 peer group data for base salaries, target total cash compensation, and equity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2022, increases in base salaries for our named executive officers, were 3.2% annualized for Dr. Kakkis, 4.5% annualized for Dr. Bedrosian, 3.5% annualized for Ms. Dier, 3.5% annualized for Mr. Harris and 3.5% annualized for Mr. Pinion. The overall 2022 merit budget was based on an Aon trend report regarding projected market merit spends for 2022. Individual increases in base salaries were also based on achievement of 2021 individual goals.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shows the increases in base salaries for our named executive officers between fiscal 2021 and fiscal 2022:</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40" w:type="dxa"/>
          <w:right w:w="0" w:type="dxa"/>
        </w:tblCellMar>
      </w:tblPr>
      <w:tblGrid>
        <w:gridCol w:w="1816"/>
        <w:gridCol w:w="4375"/>
        <w:gridCol w:w="1493"/>
        <w:gridCol w:w="1493"/>
        <w:gridCol w:w="1028"/>
      </w:tblGrid>
      <w:tr>
        <w:trPr/>
        <w:tc>
          <w:tcPr>
            <w:tcW w:w="1816" w:type="dxa"/>
            <w:tcBorders>
              <w:bottom w:val="single" w:sz="12" w:space="0" w:color="7CBC3E"/>
            </w:tcBorders>
            <w:shd w:fill="auto" w:val="cle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Name</w:t>
            </w:r>
          </w:p>
        </w:tc>
        <w:tc>
          <w:tcPr>
            <w:tcW w:w="4375" w:type="dxa"/>
            <w:tcBorders>
              <w:bottom w:val="single" w:sz="12" w:space="0" w:color="7CBC3E"/>
            </w:tcBorders>
            <w:shd w:fill="auto" w:val="cle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Title</w:t>
            </w:r>
          </w:p>
        </w:tc>
        <w:tc>
          <w:tcPr>
            <w:tcW w:w="1493"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Fiscal 2021</w:t>
              <w:br/>
              <w:t>Base Salary (as of</w:t>
              <w:br/>
              <w:t>December 31, 2021)</w:t>
            </w:r>
          </w:p>
        </w:tc>
        <w:tc>
          <w:tcPr>
            <w:tcW w:w="1493"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Fiscal 2022</w:t>
              <w:br/>
              <w:t>Base Salary (as of</w:t>
              <w:br/>
              <w:t>December 31, 2022)</w:t>
            </w:r>
          </w:p>
        </w:tc>
        <w:tc>
          <w:tcPr>
            <w:tcW w:w="1028"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Percentage</w:t>
              <w:br/>
              <w:t>Increase</w:t>
              <w:br/>
              <w:t>(%)</w:t>
            </w:r>
          </w:p>
        </w:tc>
      </w:tr>
      <w:tr>
        <w:trPr/>
        <w:tc>
          <w:tcPr>
            <w:tcW w:w="1816"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Emil D. Kakkis, M.D., Ph.D. </w:t>
            </w:r>
          </w:p>
        </w:tc>
        <w:tc>
          <w:tcPr>
            <w:tcW w:w="4375"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President and Chief Executive Officer</w:t>
            </w:r>
          </w:p>
        </w:tc>
        <w:tc>
          <w:tcPr>
            <w:tcW w:w="1493"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775,000</w:t>
            </w:r>
          </w:p>
        </w:tc>
        <w:tc>
          <w:tcPr>
            <w:tcW w:w="1493"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800,000</w:t>
            </w:r>
          </w:p>
        </w:tc>
        <w:tc>
          <w:tcPr>
            <w:tcW w:w="1028"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3.2</w:t>
            </w:r>
          </w:p>
        </w:tc>
      </w:tr>
      <w:tr>
        <w:trPr/>
        <w:tc>
          <w:tcPr>
            <w:tcW w:w="1816" w:type="dxa"/>
            <w:tcBorders/>
            <w:shd w:fill="EFF6EA"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Camille L. Bedrosian, M.D. </w:t>
            </w:r>
          </w:p>
        </w:tc>
        <w:tc>
          <w:tcPr>
            <w:tcW w:w="4375" w:type="dxa"/>
            <w:tcBorders/>
            <w:shd w:fill="EFF6EA"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Chief Medical Officer and Executive Vice President</w:t>
            </w:r>
          </w:p>
        </w:tc>
        <w:tc>
          <w:tcPr>
            <w:tcW w:w="1493"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574,000</w:t>
            </w:r>
          </w:p>
        </w:tc>
        <w:tc>
          <w:tcPr>
            <w:tcW w:w="1493"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600,000</w:t>
            </w:r>
          </w:p>
        </w:tc>
        <w:tc>
          <w:tcPr>
            <w:tcW w:w="1028"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4.5</w:t>
            </w:r>
          </w:p>
        </w:tc>
      </w:tr>
      <w:tr>
        <w:trPr/>
        <w:tc>
          <w:tcPr>
            <w:tcW w:w="1816"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Erik Harris</w:t>
            </w:r>
          </w:p>
        </w:tc>
        <w:tc>
          <w:tcPr>
            <w:tcW w:w="4375"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Chief Commercial Officer and Executive Vice President</w:t>
            </w:r>
          </w:p>
        </w:tc>
        <w:tc>
          <w:tcPr>
            <w:tcW w:w="1493"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550,000</w:t>
            </w:r>
          </w:p>
        </w:tc>
        <w:tc>
          <w:tcPr>
            <w:tcW w:w="1493"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569,300</w:t>
            </w:r>
          </w:p>
        </w:tc>
        <w:tc>
          <w:tcPr>
            <w:tcW w:w="1028"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3.5</w:t>
            </w:r>
          </w:p>
        </w:tc>
      </w:tr>
      <w:tr>
        <w:trPr/>
        <w:tc>
          <w:tcPr>
            <w:tcW w:w="1816" w:type="dxa"/>
            <w:tcBorders/>
            <w:shd w:fill="EFF6EA"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John R. Pinion II</w:t>
            </w:r>
          </w:p>
        </w:tc>
        <w:tc>
          <w:tcPr>
            <w:tcW w:w="4375" w:type="dxa"/>
            <w:tcBorders/>
            <w:shd w:fill="EFF6EA"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Chief Quality Officer and Executive Vice President, Translational Sciences</w:t>
            </w:r>
          </w:p>
        </w:tc>
        <w:tc>
          <w:tcPr>
            <w:tcW w:w="1493"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518,000</w:t>
            </w:r>
          </w:p>
        </w:tc>
        <w:tc>
          <w:tcPr>
            <w:tcW w:w="1493"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536,100</w:t>
            </w:r>
          </w:p>
        </w:tc>
        <w:tc>
          <w:tcPr>
            <w:tcW w:w="1028"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3.5</w:t>
            </w:r>
          </w:p>
        </w:tc>
      </w:tr>
      <w:tr>
        <w:trPr/>
        <w:tc>
          <w:tcPr>
            <w:tcW w:w="1816" w:type="dxa"/>
            <w:tcBorders>
              <w:bottom w:val="single" w:sz="12" w:space="0" w:color="7CBC3E"/>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Mardi C. Dier</w:t>
            </w:r>
          </w:p>
        </w:tc>
        <w:tc>
          <w:tcPr>
            <w:tcW w:w="4375" w:type="dxa"/>
            <w:tcBorders>
              <w:bottom w:val="single" w:sz="12" w:space="0" w:color="7CBC3E"/>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Former Chief Financial Officer and Executive Vice President</w:t>
            </w:r>
          </w:p>
        </w:tc>
        <w:tc>
          <w:tcPr>
            <w:tcW w:w="1493"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570,000</w:t>
            </w:r>
          </w:p>
        </w:tc>
        <w:tc>
          <w:tcPr>
            <w:tcW w:w="1493"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590,000</w:t>
            </w:r>
          </w:p>
        </w:tc>
        <w:tc>
          <w:tcPr>
            <w:tcW w:w="1028"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3.5</w:t>
            </w:r>
          </w:p>
        </w:tc>
      </w:tr>
    </w:tbl>
    <w:p>
      <w:pPr>
        <w:pStyle w:val="TextBody"/>
        <w:spacing w:before="0" w:after="0"/>
        <w:ind w:left="0" w:right="0" w:hanging="0"/>
        <w:rPr>
          <w:caps w:val="false"/>
          <w:smallCaps w:val="false"/>
          <w:color w:val="7CBC3E"/>
        </w:rPr>
      </w:pPr>
      <w:r>
        <w:rPr>
          <w:caps w:val="false"/>
          <w:smallCaps w:val="false"/>
          <w:color w:val="7CBC3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Annual Bonus</w:t>
      </w:r>
    </w:p>
    <w:p>
      <w:pPr>
        <w:pStyle w:val="TextBody"/>
        <w:spacing w:before="0" w:after="0"/>
        <w:ind w:left="0" w:right="0" w:hanging="0"/>
        <w:rPr>
          <w:caps w:val="false"/>
          <w:smallCaps w:val="false"/>
          <w:color w:val="7CBC3E"/>
        </w:rPr>
      </w:pPr>
      <w:r>
        <w:rPr>
          <w:caps w:val="false"/>
          <w:smallCaps w:val="false"/>
          <w:color w:val="7CBC3E"/>
        </w:rPr>
        <w:t> </w:t>
      </w:r>
    </w:p>
    <w:p>
      <w:pPr>
        <w:pStyle w:val="Heading5"/>
        <w:spacing w:before="0" w:after="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annual incentive program provides an opportunity for cash bonus awards based upon the attainment of annual performance goals. For all executive officers, except the Chief Executive Officer, the goals relate to both corporate and individual performance. Corporate performance goals include business, financial, and operational measures or objectives. Individual performance goals focus on individual contributions that drive achievement of the corporate goals and provide leadership for the executive officers’ respective functions. The Chief Executive Officer’s bonus is based solely on corporate performance.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individual goals are adopted at the beginning of each performance year by the Chief Executive Officer and communicated to each executive officer. The Compensation Committee considers the individual performance of each executive officer (other than our Chief Executive Officer) and our overall corporate performance for the preceding fiscal year in deciding whether to award a bonus and, if one is to be awarded, the amount of the bonus.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executive officers are assigned annual bonus targets, expressed as a percent of base salary, based on each executive officer’s accountability, scope of responsibilities, and potential impact on performance, as well as peer group competitive data for similarly situated positions. The annual bonus is weighted 75% for corporate performance and 25% for individual performance, except that the annual bonus for the Chief Executive Officer is weighted 100% for corporate performance. With respect to the corporate component of the bonus, the maximum payout is 150% of target. With respect to the individual component of the bonus, the maximum payout is 120% of target. Actual payouts are based upon achievement with respect to established goals (for corporate performance) and individual performance rating (for individual performance).</w:t>
      </w:r>
    </w:p>
    <w:p>
      <w:pPr>
        <w:pStyle w:val="TextBody"/>
        <w:spacing w:before="0" w:after="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 </w:t>
      </w:r>
      <w:r>
        <w:rPr>
          <w:rFonts w:ascii="Arial;Helvetica;Sans-Serif" w:hAnsi="Arial;Helvetica;Sans-Serif"/>
          <w:b/>
          <w:i w:val="false"/>
          <w:caps w:val="false"/>
          <w:smallCaps w:val="false"/>
          <w:color w:val="7ABD3E"/>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51</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Generally, after the end of each fiscal year, the Compensation Committee assesses corporate performance, and determines an overall percentage of goal achievement, for such year. This corporate performance score determines the size of the bonus pool applicable to the corporate component of the bonus plan. A score at or below 50% results in the corporate component of the bonus pool not being funded.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an executive officer receives a performance rating that he or she only partially meets expectations, then the individual component of the bonus is paid out at 50%; if an executive officer receives an unsatisfactory performance rating, then the individual component of the bonus is not paid out to that officer. Subject to the rights contained in any agreement between the Company and the executive officer, an executive officer must be employed by the Company on the bonus payment date to be eligible to receive a bonus payment.</w:t>
      </w:r>
    </w:p>
    <w:p>
      <w:pPr>
        <w:pStyle w:val="TextBody"/>
        <w:spacing w:before="0" w:after="0"/>
        <w:ind w:left="0" w:right="0" w:hanging="0"/>
        <w:jc w:val="both"/>
        <w:rPr>
          <w:caps w:val="false"/>
          <w:smallCaps w:val="false"/>
        </w:rPr>
      </w:pPr>
      <w:r>
        <w:rPr>
          <w:caps w:val="false"/>
          <w:smallCaps w:val="false"/>
        </w:rPr>
        <w:t> </w:t>
      </w:r>
    </w:p>
    <w:p>
      <w:pPr>
        <w:pStyle w:val="Heading5"/>
        <w:spacing w:before="0" w:after="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Fiscal 2022 Bonuses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Annual corporate goals for fiscal 2022 were proposed by our executive officers and approved by our Compensation Committee in early 2022. Individual objectives for our executive officers for 2022 were proposed by each executive officer, with review, input and confirmation from our Chief Executive Officer.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target bonuses, as a percentage of base salary, for the named executive officers for fiscal 2022 are set forth in the following table. The target bonus for Dr. Kakkis increased from 70% of base salary in 2021 to 75% of base salary in 2022 and for the other named executive officers, from 45% of salary in 2021 to 50% of based salary in 2022.</w:t>
      </w:r>
    </w:p>
    <w:p>
      <w:pPr>
        <w:pStyle w:val="TextBody"/>
        <w:spacing w:before="0" w:after="0"/>
        <w:ind w:left="0" w:right="0" w:hanging="0"/>
        <w:jc w:val="both"/>
        <w:rPr>
          <w:caps w:val="false"/>
          <w:smallCaps w:val="false"/>
        </w:rPr>
      </w:pPr>
      <w:r>
        <w:rPr>
          <w:caps w:val="false"/>
          <w:smallCaps w:val="false"/>
        </w:rPr>
        <w:t> </w:t>
      </w:r>
    </w:p>
    <w:tbl>
      <w:tblPr>
        <w:tblW w:w="3835" w:type="dxa"/>
        <w:jc w:val="left"/>
        <w:tblInd w:w="0" w:type="dxa"/>
        <w:tblCellMar>
          <w:top w:w="0" w:type="dxa"/>
          <w:left w:w="0" w:type="dxa"/>
          <w:bottom w:w="40" w:type="dxa"/>
          <w:right w:w="0" w:type="dxa"/>
        </w:tblCellMar>
      </w:tblPr>
      <w:tblGrid>
        <w:gridCol w:w="2210"/>
        <w:gridCol w:w="1625"/>
      </w:tblGrid>
      <w:tr>
        <w:trPr/>
        <w:tc>
          <w:tcPr>
            <w:tcW w:w="2210" w:type="dxa"/>
            <w:tcBorders>
              <w:bottom w:val="single" w:sz="12" w:space="0" w:color="7CBC3E"/>
            </w:tcBorders>
            <w:shd w:fill="auto" w:val="cle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Name</w:t>
            </w:r>
          </w:p>
        </w:tc>
        <w:tc>
          <w:tcPr>
            <w:tcW w:w="1625"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Target Bonus</w:t>
              <w:br/>
              <w:t>for Fiscal 2022</w:t>
              <w:br/>
              <w:t>(% of Base Salary)</w:t>
            </w:r>
          </w:p>
        </w:tc>
      </w:tr>
      <w:tr>
        <w:trPr/>
        <w:tc>
          <w:tcPr>
            <w:tcW w:w="2210"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Emil D. Kakkis, M.D., Ph.D.</w:t>
            </w:r>
          </w:p>
        </w:tc>
        <w:tc>
          <w:tcPr>
            <w:tcW w:w="1625"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75</w:t>
            </w:r>
          </w:p>
        </w:tc>
      </w:tr>
      <w:tr>
        <w:trPr/>
        <w:tc>
          <w:tcPr>
            <w:tcW w:w="2210" w:type="dxa"/>
            <w:tcBorders/>
            <w:shd w:fill="EFF6EA"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Camille L. Bedrosian, M.D.</w:t>
            </w:r>
          </w:p>
        </w:tc>
        <w:tc>
          <w:tcPr>
            <w:tcW w:w="1625"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50</w:t>
            </w:r>
          </w:p>
        </w:tc>
      </w:tr>
      <w:tr>
        <w:trPr/>
        <w:tc>
          <w:tcPr>
            <w:tcW w:w="2210"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Erik Harris</w:t>
            </w:r>
          </w:p>
        </w:tc>
        <w:tc>
          <w:tcPr>
            <w:tcW w:w="1625"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50</w:t>
            </w:r>
          </w:p>
        </w:tc>
      </w:tr>
      <w:tr>
        <w:trPr/>
        <w:tc>
          <w:tcPr>
            <w:tcW w:w="2210" w:type="dxa"/>
            <w:tcBorders/>
            <w:shd w:fill="EFF6EA"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John R. Pinion II</w:t>
            </w:r>
          </w:p>
        </w:tc>
        <w:tc>
          <w:tcPr>
            <w:tcW w:w="1625"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50</w:t>
            </w:r>
          </w:p>
        </w:tc>
      </w:tr>
      <w:tr>
        <w:trPr/>
        <w:tc>
          <w:tcPr>
            <w:tcW w:w="2210" w:type="dxa"/>
            <w:tcBorders>
              <w:bottom w:val="single" w:sz="12" w:space="0" w:color="7CBC3E"/>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Mardi C. Dier</w:t>
            </w:r>
          </w:p>
        </w:tc>
        <w:tc>
          <w:tcPr>
            <w:tcW w:w="1625"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50</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February 2023, the Compensation Committee assessed our overall 2022 performance against the achievement of the corporate goals to determine a total percentage of achievement between 0% and 150%. The Compensation Committee considered the following performance goals, as well as the relative weighting of these goals, in assessing overall performance for the 2022 fiscal year:</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40" w:type="dxa"/>
          <w:right w:w="0" w:type="dxa"/>
        </w:tblCellMar>
      </w:tblPr>
      <w:tblGrid>
        <w:gridCol w:w="6890"/>
        <w:gridCol w:w="860"/>
        <w:gridCol w:w="60"/>
        <w:gridCol w:w="1160"/>
        <w:gridCol w:w="60"/>
        <w:gridCol w:w="1175"/>
      </w:tblGrid>
      <w:tr>
        <w:trPr/>
        <w:tc>
          <w:tcPr>
            <w:tcW w:w="6890" w:type="dxa"/>
            <w:tcBorders>
              <w:bottom w:val="single" w:sz="12" w:space="0" w:color="7CBC3E"/>
            </w:tcBorders>
            <w:shd w:fill="auto" w:val="cle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Goal</w:t>
            </w:r>
          </w:p>
        </w:tc>
        <w:tc>
          <w:tcPr>
            <w:tcW w:w="860"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Weighting</w:t>
            </w:r>
          </w:p>
        </w:tc>
        <w:tc>
          <w:tcPr>
            <w:tcW w:w="60" w:type="dxa"/>
            <w:tcBorders>
              <w:bottom w:val="single" w:sz="12" w:space="0" w:color="7CBC3E"/>
            </w:tcBorders>
            <w:shd w:fill="auto" w:val="clear"/>
            <w:vAlign w:val="center"/>
          </w:tcPr>
          <w:p>
            <w:pPr>
              <w:pStyle w:val="TableContents"/>
              <w:spacing w:before="0" w:after="283"/>
              <w:rPr/>
            </w:pPr>
            <w:r>
              <w:rPr/>
              <w:t> </w:t>
            </w:r>
          </w:p>
        </w:tc>
        <w:tc>
          <w:tcPr>
            <w:tcW w:w="1160"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Achievement</w:t>
              <w:br/>
              <w:t>Against Goal</w:t>
            </w:r>
          </w:p>
        </w:tc>
        <w:tc>
          <w:tcPr>
            <w:tcW w:w="60" w:type="dxa"/>
            <w:tcBorders>
              <w:bottom w:val="single" w:sz="12" w:space="0" w:color="7CBC3E"/>
            </w:tcBorders>
            <w:shd w:fill="auto" w:val="clear"/>
            <w:vAlign w:val="center"/>
          </w:tcPr>
          <w:p>
            <w:pPr>
              <w:pStyle w:val="TableContents"/>
              <w:spacing w:before="0" w:after="283"/>
              <w:rPr/>
            </w:pPr>
            <w:r>
              <w:rPr/>
              <w:t> </w:t>
            </w:r>
          </w:p>
        </w:tc>
        <w:tc>
          <w:tcPr>
            <w:tcW w:w="1175"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Weighted</w:t>
              <w:br/>
              <w:t>Achievement</w:t>
            </w:r>
          </w:p>
        </w:tc>
      </w:tr>
      <w:tr>
        <w:trPr/>
        <w:tc>
          <w:tcPr>
            <w:tcW w:w="6890" w:type="dxa"/>
            <w:tcBorders/>
            <w:shd w:fill="auto" w:val="clear"/>
            <w:tcMar>
              <w:bottom w:w="0" w:type="dxa"/>
            </w:tcMar>
            <w:vAlign w:val="center"/>
          </w:tcPr>
          <w:p>
            <w:pPr>
              <w:pStyle w:val="TableContents"/>
              <w:spacing w:before="0" w:after="0"/>
              <w:ind w:left="0" w:right="0" w:hanging="0"/>
              <w:rPr>
                <w:rFonts w:ascii="Arial;Helvetica;Sans-Serif" w:hAnsi="Arial;Helvetica;Sans-Serif"/>
                <w:b/>
                <w:i/>
                <w:caps w:val="false"/>
                <w:smallCaps w:val="false"/>
                <w:sz w:val="18"/>
              </w:rPr>
            </w:pPr>
            <w:r>
              <w:rPr>
                <w:rFonts w:ascii="Arial;Helvetica;Sans-Serif" w:hAnsi="Arial;Helvetica;Sans-Serif"/>
                <w:b/>
                <w:i/>
                <w:caps w:val="false"/>
                <w:smallCaps w:val="false"/>
                <w:sz w:val="18"/>
              </w:rPr>
              <w:t>1. Commercial Products</w:t>
            </w:r>
          </w:p>
          <w:p>
            <w:pPr>
              <w:pStyle w:val="TableContents"/>
              <w:spacing w:before="0" w:after="0"/>
              <w:ind w:left="400" w:right="0" w:hanging="200"/>
              <w:rPr>
                <w:caps w:val="false"/>
                <w:smallCaps w:val="false"/>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Achieve targets for global revenue in our territories and number of patients on products in target territories</w:t>
            </w:r>
          </w:p>
        </w:tc>
        <w:tc>
          <w:tcPr>
            <w:tcW w:w="860"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44%</w:t>
            </w:r>
          </w:p>
        </w:tc>
        <w:tc>
          <w:tcPr>
            <w:tcW w:w="60" w:type="dxa"/>
            <w:tcBorders/>
            <w:shd w:fill="auto" w:val="clear"/>
            <w:tcMar>
              <w:bottom w:w="0" w:type="dxa"/>
            </w:tcMar>
            <w:vAlign w:val="center"/>
          </w:tcPr>
          <w:p>
            <w:pPr>
              <w:pStyle w:val="TableContents"/>
              <w:spacing w:before="0" w:after="283"/>
              <w:rPr/>
            </w:pPr>
            <w:r>
              <w:rPr/>
              <w:t> </w:t>
            </w:r>
          </w:p>
        </w:tc>
        <w:tc>
          <w:tcPr>
            <w:tcW w:w="1160"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94%</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41%</w:t>
            </w:r>
          </w:p>
        </w:tc>
      </w:tr>
      <w:tr>
        <w:trPr/>
        <w:tc>
          <w:tcPr>
            <w:tcW w:w="6890" w:type="dxa"/>
            <w:tcBorders/>
            <w:shd w:fill="EFF6EA" w:val="clear"/>
            <w:tcMar>
              <w:bottom w:w="0" w:type="dxa"/>
            </w:tcMar>
            <w:vAlign w:val="center"/>
          </w:tcPr>
          <w:p>
            <w:pPr>
              <w:pStyle w:val="TableContents"/>
              <w:spacing w:before="0" w:after="0"/>
              <w:ind w:left="0" w:right="0" w:hanging="0"/>
              <w:rPr>
                <w:rFonts w:ascii="Arial;Helvetica;Sans-Serif" w:hAnsi="Arial;Helvetica;Sans-Serif"/>
                <w:b/>
                <w:i/>
                <w:caps w:val="false"/>
                <w:smallCaps w:val="false"/>
                <w:sz w:val="18"/>
              </w:rPr>
            </w:pPr>
            <w:r>
              <w:rPr>
                <w:rFonts w:ascii="Arial;Helvetica;Sans-Serif" w:hAnsi="Arial;Helvetica;Sans-Serif"/>
                <w:b/>
                <w:i/>
                <w:caps w:val="false"/>
                <w:smallCaps w:val="false"/>
                <w:sz w:val="18"/>
              </w:rPr>
              <w:t>2. Research &amp; Development</w:t>
            </w:r>
          </w:p>
          <w:p>
            <w:pPr>
              <w:pStyle w:val="TableContents"/>
              <w:spacing w:before="0" w:after="0"/>
              <w:ind w:left="400" w:right="0" w:hanging="200"/>
              <w:rPr>
                <w:caps w:val="false"/>
                <w:smallCaps w:val="false"/>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Achieve enrollment objectives for pivotal trials for specified product candidates</w:t>
            </w:r>
          </w:p>
          <w:p>
            <w:pPr>
              <w:pStyle w:val="TableContents"/>
              <w:spacing w:before="0" w:after="0"/>
              <w:ind w:left="400" w:right="0" w:hanging="200"/>
              <w:rPr>
                <w:caps w:val="false"/>
                <w:smallCaps w:val="false"/>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Generate clinical data for Phase 1/2 study of GTX-102</w:t>
            </w:r>
          </w:p>
          <w:p>
            <w:pPr>
              <w:pStyle w:val="TableContents"/>
              <w:spacing w:before="0" w:after="0"/>
              <w:ind w:left="400" w:right="0" w:hanging="200"/>
              <w:rPr>
                <w:caps w:val="false"/>
                <w:smallCaps w:val="false"/>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Stage-gate decisions for multiple translational research programs</w:t>
            </w:r>
          </w:p>
          <w:p>
            <w:pPr>
              <w:pStyle w:val="TableContents"/>
              <w:spacing w:before="0" w:after="0"/>
              <w:ind w:left="400" w:right="0" w:hanging="200"/>
              <w:rPr>
                <w:caps w:val="false"/>
                <w:smallCaps w:val="false"/>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Positive in vivo efficacy data and CMC plan for specified product candidate</w:t>
            </w:r>
          </w:p>
          <w:p>
            <w:pPr>
              <w:pStyle w:val="TableContents"/>
              <w:spacing w:before="0" w:after="0"/>
              <w:ind w:left="400" w:right="0" w:hanging="200"/>
              <w:rPr>
                <w:caps w:val="false"/>
                <w:smallCaps w:val="false"/>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Complete installation and start up of utility systems and major process equipment installed in gene therapy manufacturing facility</w:t>
            </w:r>
          </w:p>
        </w:tc>
        <w:tc>
          <w:tcPr>
            <w:tcW w:w="860"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50%</w:t>
            </w:r>
          </w:p>
        </w:tc>
        <w:tc>
          <w:tcPr>
            <w:tcW w:w="60" w:type="dxa"/>
            <w:tcBorders/>
            <w:shd w:fill="EFF6EA" w:val="clear"/>
            <w:tcMar>
              <w:bottom w:w="0" w:type="dxa"/>
            </w:tcMar>
            <w:vAlign w:val="center"/>
          </w:tcPr>
          <w:p>
            <w:pPr>
              <w:pStyle w:val="TableContents"/>
              <w:spacing w:before="0" w:after="283"/>
              <w:rPr/>
            </w:pPr>
            <w:r>
              <w:rPr/>
              <w:t> </w:t>
            </w:r>
          </w:p>
        </w:tc>
        <w:tc>
          <w:tcPr>
            <w:tcW w:w="1160"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72%</w:t>
            </w:r>
          </w:p>
        </w:tc>
        <w:tc>
          <w:tcPr>
            <w:tcW w:w="60" w:type="dxa"/>
            <w:tcBorders/>
            <w:shd w:fill="EFF6EA" w:val="clear"/>
            <w:tcMar>
              <w:bottom w:w="0" w:type="dxa"/>
            </w:tcMar>
            <w:vAlign w:val="center"/>
          </w:tcPr>
          <w:p>
            <w:pPr>
              <w:pStyle w:val="TableContents"/>
              <w:spacing w:before="0" w:after="283"/>
              <w:rPr/>
            </w:pPr>
            <w:r>
              <w:rPr/>
              <w:t> </w:t>
            </w:r>
          </w:p>
        </w:tc>
        <w:tc>
          <w:tcPr>
            <w:tcW w:w="1175"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36%</w:t>
            </w:r>
          </w:p>
        </w:tc>
      </w:tr>
      <w:tr>
        <w:trPr/>
        <w:tc>
          <w:tcPr>
            <w:tcW w:w="6890" w:type="dxa"/>
            <w:tcBorders>
              <w:bottom w:val="single" w:sz="12" w:space="0" w:color="7CBC3E"/>
            </w:tcBorders>
            <w:shd w:fill="auto" w:val="clear"/>
            <w:vAlign w:val="center"/>
          </w:tcPr>
          <w:p>
            <w:pPr>
              <w:pStyle w:val="TableContents"/>
              <w:spacing w:before="0" w:after="0"/>
              <w:ind w:left="0" w:right="0" w:hanging="0"/>
              <w:rPr>
                <w:rFonts w:ascii="Arial;Helvetica;Sans-Serif" w:hAnsi="Arial;Helvetica;Sans-Serif"/>
                <w:b/>
                <w:i/>
                <w:caps w:val="false"/>
                <w:smallCaps w:val="false"/>
                <w:sz w:val="18"/>
              </w:rPr>
            </w:pPr>
            <w:r>
              <w:rPr>
                <w:rFonts w:ascii="Arial;Helvetica;Sans-Serif" w:hAnsi="Arial;Helvetica;Sans-Serif"/>
                <w:b/>
                <w:i/>
                <w:caps w:val="false"/>
                <w:smallCaps w:val="false"/>
                <w:sz w:val="18"/>
              </w:rPr>
              <w:t>3. General Corporate</w:t>
            </w:r>
          </w:p>
          <w:p>
            <w:pPr>
              <w:pStyle w:val="TableContents"/>
              <w:spacing w:before="0" w:after="0"/>
              <w:ind w:left="400" w:right="0" w:hanging="200"/>
              <w:rPr>
                <w:caps w:val="false"/>
                <w:smallCaps w:val="false"/>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Maintaining operating cash usage within 5% of budget</w:t>
            </w:r>
          </w:p>
          <w:p>
            <w:pPr>
              <w:pStyle w:val="TableContents"/>
              <w:spacing w:before="0" w:after="0"/>
              <w:ind w:left="400" w:right="0" w:hanging="200"/>
              <w:rPr>
                <w:caps w:val="false"/>
                <w:smallCaps w:val="false"/>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Retaining over 80% of employees rated as “meets expectations” or above</w:t>
            </w:r>
          </w:p>
          <w:p>
            <w:pPr>
              <w:pStyle w:val="TableContents"/>
              <w:spacing w:before="0" w:after="0"/>
              <w:ind w:left="400" w:right="0" w:hanging="200"/>
              <w:rPr>
                <w:caps w:val="false"/>
                <w:smallCaps w:val="false"/>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Achieve threshold scores in annual employee engagement survey: overall engagement score of 80%+, inclusion and diversity score of 75%+ and employee well-being score of 75%+</w:t>
            </w:r>
          </w:p>
          <w:p>
            <w:pPr>
              <w:pStyle w:val="TableContents"/>
              <w:spacing w:before="0" w:after="0"/>
              <w:ind w:left="400" w:right="0" w:hanging="200"/>
              <w:rPr>
                <w:caps w:val="false"/>
                <w:smallCaps w:val="false"/>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Continue compliant and ethical practices and issue inaugural ESG report</w:t>
            </w:r>
          </w:p>
        </w:tc>
        <w:tc>
          <w:tcPr>
            <w:tcW w:w="860"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w:t>
            </w:r>
          </w:p>
        </w:tc>
        <w:tc>
          <w:tcPr>
            <w:tcW w:w="60" w:type="dxa"/>
            <w:tcBorders>
              <w:bottom w:val="single" w:sz="12" w:space="0" w:color="7CBC3E"/>
            </w:tcBorders>
            <w:shd w:fill="auto" w:val="clear"/>
            <w:vAlign w:val="center"/>
          </w:tcPr>
          <w:p>
            <w:pPr>
              <w:pStyle w:val="TableContents"/>
              <w:spacing w:before="0" w:after="283"/>
              <w:rPr/>
            </w:pPr>
            <w:r>
              <w:rPr/>
              <w:t> </w:t>
            </w:r>
          </w:p>
        </w:tc>
        <w:tc>
          <w:tcPr>
            <w:tcW w:w="1160"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117%</w:t>
            </w:r>
          </w:p>
        </w:tc>
        <w:tc>
          <w:tcPr>
            <w:tcW w:w="60" w:type="dxa"/>
            <w:tcBorders>
              <w:bottom w:val="single" w:sz="12" w:space="0" w:color="7CBC3E"/>
            </w:tcBorders>
            <w:shd w:fill="auto" w:val="clear"/>
            <w:vAlign w:val="center"/>
          </w:tcPr>
          <w:p>
            <w:pPr>
              <w:pStyle w:val="TableContents"/>
              <w:spacing w:before="0" w:after="283"/>
              <w:rPr/>
            </w:pPr>
            <w:r>
              <w:rPr/>
              <w:t> </w:t>
            </w:r>
          </w:p>
        </w:tc>
        <w:tc>
          <w:tcPr>
            <w:tcW w:w="1175"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7.0%</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establishing these goals, the Compensation Committee selected performance goals that it considered aggressive, meaning that they are goals that were considered achievable, but only with a high degree of diligence and success in execution.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assessing performance against these goals, the Compensation Committee reviewed each goal and determined whether or not it was achieved. The Compensation Committee then referred to the relative importance of the goals, based on the previously established weightings of each goal. The Compensation Committee also considered additional key corporate achievements that were not represented in the 2022 corporate goals, including successful completion of strategic and financing transactions. In light of the Company’s achievements during the year, the Compensation Committee determined an overall percentage of achievement for all goals combined, which resulted in 93% achievement for fiscal year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February 2022, in addition to assessing the foregoing corporate goals, the Compensation Committee (after consultation with our Chief Executive Officer) assessed the individual accomplishments of our named executive officers for purposes of determining the individual component of their annual bonus, other than our Chief Executive Officer whose annual bonus is based solely on the corporate goals described above. Key individual achievements for these named executive officers, other than Ms. Dier who resigned from her role in November 2022, are summarized below.</w:t>
      </w:r>
    </w:p>
    <w:p>
      <w:pPr>
        <w:pStyle w:val="TextBody"/>
        <w:spacing w:before="0" w:after="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 </w:t>
      </w:r>
      <w:r>
        <w:rPr>
          <w:rFonts w:ascii="Arial;Helvetica;Sans-Serif" w:hAnsi="Arial;Helvetica;Sans-Serif"/>
          <w:b/>
          <w:i w:val="false"/>
          <w:caps w:val="false"/>
          <w:smallCaps w:val="false"/>
          <w:color w:val="7ABD3E"/>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52</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28" w:type="dxa"/>
          <w:right w:w="0" w:type="dxa"/>
        </w:tblCellMar>
      </w:tblPr>
      <w:tblGrid>
        <w:gridCol w:w="1901"/>
        <w:gridCol w:w="8304"/>
      </w:tblGrid>
      <w:tr>
        <w:trPr/>
        <w:tc>
          <w:tcPr>
            <w:tcW w:w="1901" w:type="dxa"/>
            <w:tcBorders>
              <w:bottom w:val="single" w:sz="12" w:space="0" w:color="7CBC3E"/>
            </w:tcBorders>
            <w:shd w:fill="auto" w:val="clear"/>
            <w:vAlign w:val="center"/>
          </w:tcPr>
          <w:p>
            <w:pPr>
              <w:pStyle w:val="TableContents"/>
              <w:spacing w:before="0" w:after="283"/>
              <w:ind w:left="0" w:right="0" w:hanging="20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Named Executive Officer</w:t>
            </w:r>
          </w:p>
        </w:tc>
        <w:tc>
          <w:tcPr>
            <w:tcW w:w="8304" w:type="dxa"/>
            <w:tcBorders>
              <w:bottom w:val="single" w:sz="12" w:space="0" w:color="7CBC3E"/>
            </w:tcBorders>
            <w:shd w:fill="auto" w:val="clear"/>
            <w:vAlign w:val="center"/>
          </w:tcPr>
          <w:p>
            <w:pPr>
              <w:pStyle w:val="TableContents"/>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Key 2022 Achievements</w:t>
            </w:r>
          </w:p>
        </w:tc>
      </w:tr>
      <w:tr>
        <w:trPr/>
        <w:tc>
          <w:tcPr>
            <w:tcW w:w="1901" w:type="dxa"/>
            <w:vMerge w:val="restart"/>
            <w:tcBorders/>
            <w:shd w:fill="auto" w:val="clear"/>
            <w:tcMar>
              <w:bottom w:w="0" w:type="dxa"/>
            </w:tcMar>
            <w:vAlign w:val="center"/>
          </w:tcPr>
          <w:p>
            <w:pPr>
              <w:pStyle w:val="TableContents"/>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Camille L. Bedrosian, M.D.</w:t>
            </w:r>
            <w:r>
              <w:rPr>
                <w:rFonts w:ascii="Arial;Helvetica;Sans-Serif" w:hAnsi="Arial;Helvetica;Sans-Serif"/>
                <w:b w:val="false"/>
                <w:i w:val="false"/>
                <w:caps w:val="false"/>
                <w:smallCaps w:val="false"/>
                <w:sz w:val="18"/>
              </w:rPr>
              <w:t xml:space="preserve"> </w:t>
            </w:r>
          </w:p>
          <w:p>
            <w:pPr>
              <w:pStyle w:val="TableContents"/>
              <w:spacing w:before="0" w:after="0"/>
              <w:ind w:left="0" w:right="0" w:hanging="200"/>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Chief Medical Officer and EVP</w:t>
            </w:r>
          </w:p>
        </w:tc>
        <w:tc>
          <w:tcPr>
            <w:tcW w:w="8304" w:type="dxa"/>
            <w:tcBorders/>
            <w:shd w:fill="auto" w:val="clear"/>
            <w:tcMar>
              <w:bottom w:w="0" w:type="dxa"/>
            </w:tcMar>
            <w:vAlign w:val="center"/>
          </w:tcPr>
          <w:p>
            <w:pPr>
              <w:pStyle w:val="TableContents"/>
              <w:spacing w:before="0" w:after="283"/>
              <w:ind w:left="0" w:right="0" w:hanging="200"/>
              <w:jc w:val="left"/>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Led and supported teams in successful enrollment of cohorts in Canada, U.K. and U.S. in Phase 1/2 study of GTX-102; supported cross functional activities related to GeneTx acquisition</w:t>
            </w:r>
          </w:p>
        </w:tc>
      </w:tr>
      <w:tr>
        <w:trPr/>
        <w:tc>
          <w:tcPr>
            <w:tcW w:w="1901" w:type="dxa"/>
            <w:vMerge w:val="continue"/>
            <w:tcBorders/>
            <w:shd w:fill="auto" w:val="clear"/>
            <w:tcMar>
              <w:bottom w:w="0" w:type="dxa"/>
            </w:tcMar>
            <w:vAlign w:val="center"/>
          </w:tcPr>
          <w:p>
            <w:pPr>
              <w:pStyle w:val="Normal"/>
              <w:rPr/>
            </w:pPr>
            <w:r>
              <w:rPr/>
            </w:r>
          </w:p>
        </w:tc>
        <w:tc>
          <w:tcPr>
            <w:tcW w:w="8304" w:type="dxa"/>
            <w:tcBorders/>
            <w:shd w:fill="auto" w:val="clear"/>
            <w:tcMar>
              <w:bottom w:w="0" w:type="dxa"/>
            </w:tcMar>
            <w:vAlign w:val="center"/>
          </w:tcPr>
          <w:p>
            <w:pPr>
              <w:pStyle w:val="TableContents"/>
              <w:spacing w:before="0" w:after="283"/>
              <w:jc w:val="left"/>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Led program teams related to pivotal trials for product candidates</w:t>
            </w:r>
          </w:p>
        </w:tc>
      </w:tr>
      <w:tr>
        <w:trPr/>
        <w:tc>
          <w:tcPr>
            <w:tcW w:w="1901" w:type="dxa"/>
            <w:tcBorders/>
            <w:shd w:fill="auto" w:val="clear"/>
            <w:tcMar>
              <w:bottom w:w="0" w:type="dxa"/>
            </w:tcMar>
            <w:vAlign w:val="center"/>
          </w:tcPr>
          <w:p>
            <w:pPr>
              <w:pStyle w:val="TableContents"/>
              <w:spacing w:before="0" w:after="283"/>
              <w:ind w:left="0" w:right="0" w:hanging="200"/>
              <w:jc w:val="left"/>
              <w:rPr/>
            </w:pPr>
            <w:r>
              <w:rPr/>
              <w:t> </w:t>
            </w:r>
          </w:p>
        </w:tc>
        <w:tc>
          <w:tcPr>
            <w:tcW w:w="8304" w:type="dxa"/>
            <w:tcBorders/>
            <w:shd w:fill="auto" w:val="clear"/>
            <w:tcMar>
              <w:bottom w:w="0" w:type="dxa"/>
            </w:tcMar>
            <w:vAlign w:val="center"/>
          </w:tcPr>
          <w:p>
            <w:pPr>
              <w:pStyle w:val="TableContents"/>
              <w:spacing w:before="0" w:after="283"/>
              <w:jc w:val="left"/>
              <w:rPr/>
            </w:pPr>
            <w:r>
              <w:rPr>
                <w:caps w:val="false"/>
                <w:smallCaps w:val="false"/>
                <w:color w:val="7CBC3E"/>
              </w:rPr>
              <w:t>•   </w:t>
            </w:r>
            <w:r>
              <w:rPr>
                <w:rFonts w:ascii="Arial;Helvetica;Sans-Serif" w:hAnsi="Arial;Helvetica;Sans-Serif"/>
                <w:b w:val="false"/>
                <w:i w:val="false"/>
                <w:caps w:val="false"/>
                <w:smallCaps w:val="false"/>
                <w:sz w:val="18"/>
              </w:rPr>
              <w:t>Successfully recruited, hired and onboarded several senior team members in development team</w:t>
            </w:r>
          </w:p>
        </w:tc>
      </w:tr>
      <w:tr>
        <w:trPr/>
        <w:tc>
          <w:tcPr>
            <w:tcW w:w="1901" w:type="dxa"/>
            <w:tcBorders/>
            <w:shd w:fill="auto" w:val="clear"/>
            <w:tcMar>
              <w:bottom w:w="0" w:type="dxa"/>
            </w:tcMar>
            <w:vAlign w:val="center"/>
          </w:tcPr>
          <w:p>
            <w:pPr>
              <w:pStyle w:val="TableContents"/>
              <w:spacing w:before="0" w:after="283"/>
              <w:ind w:left="0" w:right="0" w:hanging="200"/>
              <w:jc w:val="left"/>
              <w:rPr/>
            </w:pPr>
            <w:r>
              <w:rPr/>
              <w:t> </w:t>
            </w:r>
          </w:p>
        </w:tc>
        <w:tc>
          <w:tcPr>
            <w:tcW w:w="8304" w:type="dxa"/>
            <w:tcBorders/>
            <w:shd w:fill="auto" w:val="clear"/>
            <w:tcMar>
              <w:bottom w:w="0" w:type="dxa"/>
            </w:tcMar>
            <w:vAlign w:val="center"/>
          </w:tcPr>
          <w:p>
            <w:pPr>
              <w:pStyle w:val="TableContents"/>
              <w:spacing w:before="0" w:after="283"/>
              <w:jc w:val="left"/>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Mentorship program sponsor for internal talent development</w:t>
            </w:r>
          </w:p>
        </w:tc>
      </w:tr>
      <w:tr>
        <w:trPr/>
        <w:tc>
          <w:tcPr>
            <w:tcW w:w="1901" w:type="dxa"/>
            <w:tcBorders/>
            <w:shd w:fill="auto" w:val="clear"/>
            <w:tcMar>
              <w:bottom w:w="0" w:type="dxa"/>
            </w:tcMar>
            <w:vAlign w:val="center"/>
          </w:tcPr>
          <w:p>
            <w:pPr>
              <w:pStyle w:val="TableContents"/>
              <w:spacing w:before="0" w:after="283"/>
              <w:ind w:left="0" w:right="0" w:hanging="200"/>
              <w:jc w:val="left"/>
              <w:rPr/>
            </w:pPr>
            <w:r>
              <w:rPr/>
              <w:t> </w:t>
            </w:r>
          </w:p>
        </w:tc>
        <w:tc>
          <w:tcPr>
            <w:tcW w:w="8304" w:type="dxa"/>
            <w:tcBorders/>
            <w:shd w:fill="auto" w:val="clear"/>
            <w:tcMar>
              <w:bottom w:w="0" w:type="dxa"/>
            </w:tcMar>
            <w:vAlign w:val="center"/>
          </w:tcPr>
          <w:p>
            <w:pPr>
              <w:pStyle w:val="TableContents"/>
              <w:spacing w:before="0" w:after="283"/>
              <w:jc w:val="left"/>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Evolved development teams in line with strategic portfolio and prioritizations</w:t>
            </w:r>
          </w:p>
        </w:tc>
      </w:tr>
      <w:tr>
        <w:trPr/>
        <w:tc>
          <w:tcPr>
            <w:tcW w:w="1901" w:type="dxa"/>
            <w:tcBorders/>
            <w:shd w:fill="EFF6EA" w:val="clear"/>
            <w:tcMar>
              <w:bottom w:w="0" w:type="dxa"/>
            </w:tcMar>
            <w:vAlign w:val="center"/>
          </w:tcPr>
          <w:p>
            <w:pPr>
              <w:pStyle w:val="TableContents"/>
              <w:spacing w:before="0" w:after="283"/>
              <w:ind w:left="0" w:right="0" w:hanging="20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Erik Harris</w:t>
            </w:r>
          </w:p>
        </w:tc>
        <w:tc>
          <w:tcPr>
            <w:tcW w:w="8304" w:type="dxa"/>
            <w:tcBorders/>
            <w:shd w:fill="EFF6EA" w:val="clear"/>
            <w:tcMar>
              <w:bottom w:w="0" w:type="dxa"/>
            </w:tcMar>
            <w:vAlign w:val="center"/>
          </w:tcPr>
          <w:p>
            <w:pPr>
              <w:pStyle w:val="TableContents"/>
              <w:spacing w:before="0" w:after="283"/>
              <w:jc w:val="left"/>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Achieved continued growth in product sales to support achievement of global revenue targets</w:t>
            </w:r>
          </w:p>
        </w:tc>
      </w:tr>
      <w:tr>
        <w:trPr/>
        <w:tc>
          <w:tcPr>
            <w:tcW w:w="1901" w:type="dxa"/>
            <w:tcBorders/>
            <w:shd w:fill="EFF6EA" w:val="clear"/>
            <w:tcMar>
              <w:bottom w:w="0" w:type="dxa"/>
            </w:tcMar>
            <w:vAlign w:val="center"/>
          </w:tcPr>
          <w:p>
            <w:pPr>
              <w:pStyle w:val="TableContents"/>
              <w:spacing w:before="0" w:after="283"/>
              <w:ind w:left="0" w:right="0" w:hanging="200"/>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Chief Commercial Officer and EVP</w:t>
            </w:r>
          </w:p>
        </w:tc>
        <w:tc>
          <w:tcPr>
            <w:tcW w:w="8304" w:type="dxa"/>
            <w:tcBorders/>
            <w:shd w:fill="EFF6EA" w:val="clear"/>
            <w:tcMar>
              <w:bottom w:w="0" w:type="dxa"/>
            </w:tcMar>
            <w:vAlign w:val="center"/>
          </w:tcPr>
          <w:p>
            <w:pPr>
              <w:pStyle w:val="TableContents"/>
              <w:spacing w:before="0" w:after="283"/>
              <w:jc w:val="left"/>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Achieved operating margin for global commercial team within specified variance</w:t>
            </w:r>
          </w:p>
        </w:tc>
      </w:tr>
      <w:tr>
        <w:trPr/>
        <w:tc>
          <w:tcPr>
            <w:tcW w:w="1901" w:type="dxa"/>
            <w:tcBorders/>
            <w:shd w:fill="EFF6EA" w:val="clear"/>
            <w:tcMar>
              <w:bottom w:w="0" w:type="dxa"/>
            </w:tcMar>
            <w:vAlign w:val="center"/>
          </w:tcPr>
          <w:p>
            <w:pPr>
              <w:pStyle w:val="TableContents"/>
              <w:spacing w:before="0" w:after="283"/>
              <w:ind w:left="0" w:right="0" w:hanging="200"/>
              <w:jc w:val="left"/>
              <w:rPr/>
            </w:pPr>
            <w:r>
              <w:rPr/>
              <w:t> </w:t>
            </w:r>
          </w:p>
        </w:tc>
        <w:tc>
          <w:tcPr>
            <w:tcW w:w="8304" w:type="dxa"/>
            <w:tcBorders/>
            <w:shd w:fill="EFF6EA" w:val="clear"/>
            <w:tcMar>
              <w:bottom w:w="0" w:type="dxa"/>
            </w:tcMar>
            <w:vAlign w:val="center"/>
          </w:tcPr>
          <w:p>
            <w:pPr>
              <w:pStyle w:val="TableContents"/>
              <w:spacing w:before="0" w:after="283"/>
              <w:jc w:val="left"/>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Successful initiation and implementation of transition plans related to Crysvita North America transition to Kyowa Kirin</w:t>
            </w:r>
          </w:p>
        </w:tc>
      </w:tr>
      <w:tr>
        <w:trPr/>
        <w:tc>
          <w:tcPr>
            <w:tcW w:w="1901" w:type="dxa"/>
            <w:tcBorders/>
            <w:shd w:fill="EFF6EA" w:val="clear"/>
            <w:tcMar>
              <w:bottom w:w="0" w:type="dxa"/>
            </w:tcMar>
            <w:vAlign w:val="center"/>
          </w:tcPr>
          <w:p>
            <w:pPr>
              <w:pStyle w:val="TableContents"/>
              <w:spacing w:before="0" w:after="283"/>
              <w:ind w:left="0" w:right="0" w:hanging="200"/>
              <w:jc w:val="left"/>
              <w:rPr/>
            </w:pPr>
            <w:r>
              <w:rPr/>
              <w:t> </w:t>
            </w:r>
          </w:p>
        </w:tc>
        <w:tc>
          <w:tcPr>
            <w:tcW w:w="8304" w:type="dxa"/>
            <w:tcBorders/>
            <w:shd w:fill="EFF6EA" w:val="clear"/>
            <w:tcMar>
              <w:bottom w:w="0" w:type="dxa"/>
            </w:tcMar>
            <w:vAlign w:val="center"/>
          </w:tcPr>
          <w:p>
            <w:pPr>
              <w:pStyle w:val="TableContents"/>
              <w:spacing w:before="0" w:after="283"/>
              <w:jc w:val="left"/>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Implemented launch plan for Evkeeza, including submission of initial country dossiers</w:t>
            </w:r>
          </w:p>
        </w:tc>
      </w:tr>
      <w:tr>
        <w:trPr/>
        <w:tc>
          <w:tcPr>
            <w:tcW w:w="1901" w:type="dxa"/>
            <w:tcBorders/>
            <w:shd w:fill="auto" w:val="clear"/>
            <w:tcMar>
              <w:bottom w:w="0" w:type="dxa"/>
            </w:tcMar>
            <w:vAlign w:val="center"/>
          </w:tcPr>
          <w:p>
            <w:pPr>
              <w:pStyle w:val="TableContents"/>
              <w:spacing w:before="0" w:after="283"/>
              <w:ind w:left="0" w:right="0" w:hanging="20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John R. Pinion II</w:t>
            </w:r>
          </w:p>
        </w:tc>
        <w:tc>
          <w:tcPr>
            <w:tcW w:w="8304" w:type="dxa"/>
            <w:tcBorders/>
            <w:shd w:fill="auto" w:val="clear"/>
            <w:tcMar>
              <w:bottom w:w="0" w:type="dxa"/>
            </w:tcMar>
            <w:vAlign w:val="center"/>
          </w:tcPr>
          <w:p>
            <w:pPr>
              <w:pStyle w:val="TableContents"/>
              <w:spacing w:before="0" w:after="283"/>
              <w:jc w:val="left"/>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Successfully maintained reliable quality supply of both commercial and clinical products</w:t>
            </w:r>
          </w:p>
        </w:tc>
      </w:tr>
      <w:tr>
        <w:trPr/>
        <w:tc>
          <w:tcPr>
            <w:tcW w:w="1901" w:type="dxa"/>
            <w:tcBorders/>
            <w:shd w:fill="auto" w:val="clear"/>
            <w:tcMar>
              <w:bottom w:w="0" w:type="dxa"/>
            </w:tcMar>
            <w:vAlign w:val="center"/>
          </w:tcPr>
          <w:p>
            <w:pPr>
              <w:pStyle w:val="TableContents"/>
              <w:spacing w:before="0" w:after="283"/>
              <w:ind w:left="0" w:right="0" w:hanging="200"/>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Chief Quality Officer and EVP,</w:t>
            </w:r>
          </w:p>
        </w:tc>
        <w:tc>
          <w:tcPr>
            <w:tcW w:w="8304" w:type="dxa"/>
            <w:tcBorders/>
            <w:shd w:fill="auto" w:val="clear"/>
            <w:tcMar>
              <w:bottom w:w="0" w:type="dxa"/>
            </w:tcMar>
            <w:vAlign w:val="center"/>
          </w:tcPr>
          <w:p>
            <w:pPr>
              <w:pStyle w:val="TableContents"/>
              <w:spacing w:before="0" w:after="283"/>
              <w:jc w:val="left"/>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Supported successful licensing and launch of Mepsevii in Japan and Evkeeza in Europe</w:t>
            </w:r>
          </w:p>
        </w:tc>
      </w:tr>
      <w:tr>
        <w:trPr/>
        <w:tc>
          <w:tcPr>
            <w:tcW w:w="1901" w:type="dxa"/>
            <w:tcBorders/>
            <w:shd w:fill="auto" w:val="clear"/>
            <w:tcMar>
              <w:bottom w:w="0" w:type="dxa"/>
            </w:tcMar>
            <w:vAlign w:val="center"/>
          </w:tcPr>
          <w:p>
            <w:pPr>
              <w:pStyle w:val="TableContents"/>
              <w:spacing w:before="0" w:after="283"/>
              <w:ind w:left="0" w:right="0" w:hanging="200"/>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Translational Sciences</w:t>
            </w:r>
          </w:p>
        </w:tc>
        <w:tc>
          <w:tcPr>
            <w:tcW w:w="8304" w:type="dxa"/>
            <w:tcBorders/>
            <w:shd w:fill="auto" w:val="clear"/>
            <w:tcMar>
              <w:bottom w:w="0" w:type="dxa"/>
            </w:tcMar>
            <w:vAlign w:val="center"/>
          </w:tcPr>
          <w:p>
            <w:pPr>
              <w:pStyle w:val="TableContents"/>
              <w:spacing w:before="0" w:after="283"/>
              <w:jc w:val="left"/>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Successfully managed all non-clinical studies, biomarker or bioanalytical method development and testing activities</w:t>
            </w:r>
          </w:p>
        </w:tc>
      </w:tr>
      <w:tr>
        <w:trPr/>
        <w:tc>
          <w:tcPr>
            <w:tcW w:w="1901" w:type="dxa"/>
            <w:tcBorders/>
            <w:shd w:fill="auto" w:val="clear"/>
            <w:tcMar>
              <w:bottom w:w="0" w:type="dxa"/>
            </w:tcMar>
            <w:vAlign w:val="center"/>
          </w:tcPr>
          <w:p>
            <w:pPr>
              <w:pStyle w:val="TableContents"/>
              <w:spacing w:before="0" w:after="283"/>
              <w:ind w:left="0" w:right="0" w:hanging="200"/>
              <w:jc w:val="left"/>
              <w:rPr/>
            </w:pPr>
            <w:r>
              <w:rPr/>
              <w:t> </w:t>
            </w:r>
          </w:p>
        </w:tc>
        <w:tc>
          <w:tcPr>
            <w:tcW w:w="8304" w:type="dxa"/>
            <w:tcBorders/>
            <w:shd w:fill="auto" w:val="clear"/>
            <w:tcMar>
              <w:bottom w:w="0" w:type="dxa"/>
            </w:tcMar>
            <w:vAlign w:val="center"/>
          </w:tcPr>
          <w:p>
            <w:pPr>
              <w:pStyle w:val="TableContents"/>
              <w:spacing w:before="0" w:after="283"/>
              <w:jc w:val="left"/>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Effectively executed non-clinical studies to successfully enable IND filing ahead of plan</w:t>
            </w:r>
          </w:p>
        </w:tc>
      </w:tr>
      <w:tr>
        <w:trPr/>
        <w:tc>
          <w:tcPr>
            <w:tcW w:w="1901" w:type="dxa"/>
            <w:tcBorders/>
            <w:shd w:fill="auto" w:val="clear"/>
            <w:tcMar>
              <w:bottom w:w="0" w:type="dxa"/>
            </w:tcMar>
            <w:vAlign w:val="center"/>
          </w:tcPr>
          <w:p>
            <w:pPr>
              <w:pStyle w:val="TableContents"/>
              <w:spacing w:before="0" w:after="283"/>
              <w:ind w:left="0" w:right="0" w:hanging="200"/>
              <w:jc w:val="left"/>
              <w:rPr/>
            </w:pPr>
            <w:r>
              <w:rPr/>
              <w:t> </w:t>
            </w:r>
          </w:p>
        </w:tc>
        <w:tc>
          <w:tcPr>
            <w:tcW w:w="8304" w:type="dxa"/>
            <w:tcBorders/>
            <w:shd w:fill="auto" w:val="clear"/>
            <w:tcMar>
              <w:bottom w:w="0" w:type="dxa"/>
            </w:tcMar>
            <w:vAlign w:val="center"/>
          </w:tcPr>
          <w:p>
            <w:pPr>
              <w:pStyle w:val="TableContents"/>
              <w:spacing w:before="0" w:after="283"/>
              <w:jc w:val="left"/>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Provided quality assurance and quality control support to enable power up and start up of gene therapy manufacturing plant</w:t>
            </w:r>
          </w:p>
        </w:tc>
      </w:tr>
      <w:tr>
        <w:trPr/>
        <w:tc>
          <w:tcPr>
            <w:tcW w:w="1901" w:type="dxa"/>
            <w:tcBorders>
              <w:bottom w:val="single" w:sz="12" w:space="0" w:color="7CBC3E"/>
            </w:tcBorders>
            <w:shd w:fill="auto" w:val="clear"/>
            <w:tcMar>
              <w:bottom w:w="40" w:type="dxa"/>
            </w:tcMar>
            <w:vAlign w:val="center"/>
          </w:tcPr>
          <w:p>
            <w:pPr>
              <w:pStyle w:val="TableContents"/>
              <w:spacing w:before="0" w:after="283"/>
              <w:ind w:left="0" w:right="0" w:hanging="200"/>
              <w:jc w:val="left"/>
              <w:rPr/>
            </w:pPr>
            <w:r>
              <w:rPr/>
              <w:t> </w:t>
            </w:r>
          </w:p>
        </w:tc>
        <w:tc>
          <w:tcPr>
            <w:tcW w:w="8304" w:type="dxa"/>
            <w:tcBorders>
              <w:bottom w:val="single" w:sz="12" w:space="0" w:color="7CBC3E"/>
            </w:tcBorders>
            <w:shd w:fill="auto" w:val="clear"/>
            <w:tcMar>
              <w:bottom w:w="40" w:type="dxa"/>
            </w:tcMar>
            <w:vAlign w:val="center"/>
          </w:tcPr>
          <w:p>
            <w:pPr>
              <w:pStyle w:val="TableContents"/>
              <w:spacing w:before="0" w:after="283"/>
              <w:jc w:val="left"/>
              <w:rPr/>
            </w:pPr>
            <w:r>
              <w:rPr>
                <w:caps w:val="false"/>
                <w:smallCaps w:val="false"/>
                <w:color w:val="7CBC3E"/>
              </w:rPr>
              <w:t xml:space="preserve">• </w:t>
            </w:r>
            <w:r>
              <w:rPr>
                <w:caps w:val="false"/>
                <w:smallCaps w:val="false"/>
              </w:rPr>
              <w:t>  </w:t>
            </w:r>
            <w:r>
              <w:rPr>
                <w:rFonts w:ascii="Arial;Helvetica;Sans-Serif" w:hAnsi="Arial;Helvetica;Sans-Serif"/>
                <w:b w:val="false"/>
                <w:i w:val="false"/>
                <w:caps w:val="false"/>
                <w:smallCaps w:val="false"/>
                <w:sz w:val="18"/>
              </w:rPr>
              <w:t>Executed on leadership development plans to advance organizational readiness and succession planning</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Dr. Kakkis evaluated the performance of Dr. Bedrosian, Mr. Harris and Mr. Pinion after considering the above achievements and provided a proposed bonus amount for each such officer to the Compensation Committee in light of such officer’s achievements during 2022.</w:t>
      </w:r>
    </w:p>
    <w:p>
      <w:pPr>
        <w:pStyle w:val="TextBody"/>
        <w:spacing w:before="0" w:after="0"/>
        <w:ind w:left="0" w:right="0" w:hanging="0"/>
        <w:jc w:val="both"/>
        <w:rPr>
          <w:caps w:val="false"/>
          <w:smallCaps w:val="false"/>
        </w:rPr>
      </w:pPr>
      <w:r>
        <w:rPr>
          <w:caps w:val="false"/>
          <w:smallCaps w:val="false"/>
        </w:rPr>
        <w:t> </w:t>
      </w:r>
    </w:p>
    <w:p>
      <w:pPr>
        <w:pStyle w:val="Heading5"/>
        <w:spacing w:before="0" w:after="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Achievement of Goals and Relationship to Compensation Awarded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overall 93% achievement score for the 2022 corporate goals, combined with Dr. Kakkis’ assessment of the individual performance and achievement of Dr. Bedrosian, Mr. Harris and Mr. Pinion during fiscal 2022 resulted in the Compensation Committee approving bonus awards for performance in 2022 as set forth in the following table. Ms. Dier was not eligible for a 2022 bonus following her resignation.</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40" w:type="dxa"/>
          <w:right w:w="0" w:type="dxa"/>
        </w:tblCellMar>
      </w:tblPr>
      <w:tblGrid>
        <w:gridCol w:w="1309"/>
        <w:gridCol w:w="240"/>
        <w:gridCol w:w="2619"/>
        <w:gridCol w:w="420"/>
        <w:gridCol w:w="1177"/>
        <w:gridCol w:w="420"/>
        <w:gridCol w:w="1177"/>
        <w:gridCol w:w="420"/>
        <w:gridCol w:w="1156"/>
        <w:gridCol w:w="420"/>
        <w:gridCol w:w="847"/>
      </w:tblGrid>
      <w:tr>
        <w:trPr/>
        <w:tc>
          <w:tcPr>
            <w:tcW w:w="1309" w:type="dxa"/>
            <w:tcBorders>
              <w:bottom w:val="single" w:sz="12" w:space="0" w:color="7CBC3E"/>
            </w:tcBorders>
            <w:shd w:fill="auto" w:val="cle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Name</w:t>
            </w:r>
          </w:p>
        </w:tc>
        <w:tc>
          <w:tcPr>
            <w:tcW w:w="240" w:type="dxa"/>
            <w:tcBorders>
              <w:bottom w:val="single" w:sz="12" w:space="0" w:color="7CBC3E"/>
            </w:tcBorders>
            <w:shd w:fill="auto" w:val="clear"/>
            <w:vAlign w:val="center"/>
          </w:tcPr>
          <w:p>
            <w:pPr>
              <w:pStyle w:val="TableContents"/>
              <w:spacing w:before="0" w:after="283"/>
              <w:rPr/>
            </w:pPr>
            <w:r>
              <w:rPr/>
              <w:t>    </w:t>
            </w:r>
          </w:p>
        </w:tc>
        <w:tc>
          <w:tcPr>
            <w:tcW w:w="2619" w:type="dxa"/>
            <w:tcBorders>
              <w:bottom w:val="single" w:sz="12" w:space="0" w:color="7CBC3E"/>
            </w:tcBorders>
            <w:shd w:fill="auto" w:val="cle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Title</w:t>
            </w:r>
          </w:p>
        </w:tc>
        <w:tc>
          <w:tcPr>
            <w:tcW w:w="420" w:type="dxa"/>
            <w:tcBorders>
              <w:bottom w:val="single" w:sz="12" w:space="0" w:color="7CBC3E"/>
            </w:tcBorders>
            <w:shd w:fill="auto" w:val="clear"/>
            <w:vAlign w:val="center"/>
          </w:tcPr>
          <w:p>
            <w:pPr>
              <w:pStyle w:val="TableContents"/>
              <w:spacing w:before="0" w:after="283"/>
              <w:rPr/>
            </w:pPr>
            <w:r>
              <w:rPr/>
              <w:t>       </w:t>
            </w:r>
          </w:p>
        </w:tc>
        <w:tc>
          <w:tcPr>
            <w:tcW w:w="1177"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Corporate</w:t>
              <w:br/>
              <w:t>Component Score</w:t>
              <w:br/>
              <w:t>(Weighting 75%;</w:t>
              <w:br/>
              <w:t>100% for CEO)</w:t>
            </w:r>
          </w:p>
        </w:tc>
        <w:tc>
          <w:tcPr>
            <w:tcW w:w="420" w:type="dxa"/>
            <w:tcBorders>
              <w:bottom w:val="single" w:sz="12" w:space="0" w:color="7CBC3E"/>
            </w:tcBorders>
            <w:shd w:fill="auto" w:val="clear"/>
            <w:vAlign w:val="center"/>
          </w:tcPr>
          <w:p>
            <w:pPr>
              <w:pStyle w:val="TableContents"/>
              <w:spacing w:before="0" w:after="283"/>
              <w:jc w:val="right"/>
              <w:rPr/>
            </w:pPr>
            <w:r>
              <w:rPr/>
              <w:t>       </w:t>
            </w:r>
          </w:p>
        </w:tc>
        <w:tc>
          <w:tcPr>
            <w:tcW w:w="1177"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Individual</w:t>
              <w:br/>
              <w:t>Component Score</w:t>
              <w:br/>
              <w:t>(Weighting 25%)</w:t>
            </w:r>
          </w:p>
        </w:tc>
        <w:tc>
          <w:tcPr>
            <w:tcW w:w="420" w:type="dxa"/>
            <w:tcBorders>
              <w:bottom w:val="single" w:sz="12" w:space="0" w:color="7CBC3E"/>
            </w:tcBorders>
            <w:shd w:fill="auto" w:val="clear"/>
            <w:vAlign w:val="center"/>
          </w:tcPr>
          <w:p>
            <w:pPr>
              <w:pStyle w:val="TableContents"/>
              <w:spacing w:before="0" w:after="283"/>
              <w:jc w:val="right"/>
              <w:rPr/>
            </w:pPr>
            <w:r>
              <w:rPr/>
              <w:t>       </w:t>
            </w:r>
          </w:p>
        </w:tc>
        <w:tc>
          <w:tcPr>
            <w:tcW w:w="1156"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Total Fiscal 2022</w:t>
              <w:br/>
              <w:t>Bonus</w:t>
            </w:r>
          </w:p>
        </w:tc>
        <w:tc>
          <w:tcPr>
            <w:tcW w:w="420" w:type="dxa"/>
            <w:tcBorders>
              <w:bottom w:val="single" w:sz="12" w:space="0" w:color="7CBC3E"/>
            </w:tcBorders>
            <w:shd w:fill="auto" w:val="clear"/>
            <w:vAlign w:val="center"/>
          </w:tcPr>
          <w:p>
            <w:pPr>
              <w:pStyle w:val="TableContents"/>
              <w:spacing w:before="0" w:after="283"/>
              <w:jc w:val="right"/>
              <w:rPr/>
            </w:pPr>
            <w:r>
              <w:rPr/>
              <w:t>       </w:t>
            </w:r>
          </w:p>
        </w:tc>
        <w:tc>
          <w:tcPr>
            <w:tcW w:w="847"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Bonus</w:t>
              <w:br/>
              <w:t>Achieved</w:t>
              <w:br/>
              <w:t>(as %</w:t>
              <w:br/>
              <w:t>of Base</w:t>
              <w:br/>
              <w:t>Salary)</w:t>
            </w:r>
          </w:p>
        </w:tc>
      </w:tr>
      <w:tr>
        <w:trPr/>
        <w:tc>
          <w:tcPr>
            <w:tcW w:w="1309" w:type="dxa"/>
            <w:tcBorders/>
            <w:shd w:fill="auto" w:val="clear"/>
            <w:tcMar>
              <w:bottom w:w="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Emil D. Kakkis, M.D., Ph.D.</w:t>
            </w:r>
          </w:p>
        </w:tc>
        <w:tc>
          <w:tcPr>
            <w:tcW w:w="240" w:type="dxa"/>
            <w:tcBorders/>
            <w:shd w:fill="auto" w:val="clear"/>
            <w:tcMar>
              <w:bottom w:w="0" w:type="dxa"/>
            </w:tcMar>
            <w:vAlign w:val="center"/>
          </w:tcPr>
          <w:p>
            <w:pPr>
              <w:pStyle w:val="TableContents"/>
              <w:spacing w:before="0" w:after="283"/>
              <w:rPr/>
            </w:pPr>
            <w:r>
              <w:rPr/>
              <w:t> </w:t>
            </w:r>
          </w:p>
        </w:tc>
        <w:tc>
          <w:tcPr>
            <w:tcW w:w="2619"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President and Chief Executive Officer</w:t>
            </w:r>
          </w:p>
        </w:tc>
        <w:tc>
          <w:tcPr>
            <w:tcW w:w="420" w:type="dxa"/>
            <w:tcBorders/>
            <w:shd w:fill="auto" w:val="clear"/>
            <w:tcMar>
              <w:bottom w:w="0" w:type="dxa"/>
            </w:tcMar>
            <w:vAlign w:val="center"/>
          </w:tcPr>
          <w:p>
            <w:pPr>
              <w:pStyle w:val="TableContents"/>
              <w:spacing w:before="0" w:after="283"/>
              <w:jc w:val="center"/>
              <w:rPr/>
            </w:pPr>
            <w:r>
              <w:rPr/>
              <w:t> </w:t>
            </w:r>
          </w:p>
        </w:tc>
        <w:tc>
          <w:tcPr>
            <w:tcW w:w="1177"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93</w:t>
            </w:r>
          </w:p>
        </w:tc>
        <w:tc>
          <w:tcPr>
            <w:tcW w:w="420" w:type="dxa"/>
            <w:tcBorders/>
            <w:shd w:fill="auto" w:val="clear"/>
            <w:tcMar>
              <w:bottom w:w="0" w:type="dxa"/>
            </w:tcMar>
            <w:vAlign w:val="center"/>
          </w:tcPr>
          <w:p>
            <w:pPr>
              <w:pStyle w:val="TableContents"/>
              <w:spacing w:before="0" w:after="283"/>
              <w:jc w:val="center"/>
              <w:rPr/>
            </w:pPr>
            <w:r>
              <w:rPr/>
              <w:t> </w:t>
            </w:r>
          </w:p>
        </w:tc>
        <w:tc>
          <w:tcPr>
            <w:tcW w:w="1177" w:type="dxa"/>
            <w:tcBorders/>
            <w:shd w:fill="auto"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420" w:type="dxa"/>
            <w:tcBorders/>
            <w:shd w:fill="auto" w:val="clear"/>
            <w:tcMar>
              <w:bottom w:w="0" w:type="dxa"/>
            </w:tcMar>
            <w:vAlign w:val="center"/>
          </w:tcPr>
          <w:p>
            <w:pPr>
              <w:pStyle w:val="TableContents"/>
              <w:spacing w:before="0" w:after="283"/>
              <w:jc w:val="center"/>
              <w:rPr/>
            </w:pPr>
            <w:r>
              <w:rPr/>
              <w:t> </w:t>
            </w:r>
          </w:p>
        </w:tc>
        <w:tc>
          <w:tcPr>
            <w:tcW w:w="1156"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558,000</w:t>
            </w:r>
          </w:p>
        </w:tc>
        <w:tc>
          <w:tcPr>
            <w:tcW w:w="420" w:type="dxa"/>
            <w:tcBorders/>
            <w:shd w:fill="auto" w:val="clear"/>
            <w:tcMar>
              <w:bottom w:w="0" w:type="dxa"/>
            </w:tcMar>
            <w:vAlign w:val="center"/>
          </w:tcPr>
          <w:p>
            <w:pPr>
              <w:pStyle w:val="TableContents"/>
              <w:spacing w:before="0" w:after="283"/>
              <w:jc w:val="center"/>
              <w:rPr/>
            </w:pPr>
            <w:r>
              <w:rPr/>
              <w:t> </w:t>
            </w:r>
          </w:p>
        </w:tc>
        <w:tc>
          <w:tcPr>
            <w:tcW w:w="847"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70</w:t>
            </w:r>
          </w:p>
        </w:tc>
      </w:tr>
      <w:tr>
        <w:trPr/>
        <w:tc>
          <w:tcPr>
            <w:tcW w:w="1309" w:type="dxa"/>
            <w:tcBorders/>
            <w:shd w:fill="EFF6EA" w:val="clear"/>
            <w:tcMar>
              <w:bottom w:w="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Camille L. Bedrosian, M.D.</w:t>
            </w:r>
          </w:p>
        </w:tc>
        <w:tc>
          <w:tcPr>
            <w:tcW w:w="240" w:type="dxa"/>
            <w:tcBorders/>
            <w:shd w:fill="EFF6EA" w:val="clear"/>
            <w:tcMar>
              <w:bottom w:w="0" w:type="dxa"/>
            </w:tcMar>
            <w:vAlign w:val="center"/>
          </w:tcPr>
          <w:p>
            <w:pPr>
              <w:pStyle w:val="TableContents"/>
              <w:spacing w:before="0" w:after="283"/>
              <w:rPr/>
            </w:pPr>
            <w:r>
              <w:rPr/>
              <w:t> </w:t>
            </w:r>
          </w:p>
        </w:tc>
        <w:tc>
          <w:tcPr>
            <w:tcW w:w="2619" w:type="dxa"/>
            <w:tcBorders/>
            <w:shd w:fill="EFF6EA"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Chief Medical Officer and Executive Vice President</w:t>
            </w:r>
          </w:p>
        </w:tc>
        <w:tc>
          <w:tcPr>
            <w:tcW w:w="420" w:type="dxa"/>
            <w:tcBorders/>
            <w:shd w:fill="EFF6EA" w:val="clear"/>
            <w:tcMar>
              <w:bottom w:w="0" w:type="dxa"/>
            </w:tcMar>
            <w:vAlign w:val="center"/>
          </w:tcPr>
          <w:p>
            <w:pPr>
              <w:pStyle w:val="TableContents"/>
              <w:spacing w:before="0" w:after="283"/>
              <w:jc w:val="center"/>
              <w:rPr/>
            </w:pPr>
            <w:r>
              <w:rPr/>
              <w:t> </w:t>
            </w:r>
          </w:p>
        </w:tc>
        <w:tc>
          <w:tcPr>
            <w:tcW w:w="1177"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93</w:t>
            </w:r>
          </w:p>
        </w:tc>
        <w:tc>
          <w:tcPr>
            <w:tcW w:w="420" w:type="dxa"/>
            <w:tcBorders/>
            <w:shd w:fill="EFF6EA" w:val="clear"/>
            <w:tcMar>
              <w:bottom w:w="0" w:type="dxa"/>
            </w:tcMar>
            <w:vAlign w:val="center"/>
          </w:tcPr>
          <w:p>
            <w:pPr>
              <w:pStyle w:val="TableContents"/>
              <w:spacing w:before="0" w:after="283"/>
              <w:jc w:val="center"/>
              <w:rPr/>
            </w:pPr>
            <w:r>
              <w:rPr/>
              <w:t> </w:t>
            </w:r>
          </w:p>
        </w:tc>
        <w:tc>
          <w:tcPr>
            <w:tcW w:w="1177"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50</w:t>
            </w:r>
          </w:p>
        </w:tc>
        <w:tc>
          <w:tcPr>
            <w:tcW w:w="420" w:type="dxa"/>
            <w:tcBorders/>
            <w:shd w:fill="EFF6EA" w:val="clear"/>
            <w:tcMar>
              <w:bottom w:w="0" w:type="dxa"/>
            </w:tcMar>
            <w:vAlign w:val="center"/>
          </w:tcPr>
          <w:p>
            <w:pPr>
              <w:pStyle w:val="TableContents"/>
              <w:spacing w:before="0" w:after="283"/>
              <w:jc w:val="center"/>
              <w:rPr/>
            </w:pPr>
            <w:r>
              <w:rPr/>
              <w:t> </w:t>
            </w:r>
          </w:p>
        </w:tc>
        <w:tc>
          <w:tcPr>
            <w:tcW w:w="1156"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246,750</w:t>
            </w:r>
          </w:p>
        </w:tc>
        <w:tc>
          <w:tcPr>
            <w:tcW w:w="420" w:type="dxa"/>
            <w:tcBorders/>
            <w:shd w:fill="EFF6EA" w:val="clear"/>
            <w:tcMar>
              <w:bottom w:w="0" w:type="dxa"/>
            </w:tcMar>
            <w:vAlign w:val="center"/>
          </w:tcPr>
          <w:p>
            <w:pPr>
              <w:pStyle w:val="TableContents"/>
              <w:spacing w:before="0" w:after="283"/>
              <w:jc w:val="center"/>
              <w:rPr/>
            </w:pPr>
            <w:r>
              <w:rPr/>
              <w:t> </w:t>
            </w:r>
          </w:p>
        </w:tc>
        <w:tc>
          <w:tcPr>
            <w:tcW w:w="847"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41</w:t>
            </w:r>
          </w:p>
        </w:tc>
      </w:tr>
      <w:tr>
        <w:trPr/>
        <w:tc>
          <w:tcPr>
            <w:tcW w:w="1309" w:type="dxa"/>
            <w:tcBorders/>
            <w:shd w:fill="auto" w:val="clear"/>
            <w:tcMar>
              <w:bottom w:w="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Erik Harris</w:t>
            </w:r>
          </w:p>
        </w:tc>
        <w:tc>
          <w:tcPr>
            <w:tcW w:w="240" w:type="dxa"/>
            <w:tcBorders/>
            <w:shd w:fill="auto" w:val="clear"/>
            <w:tcMar>
              <w:bottom w:w="0" w:type="dxa"/>
            </w:tcMar>
            <w:vAlign w:val="center"/>
          </w:tcPr>
          <w:p>
            <w:pPr>
              <w:pStyle w:val="TableContents"/>
              <w:spacing w:before="0" w:after="283"/>
              <w:rPr/>
            </w:pPr>
            <w:r>
              <w:rPr/>
              <w:t> </w:t>
            </w:r>
          </w:p>
        </w:tc>
        <w:tc>
          <w:tcPr>
            <w:tcW w:w="2619"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Chief Commercial Officer and Executive Vice President</w:t>
            </w:r>
          </w:p>
        </w:tc>
        <w:tc>
          <w:tcPr>
            <w:tcW w:w="420" w:type="dxa"/>
            <w:tcBorders/>
            <w:shd w:fill="auto" w:val="clear"/>
            <w:tcMar>
              <w:bottom w:w="0" w:type="dxa"/>
            </w:tcMar>
            <w:vAlign w:val="center"/>
          </w:tcPr>
          <w:p>
            <w:pPr>
              <w:pStyle w:val="TableContents"/>
              <w:spacing w:before="0" w:after="283"/>
              <w:jc w:val="center"/>
              <w:rPr/>
            </w:pPr>
            <w:r>
              <w:rPr/>
              <w:t> </w:t>
            </w:r>
          </w:p>
        </w:tc>
        <w:tc>
          <w:tcPr>
            <w:tcW w:w="1177"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93</w:t>
            </w:r>
          </w:p>
        </w:tc>
        <w:tc>
          <w:tcPr>
            <w:tcW w:w="420" w:type="dxa"/>
            <w:tcBorders/>
            <w:shd w:fill="auto" w:val="clear"/>
            <w:tcMar>
              <w:bottom w:w="0" w:type="dxa"/>
            </w:tcMar>
            <w:vAlign w:val="center"/>
          </w:tcPr>
          <w:p>
            <w:pPr>
              <w:pStyle w:val="TableContents"/>
              <w:spacing w:before="0" w:after="283"/>
              <w:jc w:val="center"/>
              <w:rPr/>
            </w:pPr>
            <w:r>
              <w:rPr/>
              <w:t> </w:t>
            </w:r>
          </w:p>
        </w:tc>
        <w:tc>
          <w:tcPr>
            <w:tcW w:w="1177"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100</w:t>
            </w:r>
          </w:p>
        </w:tc>
        <w:tc>
          <w:tcPr>
            <w:tcW w:w="420" w:type="dxa"/>
            <w:tcBorders/>
            <w:shd w:fill="auto" w:val="clear"/>
            <w:tcMar>
              <w:bottom w:w="0" w:type="dxa"/>
            </w:tcMar>
            <w:vAlign w:val="center"/>
          </w:tcPr>
          <w:p>
            <w:pPr>
              <w:pStyle w:val="TableContents"/>
              <w:spacing w:before="0" w:after="283"/>
              <w:jc w:val="center"/>
              <w:rPr/>
            </w:pPr>
            <w:r>
              <w:rPr/>
              <w:t> </w:t>
            </w:r>
          </w:p>
        </w:tc>
        <w:tc>
          <w:tcPr>
            <w:tcW w:w="1156"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269,706</w:t>
            </w:r>
          </w:p>
        </w:tc>
        <w:tc>
          <w:tcPr>
            <w:tcW w:w="420" w:type="dxa"/>
            <w:tcBorders/>
            <w:shd w:fill="auto" w:val="clear"/>
            <w:tcMar>
              <w:bottom w:w="0" w:type="dxa"/>
            </w:tcMar>
            <w:vAlign w:val="center"/>
          </w:tcPr>
          <w:p>
            <w:pPr>
              <w:pStyle w:val="TableContents"/>
              <w:spacing w:before="0" w:after="283"/>
              <w:jc w:val="center"/>
              <w:rPr/>
            </w:pPr>
            <w:r>
              <w:rPr/>
              <w:t> </w:t>
            </w:r>
          </w:p>
        </w:tc>
        <w:tc>
          <w:tcPr>
            <w:tcW w:w="847"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47</w:t>
            </w:r>
          </w:p>
        </w:tc>
      </w:tr>
      <w:tr>
        <w:trPr/>
        <w:tc>
          <w:tcPr>
            <w:tcW w:w="1309" w:type="dxa"/>
            <w:tcBorders>
              <w:bottom w:val="single" w:sz="12" w:space="0" w:color="7CBC3E"/>
            </w:tcBorders>
            <w:shd w:fill="EFF6EA" w:val="cle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John R. Pinion II</w:t>
            </w:r>
          </w:p>
        </w:tc>
        <w:tc>
          <w:tcPr>
            <w:tcW w:w="240" w:type="dxa"/>
            <w:tcBorders>
              <w:bottom w:val="single" w:sz="12" w:space="0" w:color="7CBC3E"/>
            </w:tcBorders>
            <w:shd w:fill="EFF6EA" w:val="clear"/>
            <w:vAlign w:val="center"/>
          </w:tcPr>
          <w:p>
            <w:pPr>
              <w:pStyle w:val="TableContents"/>
              <w:spacing w:before="0" w:after="283"/>
              <w:rPr/>
            </w:pPr>
            <w:r>
              <w:rPr/>
              <w:t> </w:t>
            </w:r>
          </w:p>
        </w:tc>
        <w:tc>
          <w:tcPr>
            <w:tcW w:w="2619" w:type="dxa"/>
            <w:tcBorders>
              <w:bottom w:val="single" w:sz="12" w:space="0" w:color="7CBC3E"/>
            </w:tcBorders>
            <w:shd w:fill="EFF6EA"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Chief Quality Officer and Executive Vice President of Translational Sciences</w:t>
            </w:r>
          </w:p>
        </w:tc>
        <w:tc>
          <w:tcPr>
            <w:tcW w:w="420" w:type="dxa"/>
            <w:tcBorders>
              <w:bottom w:val="single" w:sz="12" w:space="0" w:color="7CBC3E"/>
            </w:tcBorders>
            <w:shd w:fill="EFF6EA" w:val="clear"/>
            <w:vAlign w:val="center"/>
          </w:tcPr>
          <w:p>
            <w:pPr>
              <w:pStyle w:val="TableContents"/>
              <w:spacing w:before="0" w:after="283"/>
              <w:jc w:val="center"/>
              <w:rPr/>
            </w:pPr>
            <w:r>
              <w:rPr/>
              <w:t> </w:t>
            </w:r>
          </w:p>
        </w:tc>
        <w:tc>
          <w:tcPr>
            <w:tcW w:w="1177" w:type="dxa"/>
            <w:tcBorders>
              <w:bottom w:val="single" w:sz="12" w:space="0" w:color="7CBC3E"/>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93</w:t>
            </w:r>
          </w:p>
        </w:tc>
        <w:tc>
          <w:tcPr>
            <w:tcW w:w="420" w:type="dxa"/>
            <w:tcBorders>
              <w:bottom w:val="single" w:sz="12" w:space="0" w:color="7CBC3E"/>
            </w:tcBorders>
            <w:shd w:fill="EFF6EA" w:val="clear"/>
            <w:vAlign w:val="center"/>
          </w:tcPr>
          <w:p>
            <w:pPr>
              <w:pStyle w:val="TableContents"/>
              <w:spacing w:before="0" w:after="283"/>
              <w:jc w:val="center"/>
              <w:rPr/>
            </w:pPr>
            <w:r>
              <w:rPr/>
              <w:t> </w:t>
            </w:r>
          </w:p>
        </w:tc>
        <w:tc>
          <w:tcPr>
            <w:tcW w:w="1177" w:type="dxa"/>
            <w:tcBorders>
              <w:bottom w:val="single" w:sz="12" w:space="0" w:color="7CBC3E"/>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110</w:t>
            </w:r>
          </w:p>
        </w:tc>
        <w:tc>
          <w:tcPr>
            <w:tcW w:w="420" w:type="dxa"/>
            <w:tcBorders>
              <w:bottom w:val="single" w:sz="12" w:space="0" w:color="7CBC3E"/>
            </w:tcBorders>
            <w:shd w:fill="EFF6EA" w:val="clear"/>
            <w:vAlign w:val="center"/>
          </w:tcPr>
          <w:p>
            <w:pPr>
              <w:pStyle w:val="TableContents"/>
              <w:spacing w:before="0" w:after="283"/>
              <w:jc w:val="center"/>
              <w:rPr/>
            </w:pPr>
            <w:r>
              <w:rPr/>
              <w:t> </w:t>
            </w:r>
          </w:p>
        </w:tc>
        <w:tc>
          <w:tcPr>
            <w:tcW w:w="1156" w:type="dxa"/>
            <w:tcBorders>
              <w:bottom w:val="single" w:sz="12" w:space="0" w:color="7CBC3E"/>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260,679</w:t>
            </w:r>
          </w:p>
        </w:tc>
        <w:tc>
          <w:tcPr>
            <w:tcW w:w="420" w:type="dxa"/>
            <w:tcBorders>
              <w:bottom w:val="single" w:sz="12" w:space="0" w:color="7CBC3E"/>
            </w:tcBorders>
            <w:shd w:fill="EFF6EA" w:val="clear"/>
            <w:vAlign w:val="center"/>
          </w:tcPr>
          <w:p>
            <w:pPr>
              <w:pStyle w:val="TableContents"/>
              <w:spacing w:before="0" w:after="283"/>
              <w:jc w:val="center"/>
              <w:rPr/>
            </w:pPr>
            <w:r>
              <w:rPr/>
              <w:t> </w:t>
            </w:r>
          </w:p>
        </w:tc>
        <w:tc>
          <w:tcPr>
            <w:tcW w:w="847" w:type="dxa"/>
            <w:tcBorders>
              <w:bottom w:val="single" w:sz="12" w:space="0" w:color="7CBC3E"/>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49</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bonuses awarded under our 2022 annual incentive program were paid in March 2023.</w:t>
      </w:r>
    </w:p>
    <w:p>
      <w:pPr>
        <w:pStyle w:val="TextBody"/>
        <w:spacing w:before="0" w:after="0"/>
        <w:ind w:left="0" w:right="0" w:hanging="0"/>
        <w:rPr>
          <w:caps w:val="false"/>
          <w:smallCaps w:val="false"/>
        </w:rPr>
      </w:pPr>
      <w:r>
        <w:rPr>
          <w:caps w:val="false"/>
          <w:smallCaps w:val="fals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Equity Compensation</w:t>
      </w:r>
    </w:p>
    <w:p>
      <w:pPr>
        <w:pStyle w:val="TextBody"/>
        <w:spacing w:before="0" w:after="0"/>
        <w:ind w:left="0" w:right="0" w:hanging="0"/>
        <w:rPr>
          <w:caps w:val="false"/>
          <w:smallCaps w:val="false"/>
          <w:color w:val="7CBC3E"/>
        </w:rPr>
      </w:pPr>
      <w:r>
        <w:rPr>
          <w:caps w:val="false"/>
          <w:smallCaps w:val="false"/>
          <w:color w:val="7CBC3E"/>
        </w:rPr>
        <w:t> </w:t>
      </w:r>
    </w:p>
    <w:p>
      <w:pPr>
        <w:pStyle w:val="Heading5"/>
        <w:spacing w:before="0" w:after="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caps w:val="false"/>
          <w:smallCaps w:val="false"/>
          <w:sz w:val="18"/>
        </w:rPr>
        <w:t xml:space="preserve">Stock Options, Restricted Stock Units and Performance Stock Units. </w:t>
      </w:r>
      <w:r>
        <w:rPr>
          <w:rFonts w:ascii="Arial;Helvetica;Sans-Serif" w:hAnsi="Arial;Helvetica;Sans-Serif"/>
          <w:b w:val="false"/>
          <w:i w:val="false"/>
          <w:caps w:val="false"/>
          <w:smallCaps w:val="false"/>
          <w:sz w:val="18"/>
        </w:rPr>
        <w:t>Executive officers are eligible to receive equity compensation in the form of stock options, RSUs and/or PSUs. The Compensation Committee grants stock options, RSUs and/or PSUs annually to executive officers to recognize their contributions to the achievement of corporate objectives, to align their interests with those of our stockholders by creating value tied to the performance of our stock price, and for retention purposes. In determining the form and value of an annual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our overall performance relative to corporate objectives. The Compensation Committee also grants stock options and RSUs to new executive officer hires.</w:t>
      </w:r>
    </w:p>
    <w:p>
      <w:pPr>
        <w:pStyle w:val="TextBody"/>
        <w:spacing w:before="0" w:after="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 </w:t>
      </w:r>
      <w:r>
        <w:rPr>
          <w:rFonts w:ascii="Arial;Helvetica;Sans-Serif" w:hAnsi="Arial;Helvetica;Sans-Serif"/>
          <w:b/>
          <w:i w:val="false"/>
          <w:caps w:val="false"/>
          <w:smallCaps w:val="false"/>
          <w:color w:val="7ABD3E"/>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53</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terms of our 2014 Incentive Plan, pursuant to which all equity grants are currently made, the exercise price of any stock options awarded must be equal to at least 100% of the fair market value of our common stock (the closing sales price on The Nasdaq Global Select Market) on the date of grant. We do not have any program, plan or obligation that requires us to grant equity awards on specified dates, although we make annual equity grants in or around March of each year to allow management and the Compensation Committee to review all elements of compensation at the same point in the year. We also do not have any program, plan or practice to time award dates of stock option grants to our executive officers in coordination with the release of material nonpublic information and typically our annual grants occur during an open trading window. Equity awards may occasionally be granted following a significant change in job responsibilities or to meet special retention or performance objectives.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Authority to make equity grants to executive officers rests with the Compensation Committee. Recommendations for equity grants are made by Aon based on grant values for similarly situated executive positions in our peer group companies and accounting for dilution constraints. Our CEO recommends grants for individual executives within those guidelines. The Compensation Committee then reviews and considers our CEO’s recommendation and approves the final grant amounts. The Compensation Committee also determines and approves the final grant amounts to our CEO.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annual equity awards serve as a useful performance recognition mechanism, encouraging the retention of executive officers by maintaining their focus on our long-term performance, as well as on the achievement of specific performance goals. Our typical option awards to executive officers (including our named executive officers) have a term of 10 years and vest and become exercisable over a period of four years, with 25% of the underlying shares vesting on the first anniversary of the grant date and the remainder monthly over the next three years. Our typical RSU awards to executive officers (including our named executive officers) vest and become exercisable over a period of four years, with 25% of the underlying shares vesting on each anniversary of the grant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to the new hire and annual equity awards described above, the Compensation Committee considers grants of other equity awards, as needed, to align business strategy with our compensation practices.</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Annual Equity Grants in Fiscal 2022</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March 2022, the Compensation Committee approved equity grants that reflected an equal value split among options, RSUs and PSUs.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PSU awards granted to our executive officers in March 2022 (2022 PSUs) consist of a revenue portion (80% of the PSUs) with a two-year performance period and a relative total stockholder return (TSR) portion (20% of the PSUs) with a three-year performance period. The revenue-based 2022 PSUs will vest based upon achievement of revenue-based targets during the period beginning January 1, 2022 and ending December 31, 2023, with all of the earned revenue-based PSUs vesting on the later of (i) the date in which the Compensation Committee certifies such achievement and (ii) March 1, 2024. The revenue-based PSUs will be earned at 50% of target for threshold performance and 200% of target for maximum performance, with no PSUs becoming earning for below threshold performance.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relative TSR-based 2022 PSUs will vest based upon our TSR performance relative to the TSR of the companies in the Nasdaq Biotechnology Index during the period beginning January 1, 2022 and ending December 31, 2024, with all of the earned relative TSR-based PSUs vesting on the later of (i) the date in which the Compensation Committee certifies such achievement and (ii) March 1, 2025. The relative TSR-based PSUs will be earned as follows based on our percentile ranking among the Nasdaq Biotechnology Index during the performance period:</w:t>
      </w:r>
    </w:p>
    <w:p>
      <w:pPr>
        <w:pStyle w:val="TextBody"/>
        <w:spacing w:before="0" w:after="0"/>
        <w:ind w:left="0" w:right="0" w:hanging="0"/>
        <w:jc w:val="both"/>
        <w:rPr>
          <w:caps w:val="false"/>
          <w:smallCaps w:val="false"/>
        </w:rPr>
      </w:pPr>
      <w:r>
        <w:rPr>
          <w:caps w:val="false"/>
          <w:smallCaps w:val="false"/>
        </w:rPr>
        <w:t> </w:t>
      </w:r>
    </w:p>
    <w:tbl>
      <w:tblPr>
        <w:tblW w:w="4875" w:type="dxa"/>
        <w:jc w:val="left"/>
        <w:tblInd w:w="0" w:type="dxa"/>
        <w:tblCellMar>
          <w:top w:w="0" w:type="dxa"/>
          <w:left w:w="0" w:type="dxa"/>
          <w:bottom w:w="40" w:type="dxa"/>
          <w:right w:w="0" w:type="dxa"/>
        </w:tblCellMar>
      </w:tblPr>
      <w:tblGrid>
        <w:gridCol w:w="1880"/>
        <w:gridCol w:w="60"/>
        <w:gridCol w:w="1295"/>
        <w:gridCol w:w="60"/>
        <w:gridCol w:w="1580"/>
      </w:tblGrid>
      <w:tr>
        <w:trPr/>
        <w:tc>
          <w:tcPr>
            <w:tcW w:w="1880" w:type="dxa"/>
            <w:tcBorders>
              <w:bottom w:val="single" w:sz="12" w:space="0" w:color="7CBC3E"/>
            </w:tcBorders>
            <w:shd w:fill="auto" w:val="clear"/>
            <w:vAlign w:val="center"/>
          </w:tcPr>
          <w:p>
            <w:pPr>
              <w:pStyle w:val="TableContents"/>
              <w:spacing w:before="0" w:after="283"/>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Level of Performance</w:t>
            </w:r>
          </w:p>
        </w:tc>
        <w:tc>
          <w:tcPr>
            <w:tcW w:w="60" w:type="dxa"/>
            <w:tcBorders>
              <w:bottom w:val="single" w:sz="12" w:space="0" w:color="7CBC3E"/>
            </w:tcBorders>
            <w:shd w:fill="auto" w:val="clear"/>
            <w:vAlign w:val="center"/>
          </w:tcPr>
          <w:p>
            <w:pPr>
              <w:pStyle w:val="TableContents"/>
              <w:spacing w:before="0" w:after="283"/>
              <w:jc w:val="right"/>
              <w:rPr/>
            </w:pPr>
            <w:r>
              <w:rPr/>
              <w:t> </w:t>
            </w:r>
          </w:p>
        </w:tc>
        <w:tc>
          <w:tcPr>
            <w:tcW w:w="1295"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TSR Percentile</w:t>
            </w:r>
          </w:p>
        </w:tc>
        <w:tc>
          <w:tcPr>
            <w:tcW w:w="60" w:type="dxa"/>
            <w:tcBorders>
              <w:bottom w:val="single" w:sz="12" w:space="0" w:color="7CBC3E"/>
            </w:tcBorders>
            <w:shd w:fill="auto" w:val="clear"/>
            <w:vAlign w:val="center"/>
          </w:tcPr>
          <w:p>
            <w:pPr>
              <w:pStyle w:val="TableContents"/>
              <w:spacing w:before="0" w:after="283"/>
              <w:jc w:val="right"/>
              <w:rPr/>
            </w:pPr>
            <w:r>
              <w:rPr/>
              <w:t> </w:t>
            </w:r>
          </w:p>
        </w:tc>
        <w:tc>
          <w:tcPr>
            <w:tcW w:w="1580"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Earned TSR PSUs</w:t>
            </w:r>
          </w:p>
        </w:tc>
      </w:tr>
      <w:tr>
        <w:trPr/>
        <w:tc>
          <w:tcPr>
            <w:tcW w:w="1880"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Threshold</w:t>
            </w:r>
          </w:p>
        </w:tc>
        <w:tc>
          <w:tcPr>
            <w:tcW w:w="60" w:type="dxa"/>
            <w:tcBorders/>
            <w:shd w:fill="auto" w:val="clear"/>
            <w:tcMar>
              <w:bottom w:w="0" w:type="dxa"/>
            </w:tcMar>
            <w:vAlign w:val="center"/>
          </w:tcPr>
          <w:p>
            <w:pPr>
              <w:pStyle w:val="TableContents"/>
              <w:spacing w:before="0" w:after="283"/>
              <w:jc w:val="right"/>
              <w:rPr/>
            </w:pPr>
            <w:r>
              <w:rPr/>
              <w:t> </w:t>
            </w:r>
          </w:p>
        </w:tc>
        <w:tc>
          <w:tcPr>
            <w:tcW w:w="1295"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25</w:t>
            </w:r>
            <w:r>
              <w:rPr>
                <w:rFonts w:ascii="Arial;Helvetica;Sans-Serif" w:hAnsi="Arial;Helvetica;Sans-Serif"/>
                <w:b w:val="false"/>
                <w:i w:val="false"/>
                <w:caps w:val="false"/>
                <w:smallCaps w:val="false"/>
                <w:position w:val="6"/>
                <w:sz w:val="14"/>
                <w:sz w:val="18"/>
              </w:rPr>
              <w:t>th</w:t>
            </w:r>
          </w:p>
        </w:tc>
        <w:tc>
          <w:tcPr>
            <w:tcW w:w="60" w:type="dxa"/>
            <w:tcBorders/>
            <w:shd w:fill="auto" w:val="clear"/>
            <w:tcMar>
              <w:bottom w:w="0" w:type="dxa"/>
            </w:tcMar>
            <w:vAlign w:val="center"/>
          </w:tcPr>
          <w:p>
            <w:pPr>
              <w:pStyle w:val="TableContents"/>
              <w:spacing w:before="0" w:after="283"/>
              <w:jc w:val="right"/>
              <w:rPr/>
            </w:pPr>
            <w:r>
              <w:rPr/>
              <w:t> </w:t>
            </w:r>
          </w:p>
        </w:tc>
        <w:tc>
          <w:tcPr>
            <w:tcW w:w="1580"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25%</w:t>
            </w:r>
          </w:p>
        </w:tc>
      </w:tr>
      <w:tr>
        <w:trPr/>
        <w:tc>
          <w:tcPr>
            <w:tcW w:w="1880" w:type="dxa"/>
            <w:tcBorders/>
            <w:shd w:fill="EFF6EA"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Target</w:t>
            </w:r>
          </w:p>
        </w:tc>
        <w:tc>
          <w:tcPr>
            <w:tcW w:w="60" w:type="dxa"/>
            <w:tcBorders/>
            <w:shd w:fill="EFF6EA" w:val="clear"/>
            <w:tcMar>
              <w:bottom w:w="0" w:type="dxa"/>
            </w:tcMar>
            <w:vAlign w:val="center"/>
          </w:tcPr>
          <w:p>
            <w:pPr>
              <w:pStyle w:val="TableContents"/>
              <w:spacing w:before="0" w:after="283"/>
              <w:jc w:val="right"/>
              <w:rPr/>
            </w:pPr>
            <w:r>
              <w:rPr/>
              <w:t> </w:t>
            </w:r>
          </w:p>
        </w:tc>
        <w:tc>
          <w:tcPr>
            <w:tcW w:w="1295"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50</w:t>
            </w:r>
            <w:r>
              <w:rPr>
                <w:rFonts w:ascii="Arial;Helvetica;Sans-Serif" w:hAnsi="Arial;Helvetica;Sans-Serif"/>
                <w:b w:val="false"/>
                <w:i w:val="false"/>
                <w:caps w:val="false"/>
                <w:smallCaps w:val="false"/>
                <w:position w:val="6"/>
                <w:sz w:val="14"/>
                <w:sz w:val="18"/>
              </w:rPr>
              <w:t>th</w:t>
            </w:r>
          </w:p>
        </w:tc>
        <w:tc>
          <w:tcPr>
            <w:tcW w:w="60" w:type="dxa"/>
            <w:tcBorders/>
            <w:shd w:fill="EFF6EA" w:val="clear"/>
            <w:tcMar>
              <w:bottom w:w="0" w:type="dxa"/>
            </w:tcMar>
            <w:vAlign w:val="center"/>
          </w:tcPr>
          <w:p>
            <w:pPr>
              <w:pStyle w:val="TableContents"/>
              <w:spacing w:before="0" w:after="283"/>
              <w:jc w:val="right"/>
              <w:rPr/>
            </w:pPr>
            <w:r>
              <w:rPr/>
              <w:t> </w:t>
            </w:r>
          </w:p>
        </w:tc>
        <w:tc>
          <w:tcPr>
            <w:tcW w:w="1580"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100%</w:t>
            </w:r>
          </w:p>
        </w:tc>
      </w:tr>
      <w:tr>
        <w:trPr/>
        <w:tc>
          <w:tcPr>
            <w:tcW w:w="1880"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Stretch</w:t>
            </w:r>
          </w:p>
        </w:tc>
        <w:tc>
          <w:tcPr>
            <w:tcW w:w="60" w:type="dxa"/>
            <w:tcBorders/>
            <w:shd w:fill="auto" w:val="clear"/>
            <w:tcMar>
              <w:bottom w:w="0" w:type="dxa"/>
            </w:tcMar>
            <w:vAlign w:val="center"/>
          </w:tcPr>
          <w:p>
            <w:pPr>
              <w:pStyle w:val="TableContents"/>
              <w:spacing w:before="0" w:after="283"/>
              <w:jc w:val="right"/>
              <w:rPr/>
            </w:pPr>
            <w:r>
              <w:rPr/>
              <w:t> </w:t>
            </w:r>
          </w:p>
        </w:tc>
        <w:tc>
          <w:tcPr>
            <w:tcW w:w="1295"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75</w:t>
            </w:r>
            <w:r>
              <w:rPr>
                <w:rFonts w:ascii="Arial;Helvetica;Sans-Serif" w:hAnsi="Arial;Helvetica;Sans-Serif"/>
                <w:b w:val="false"/>
                <w:i w:val="false"/>
                <w:caps w:val="false"/>
                <w:smallCaps w:val="false"/>
                <w:position w:val="6"/>
                <w:sz w:val="14"/>
                <w:sz w:val="18"/>
              </w:rPr>
              <w:t>th</w:t>
            </w:r>
          </w:p>
        </w:tc>
        <w:tc>
          <w:tcPr>
            <w:tcW w:w="60" w:type="dxa"/>
            <w:tcBorders/>
            <w:shd w:fill="auto" w:val="clear"/>
            <w:tcMar>
              <w:bottom w:w="0" w:type="dxa"/>
            </w:tcMar>
            <w:vAlign w:val="center"/>
          </w:tcPr>
          <w:p>
            <w:pPr>
              <w:pStyle w:val="TableContents"/>
              <w:spacing w:before="0" w:after="283"/>
              <w:jc w:val="right"/>
              <w:rPr/>
            </w:pPr>
            <w:r>
              <w:rPr/>
              <w:t> </w:t>
            </w:r>
          </w:p>
        </w:tc>
        <w:tc>
          <w:tcPr>
            <w:tcW w:w="1580"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150%</w:t>
            </w:r>
          </w:p>
        </w:tc>
      </w:tr>
      <w:tr>
        <w:trPr/>
        <w:tc>
          <w:tcPr>
            <w:tcW w:w="1880" w:type="dxa"/>
            <w:tcBorders>
              <w:bottom w:val="single" w:sz="12" w:space="0" w:color="7CBC3E"/>
            </w:tcBorders>
            <w:shd w:fill="EFF6EA"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Maximum</w:t>
            </w:r>
          </w:p>
        </w:tc>
        <w:tc>
          <w:tcPr>
            <w:tcW w:w="60" w:type="dxa"/>
            <w:tcBorders>
              <w:bottom w:val="single" w:sz="12" w:space="0" w:color="7CBC3E"/>
            </w:tcBorders>
            <w:shd w:fill="EFF6EA" w:val="clear"/>
            <w:vAlign w:val="center"/>
          </w:tcPr>
          <w:p>
            <w:pPr>
              <w:pStyle w:val="TableContents"/>
              <w:spacing w:before="0" w:after="283"/>
              <w:jc w:val="right"/>
              <w:rPr/>
            </w:pPr>
            <w:r>
              <w:rPr/>
              <w:t> </w:t>
            </w:r>
          </w:p>
        </w:tc>
        <w:tc>
          <w:tcPr>
            <w:tcW w:w="1295" w:type="dxa"/>
            <w:tcBorders>
              <w:bottom w:val="single" w:sz="12" w:space="0" w:color="7CBC3E"/>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90</w:t>
            </w:r>
            <w:r>
              <w:rPr>
                <w:rFonts w:ascii="Arial;Helvetica;Sans-Serif" w:hAnsi="Arial;Helvetica;Sans-Serif"/>
                <w:b w:val="false"/>
                <w:i w:val="false"/>
                <w:caps w:val="false"/>
                <w:smallCaps w:val="false"/>
                <w:position w:val="6"/>
                <w:sz w:val="14"/>
                <w:sz w:val="18"/>
              </w:rPr>
              <w:t>th</w:t>
            </w:r>
          </w:p>
        </w:tc>
        <w:tc>
          <w:tcPr>
            <w:tcW w:w="60" w:type="dxa"/>
            <w:tcBorders>
              <w:bottom w:val="single" w:sz="12" w:space="0" w:color="7CBC3E"/>
            </w:tcBorders>
            <w:shd w:fill="EFF6EA" w:val="clear"/>
            <w:vAlign w:val="center"/>
          </w:tcPr>
          <w:p>
            <w:pPr>
              <w:pStyle w:val="TableContents"/>
              <w:spacing w:before="0" w:after="283"/>
              <w:jc w:val="right"/>
              <w:rPr/>
            </w:pPr>
            <w:r>
              <w:rPr/>
              <w:t> </w:t>
            </w:r>
          </w:p>
        </w:tc>
        <w:tc>
          <w:tcPr>
            <w:tcW w:w="1580" w:type="dxa"/>
            <w:tcBorders>
              <w:bottom w:val="single" w:sz="12" w:space="0" w:color="7CBC3E"/>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table below sets forth all equity awards granted in fiscal 2022 to our named executive officers.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40" w:type="dxa"/>
          <w:right w:w="0" w:type="dxa"/>
        </w:tblCellMar>
      </w:tblPr>
      <w:tblGrid>
        <w:gridCol w:w="1759"/>
        <w:gridCol w:w="840"/>
        <w:gridCol w:w="929"/>
        <w:gridCol w:w="840"/>
        <w:gridCol w:w="1305"/>
        <w:gridCol w:w="840"/>
        <w:gridCol w:w="1198"/>
        <w:gridCol w:w="840"/>
        <w:gridCol w:w="1654"/>
      </w:tblGrid>
      <w:tr>
        <w:trPr/>
        <w:tc>
          <w:tcPr>
            <w:tcW w:w="1759" w:type="dxa"/>
            <w:tcBorders>
              <w:bottom w:val="single" w:sz="12" w:space="0" w:color="7CBC3E"/>
            </w:tcBorders>
            <w:shd w:fill="auto" w:val="clear"/>
            <w:vAlign w:val="center"/>
          </w:tcPr>
          <w:p>
            <w:pPr>
              <w:pStyle w:val="TableContents"/>
              <w:spacing w:before="0" w:after="283"/>
              <w:ind w:left="0" w:right="0" w:firstLine="57"/>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Name</w:t>
            </w:r>
          </w:p>
        </w:tc>
        <w:tc>
          <w:tcPr>
            <w:tcW w:w="840" w:type="dxa"/>
            <w:tcBorders>
              <w:bottom w:val="single" w:sz="12" w:space="0" w:color="7CBC3E"/>
            </w:tcBorders>
            <w:shd w:fill="auto" w:val="clear"/>
            <w:vAlign w:val="center"/>
          </w:tcPr>
          <w:p>
            <w:pPr>
              <w:pStyle w:val="TableContents"/>
              <w:spacing w:before="0" w:after="283"/>
              <w:jc w:val="right"/>
              <w:rPr/>
            </w:pPr>
            <w:r>
              <w:rPr/>
              <w:t>              </w:t>
            </w:r>
          </w:p>
        </w:tc>
        <w:tc>
          <w:tcPr>
            <w:tcW w:w="929"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Date of Grant</w:t>
            </w:r>
          </w:p>
        </w:tc>
        <w:tc>
          <w:tcPr>
            <w:tcW w:w="840" w:type="dxa"/>
            <w:tcBorders>
              <w:bottom w:val="single" w:sz="12" w:space="0" w:color="7CBC3E"/>
            </w:tcBorders>
            <w:shd w:fill="auto" w:val="clear"/>
            <w:vAlign w:val="center"/>
          </w:tcPr>
          <w:p>
            <w:pPr>
              <w:pStyle w:val="TableContents"/>
              <w:spacing w:before="0" w:after="283"/>
              <w:jc w:val="right"/>
              <w:rPr/>
            </w:pPr>
            <w:r>
              <w:rPr/>
              <w:t>              </w:t>
            </w:r>
          </w:p>
        </w:tc>
        <w:tc>
          <w:tcPr>
            <w:tcW w:w="1305"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Number of Options</w:t>
            </w:r>
          </w:p>
        </w:tc>
        <w:tc>
          <w:tcPr>
            <w:tcW w:w="840" w:type="dxa"/>
            <w:tcBorders>
              <w:bottom w:val="single" w:sz="12" w:space="0" w:color="7CBC3E"/>
            </w:tcBorders>
            <w:shd w:fill="auto" w:val="clear"/>
            <w:vAlign w:val="center"/>
          </w:tcPr>
          <w:p>
            <w:pPr>
              <w:pStyle w:val="TableContents"/>
              <w:spacing w:before="0" w:after="283"/>
              <w:jc w:val="right"/>
              <w:rPr/>
            </w:pPr>
            <w:r>
              <w:rPr/>
              <w:t>              </w:t>
            </w:r>
          </w:p>
        </w:tc>
        <w:tc>
          <w:tcPr>
            <w:tcW w:w="1198" w:type="dxa"/>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Number of RSUs</w:t>
            </w:r>
          </w:p>
        </w:tc>
        <w:tc>
          <w:tcPr>
            <w:tcW w:w="840" w:type="dxa"/>
            <w:tcBorders>
              <w:bottom w:val="single" w:sz="12" w:space="0" w:color="7CBC3E"/>
            </w:tcBorders>
            <w:shd w:fill="auto" w:val="clear"/>
            <w:vAlign w:val="center"/>
          </w:tcPr>
          <w:p>
            <w:pPr>
              <w:pStyle w:val="TableContents"/>
              <w:spacing w:before="0" w:after="283"/>
              <w:jc w:val="right"/>
              <w:rPr/>
            </w:pPr>
            <w:r>
              <w:rPr/>
              <w:t>              </w:t>
            </w:r>
          </w:p>
        </w:tc>
        <w:tc>
          <w:tcPr>
            <w:tcW w:w="1654" w:type="dxa"/>
            <w:tcBorders>
              <w:bottom w:val="single" w:sz="12" w:space="0" w:color="7CBC3E"/>
            </w:tcBorders>
            <w:shd w:fill="auto" w:val="clear"/>
            <w:vAlign w:val="center"/>
          </w:tcPr>
          <w:p>
            <w:pPr>
              <w:pStyle w:val="TableContents"/>
              <w:spacing w:before="0" w:after="283"/>
              <w:ind w:left="0" w:right="0" w:firstLine="57"/>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Target Number of PSUs</w:t>
            </w:r>
          </w:p>
        </w:tc>
      </w:tr>
      <w:tr>
        <w:trPr/>
        <w:tc>
          <w:tcPr>
            <w:tcW w:w="1759"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Emil D. Kakkis, M.D., Ph.D.</w:t>
            </w:r>
          </w:p>
        </w:tc>
        <w:tc>
          <w:tcPr>
            <w:tcW w:w="840" w:type="dxa"/>
            <w:tcBorders/>
            <w:shd w:fill="auto" w:val="clear"/>
            <w:tcMar>
              <w:bottom w:w="0" w:type="dxa"/>
            </w:tcMar>
            <w:vAlign w:val="center"/>
          </w:tcPr>
          <w:p>
            <w:pPr>
              <w:pStyle w:val="TableContents"/>
              <w:spacing w:before="0" w:after="283"/>
              <w:jc w:val="right"/>
              <w:rPr/>
            </w:pPr>
            <w:r>
              <w:rPr/>
              <w:t> </w:t>
            </w:r>
          </w:p>
        </w:tc>
        <w:tc>
          <w:tcPr>
            <w:tcW w:w="929"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3/1/2022</w:t>
            </w:r>
          </w:p>
        </w:tc>
        <w:tc>
          <w:tcPr>
            <w:tcW w:w="840" w:type="dxa"/>
            <w:tcBorders/>
            <w:shd w:fill="auto" w:val="clear"/>
            <w:tcMar>
              <w:bottom w:w="0" w:type="dxa"/>
            </w:tcMar>
            <w:vAlign w:val="center"/>
          </w:tcPr>
          <w:p>
            <w:pPr>
              <w:pStyle w:val="TableContents"/>
              <w:spacing w:before="0" w:after="283"/>
              <w:jc w:val="right"/>
              <w:rPr/>
            </w:pPr>
            <w:r>
              <w:rPr/>
              <w:t> </w:t>
            </w:r>
          </w:p>
        </w:tc>
        <w:tc>
          <w:tcPr>
            <w:tcW w:w="1305"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92,360</w:t>
            </w:r>
          </w:p>
        </w:tc>
        <w:tc>
          <w:tcPr>
            <w:tcW w:w="840" w:type="dxa"/>
            <w:tcBorders/>
            <w:shd w:fill="auto" w:val="clear"/>
            <w:tcMar>
              <w:bottom w:w="0" w:type="dxa"/>
            </w:tcMar>
            <w:vAlign w:val="center"/>
          </w:tcPr>
          <w:p>
            <w:pPr>
              <w:pStyle w:val="TableContents"/>
              <w:spacing w:before="0" w:after="283"/>
              <w:jc w:val="right"/>
              <w:rPr/>
            </w:pPr>
            <w:r>
              <w:rPr/>
              <w:t> </w:t>
            </w:r>
          </w:p>
        </w:tc>
        <w:tc>
          <w:tcPr>
            <w:tcW w:w="1198"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52,041</w:t>
            </w:r>
          </w:p>
        </w:tc>
        <w:tc>
          <w:tcPr>
            <w:tcW w:w="840" w:type="dxa"/>
            <w:tcBorders/>
            <w:shd w:fill="auto" w:val="clear"/>
            <w:tcMar>
              <w:bottom w:w="0" w:type="dxa"/>
            </w:tcMar>
            <w:vAlign w:val="center"/>
          </w:tcPr>
          <w:p>
            <w:pPr>
              <w:pStyle w:val="TableContents"/>
              <w:spacing w:before="0" w:after="283"/>
              <w:jc w:val="right"/>
              <w:rPr/>
            </w:pPr>
            <w:r>
              <w:rPr/>
              <w:t> </w:t>
            </w:r>
          </w:p>
        </w:tc>
        <w:tc>
          <w:tcPr>
            <w:tcW w:w="1654" w:type="dxa"/>
            <w:tcBorders/>
            <w:shd w:fill="auto" w:val="clear"/>
            <w:tcMar>
              <w:bottom w:w="0" w:type="dxa"/>
            </w:tcMar>
            <w:vAlign w:val="center"/>
          </w:tcPr>
          <w:p>
            <w:pPr>
              <w:pStyle w:val="TableContents"/>
              <w:spacing w:before="0" w:after="283"/>
              <w:ind w:left="0" w:right="0" w:firstLine="57"/>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52,041</w:t>
            </w:r>
          </w:p>
        </w:tc>
      </w:tr>
      <w:tr>
        <w:trPr/>
        <w:tc>
          <w:tcPr>
            <w:tcW w:w="1759" w:type="dxa"/>
            <w:tcBorders/>
            <w:shd w:fill="EFF6EA"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Camille L. Bedrosian, M.D.</w:t>
            </w:r>
          </w:p>
        </w:tc>
        <w:tc>
          <w:tcPr>
            <w:tcW w:w="840" w:type="dxa"/>
            <w:tcBorders/>
            <w:shd w:fill="EFF6EA" w:val="clear"/>
            <w:tcMar>
              <w:bottom w:w="0" w:type="dxa"/>
            </w:tcMar>
            <w:vAlign w:val="center"/>
          </w:tcPr>
          <w:p>
            <w:pPr>
              <w:pStyle w:val="TableContents"/>
              <w:spacing w:before="0" w:after="283"/>
              <w:jc w:val="right"/>
              <w:rPr/>
            </w:pPr>
            <w:r>
              <w:rPr/>
              <w:t> </w:t>
            </w:r>
          </w:p>
        </w:tc>
        <w:tc>
          <w:tcPr>
            <w:tcW w:w="929"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3/1/2022</w:t>
            </w:r>
          </w:p>
        </w:tc>
        <w:tc>
          <w:tcPr>
            <w:tcW w:w="840" w:type="dxa"/>
            <w:tcBorders/>
            <w:shd w:fill="EFF6EA" w:val="clear"/>
            <w:tcMar>
              <w:bottom w:w="0" w:type="dxa"/>
            </w:tcMar>
            <w:vAlign w:val="center"/>
          </w:tcPr>
          <w:p>
            <w:pPr>
              <w:pStyle w:val="TableContents"/>
              <w:spacing w:before="0" w:after="283"/>
              <w:jc w:val="right"/>
              <w:rPr/>
            </w:pPr>
            <w:r>
              <w:rPr/>
              <w:t> </w:t>
            </w:r>
          </w:p>
        </w:tc>
        <w:tc>
          <w:tcPr>
            <w:tcW w:w="1305"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24,900</w:t>
            </w:r>
          </w:p>
        </w:tc>
        <w:tc>
          <w:tcPr>
            <w:tcW w:w="840" w:type="dxa"/>
            <w:tcBorders/>
            <w:shd w:fill="EFF6EA" w:val="clear"/>
            <w:tcMar>
              <w:bottom w:w="0" w:type="dxa"/>
            </w:tcMar>
            <w:vAlign w:val="center"/>
          </w:tcPr>
          <w:p>
            <w:pPr>
              <w:pStyle w:val="TableContents"/>
              <w:spacing w:before="0" w:after="283"/>
              <w:jc w:val="right"/>
              <w:rPr/>
            </w:pPr>
            <w:r>
              <w:rPr/>
              <w:t> </w:t>
            </w:r>
          </w:p>
        </w:tc>
        <w:tc>
          <w:tcPr>
            <w:tcW w:w="1198"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14,000</w:t>
            </w:r>
          </w:p>
        </w:tc>
        <w:tc>
          <w:tcPr>
            <w:tcW w:w="840" w:type="dxa"/>
            <w:tcBorders/>
            <w:shd w:fill="EFF6EA" w:val="clear"/>
            <w:tcMar>
              <w:bottom w:w="0" w:type="dxa"/>
            </w:tcMar>
            <w:vAlign w:val="center"/>
          </w:tcPr>
          <w:p>
            <w:pPr>
              <w:pStyle w:val="TableContents"/>
              <w:spacing w:before="0" w:after="283"/>
              <w:jc w:val="right"/>
              <w:rPr/>
            </w:pPr>
            <w:r>
              <w:rPr/>
              <w:t> </w:t>
            </w:r>
          </w:p>
        </w:tc>
        <w:tc>
          <w:tcPr>
            <w:tcW w:w="1654" w:type="dxa"/>
            <w:tcBorders/>
            <w:shd w:fill="EFF6EA" w:val="clear"/>
            <w:tcMar>
              <w:bottom w:w="0" w:type="dxa"/>
            </w:tcMar>
            <w:vAlign w:val="center"/>
          </w:tcPr>
          <w:p>
            <w:pPr>
              <w:pStyle w:val="TableContents"/>
              <w:spacing w:before="0" w:after="283"/>
              <w:ind w:left="0" w:right="0" w:firstLine="57"/>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14,000</w:t>
            </w:r>
          </w:p>
        </w:tc>
      </w:tr>
      <w:tr>
        <w:trPr/>
        <w:tc>
          <w:tcPr>
            <w:tcW w:w="1759"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Erik Harris</w:t>
            </w:r>
          </w:p>
        </w:tc>
        <w:tc>
          <w:tcPr>
            <w:tcW w:w="840" w:type="dxa"/>
            <w:tcBorders/>
            <w:shd w:fill="auto" w:val="clear"/>
            <w:tcMar>
              <w:bottom w:w="0" w:type="dxa"/>
            </w:tcMar>
            <w:vAlign w:val="center"/>
          </w:tcPr>
          <w:p>
            <w:pPr>
              <w:pStyle w:val="TableContents"/>
              <w:spacing w:before="0" w:after="283"/>
              <w:jc w:val="right"/>
              <w:rPr/>
            </w:pPr>
            <w:r>
              <w:rPr/>
              <w:t> </w:t>
            </w:r>
          </w:p>
        </w:tc>
        <w:tc>
          <w:tcPr>
            <w:tcW w:w="929"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3/1/2022</w:t>
            </w:r>
          </w:p>
        </w:tc>
        <w:tc>
          <w:tcPr>
            <w:tcW w:w="840" w:type="dxa"/>
            <w:tcBorders/>
            <w:shd w:fill="auto" w:val="clear"/>
            <w:tcMar>
              <w:bottom w:w="0" w:type="dxa"/>
            </w:tcMar>
            <w:vAlign w:val="center"/>
          </w:tcPr>
          <w:p>
            <w:pPr>
              <w:pStyle w:val="TableContents"/>
              <w:spacing w:before="0" w:after="283"/>
              <w:jc w:val="right"/>
              <w:rPr/>
            </w:pPr>
            <w:r>
              <w:rPr/>
              <w:t> </w:t>
            </w:r>
          </w:p>
        </w:tc>
        <w:tc>
          <w:tcPr>
            <w:tcW w:w="1305"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24,900</w:t>
            </w:r>
          </w:p>
        </w:tc>
        <w:tc>
          <w:tcPr>
            <w:tcW w:w="840" w:type="dxa"/>
            <w:tcBorders/>
            <w:shd w:fill="auto" w:val="clear"/>
            <w:tcMar>
              <w:bottom w:w="0" w:type="dxa"/>
            </w:tcMar>
            <w:vAlign w:val="center"/>
          </w:tcPr>
          <w:p>
            <w:pPr>
              <w:pStyle w:val="TableContents"/>
              <w:spacing w:before="0" w:after="283"/>
              <w:jc w:val="right"/>
              <w:rPr/>
            </w:pPr>
            <w:r>
              <w:rPr/>
              <w:t> </w:t>
            </w:r>
          </w:p>
        </w:tc>
        <w:tc>
          <w:tcPr>
            <w:tcW w:w="1198"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14,000</w:t>
            </w:r>
          </w:p>
        </w:tc>
        <w:tc>
          <w:tcPr>
            <w:tcW w:w="840" w:type="dxa"/>
            <w:tcBorders/>
            <w:shd w:fill="auto" w:val="clear"/>
            <w:tcMar>
              <w:bottom w:w="0" w:type="dxa"/>
            </w:tcMar>
            <w:vAlign w:val="center"/>
          </w:tcPr>
          <w:p>
            <w:pPr>
              <w:pStyle w:val="TableContents"/>
              <w:spacing w:before="0" w:after="283"/>
              <w:jc w:val="right"/>
              <w:rPr/>
            </w:pPr>
            <w:r>
              <w:rPr/>
              <w:t> </w:t>
            </w:r>
          </w:p>
        </w:tc>
        <w:tc>
          <w:tcPr>
            <w:tcW w:w="1654" w:type="dxa"/>
            <w:tcBorders/>
            <w:shd w:fill="auto" w:val="clear"/>
            <w:tcMar>
              <w:bottom w:w="0" w:type="dxa"/>
            </w:tcMar>
            <w:vAlign w:val="center"/>
          </w:tcPr>
          <w:p>
            <w:pPr>
              <w:pStyle w:val="TableContents"/>
              <w:spacing w:before="0" w:after="283"/>
              <w:ind w:left="0" w:right="0" w:firstLine="57"/>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14,000</w:t>
            </w:r>
          </w:p>
        </w:tc>
      </w:tr>
      <w:tr>
        <w:trPr/>
        <w:tc>
          <w:tcPr>
            <w:tcW w:w="1759" w:type="dxa"/>
            <w:tcBorders/>
            <w:shd w:fill="EFF6EA"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John R. Pinion II</w:t>
            </w:r>
          </w:p>
        </w:tc>
        <w:tc>
          <w:tcPr>
            <w:tcW w:w="840" w:type="dxa"/>
            <w:tcBorders/>
            <w:shd w:fill="EFF6EA" w:val="clear"/>
            <w:tcMar>
              <w:bottom w:w="0" w:type="dxa"/>
            </w:tcMar>
            <w:vAlign w:val="center"/>
          </w:tcPr>
          <w:p>
            <w:pPr>
              <w:pStyle w:val="TableContents"/>
              <w:spacing w:before="0" w:after="283"/>
              <w:jc w:val="right"/>
              <w:rPr/>
            </w:pPr>
            <w:r>
              <w:rPr/>
              <w:t> </w:t>
            </w:r>
          </w:p>
        </w:tc>
        <w:tc>
          <w:tcPr>
            <w:tcW w:w="929"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3/1/2022</w:t>
            </w:r>
          </w:p>
        </w:tc>
        <w:tc>
          <w:tcPr>
            <w:tcW w:w="840" w:type="dxa"/>
            <w:tcBorders/>
            <w:shd w:fill="EFF6EA" w:val="clear"/>
            <w:tcMar>
              <w:bottom w:w="0" w:type="dxa"/>
            </w:tcMar>
            <w:vAlign w:val="center"/>
          </w:tcPr>
          <w:p>
            <w:pPr>
              <w:pStyle w:val="TableContents"/>
              <w:spacing w:before="0" w:after="283"/>
              <w:jc w:val="right"/>
              <w:rPr/>
            </w:pPr>
            <w:r>
              <w:rPr/>
              <w:t> </w:t>
            </w:r>
          </w:p>
        </w:tc>
        <w:tc>
          <w:tcPr>
            <w:tcW w:w="1305"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24,900</w:t>
            </w:r>
          </w:p>
        </w:tc>
        <w:tc>
          <w:tcPr>
            <w:tcW w:w="840" w:type="dxa"/>
            <w:tcBorders/>
            <w:shd w:fill="EFF6EA" w:val="clear"/>
            <w:tcMar>
              <w:bottom w:w="0" w:type="dxa"/>
            </w:tcMar>
            <w:vAlign w:val="center"/>
          </w:tcPr>
          <w:p>
            <w:pPr>
              <w:pStyle w:val="TableContents"/>
              <w:spacing w:before="0" w:after="283"/>
              <w:jc w:val="right"/>
              <w:rPr/>
            </w:pPr>
            <w:r>
              <w:rPr/>
              <w:t> </w:t>
            </w:r>
          </w:p>
        </w:tc>
        <w:tc>
          <w:tcPr>
            <w:tcW w:w="1198" w:type="dxa"/>
            <w:tcBorders/>
            <w:shd w:fill="EFF6EA"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14,000</w:t>
            </w:r>
          </w:p>
        </w:tc>
        <w:tc>
          <w:tcPr>
            <w:tcW w:w="840" w:type="dxa"/>
            <w:tcBorders/>
            <w:shd w:fill="EFF6EA" w:val="clear"/>
            <w:tcMar>
              <w:bottom w:w="0" w:type="dxa"/>
            </w:tcMar>
            <w:vAlign w:val="center"/>
          </w:tcPr>
          <w:p>
            <w:pPr>
              <w:pStyle w:val="TableContents"/>
              <w:spacing w:before="0" w:after="283"/>
              <w:jc w:val="right"/>
              <w:rPr/>
            </w:pPr>
            <w:r>
              <w:rPr/>
              <w:t> </w:t>
            </w:r>
          </w:p>
        </w:tc>
        <w:tc>
          <w:tcPr>
            <w:tcW w:w="1654" w:type="dxa"/>
            <w:tcBorders/>
            <w:shd w:fill="EFF6EA" w:val="clear"/>
            <w:tcMar>
              <w:bottom w:w="0" w:type="dxa"/>
            </w:tcMar>
            <w:vAlign w:val="center"/>
          </w:tcPr>
          <w:p>
            <w:pPr>
              <w:pStyle w:val="TableContents"/>
              <w:spacing w:before="0" w:after="283"/>
              <w:ind w:left="0" w:right="0" w:firstLine="57"/>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14,000</w:t>
            </w:r>
          </w:p>
        </w:tc>
      </w:tr>
      <w:tr>
        <w:trPr/>
        <w:tc>
          <w:tcPr>
            <w:tcW w:w="1759" w:type="dxa"/>
            <w:tcBorders/>
            <w:shd w:fill="auto"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Mardi C. Dier</w:t>
            </w:r>
            <w:r>
              <w:rPr>
                <w:rFonts w:ascii="Arial;Helvetica;Sans-Serif" w:hAnsi="Arial;Helvetica;Sans-Serif"/>
                <w:b w:val="false"/>
                <w:i w:val="false"/>
                <w:caps w:val="false"/>
                <w:smallCaps w:val="false"/>
                <w:position w:val="6"/>
                <w:sz w:val="14"/>
                <w:sz w:val="18"/>
              </w:rPr>
              <w:t>(1)</w:t>
            </w:r>
          </w:p>
        </w:tc>
        <w:tc>
          <w:tcPr>
            <w:tcW w:w="840" w:type="dxa"/>
            <w:tcBorders/>
            <w:shd w:fill="auto" w:val="clear"/>
            <w:tcMar>
              <w:bottom w:w="0" w:type="dxa"/>
            </w:tcMar>
            <w:vAlign w:val="center"/>
          </w:tcPr>
          <w:p>
            <w:pPr>
              <w:pStyle w:val="TableContents"/>
              <w:spacing w:before="0" w:after="283"/>
              <w:jc w:val="right"/>
              <w:rPr/>
            </w:pPr>
            <w:r>
              <w:rPr/>
              <w:t> </w:t>
            </w:r>
          </w:p>
        </w:tc>
        <w:tc>
          <w:tcPr>
            <w:tcW w:w="929"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3/1/2022</w:t>
            </w:r>
          </w:p>
        </w:tc>
        <w:tc>
          <w:tcPr>
            <w:tcW w:w="840" w:type="dxa"/>
            <w:tcBorders/>
            <w:shd w:fill="auto" w:val="clear"/>
            <w:tcMar>
              <w:bottom w:w="0" w:type="dxa"/>
            </w:tcMar>
            <w:vAlign w:val="center"/>
          </w:tcPr>
          <w:p>
            <w:pPr>
              <w:pStyle w:val="TableContents"/>
              <w:spacing w:before="0" w:after="283"/>
              <w:jc w:val="right"/>
              <w:rPr/>
            </w:pPr>
            <w:r>
              <w:rPr/>
              <w:t> </w:t>
            </w:r>
          </w:p>
        </w:tc>
        <w:tc>
          <w:tcPr>
            <w:tcW w:w="1305"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24,900</w:t>
            </w:r>
          </w:p>
        </w:tc>
        <w:tc>
          <w:tcPr>
            <w:tcW w:w="840" w:type="dxa"/>
            <w:tcBorders/>
            <w:shd w:fill="auto" w:val="clear"/>
            <w:tcMar>
              <w:bottom w:w="0" w:type="dxa"/>
            </w:tcMar>
            <w:vAlign w:val="center"/>
          </w:tcPr>
          <w:p>
            <w:pPr>
              <w:pStyle w:val="TableContents"/>
              <w:spacing w:before="0" w:after="283"/>
              <w:jc w:val="right"/>
              <w:rPr/>
            </w:pPr>
            <w:r>
              <w:rPr/>
              <w:t> </w:t>
            </w:r>
          </w:p>
        </w:tc>
        <w:tc>
          <w:tcPr>
            <w:tcW w:w="1198"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14,000</w:t>
            </w:r>
          </w:p>
        </w:tc>
        <w:tc>
          <w:tcPr>
            <w:tcW w:w="840" w:type="dxa"/>
            <w:tcBorders/>
            <w:shd w:fill="auto" w:val="clear"/>
            <w:tcMar>
              <w:bottom w:w="0" w:type="dxa"/>
            </w:tcMar>
            <w:vAlign w:val="center"/>
          </w:tcPr>
          <w:p>
            <w:pPr>
              <w:pStyle w:val="TableContents"/>
              <w:spacing w:before="0" w:after="283"/>
              <w:jc w:val="right"/>
              <w:rPr/>
            </w:pPr>
            <w:r>
              <w:rPr/>
              <w:t> </w:t>
            </w:r>
          </w:p>
        </w:tc>
        <w:tc>
          <w:tcPr>
            <w:tcW w:w="1654" w:type="dxa"/>
            <w:tcBorders/>
            <w:shd w:fill="auto" w:val="clear"/>
            <w:tcMar>
              <w:bottom w:w="0" w:type="dxa"/>
            </w:tcM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14,000</w:t>
            </w:r>
          </w:p>
        </w:tc>
      </w:tr>
      <w:tr>
        <w:trPr/>
        <w:tc>
          <w:tcPr>
            <w:tcW w:w="1759" w:type="dxa"/>
            <w:tcBorders>
              <w:bottom w:val="single" w:sz="12" w:space="0" w:color="7CBC3E"/>
            </w:tcBorders>
            <w:shd w:fill="EFF6EA" w:val="clear"/>
            <w:vAlign w:val="center"/>
          </w:tcPr>
          <w:p>
            <w:pPr>
              <w:pStyle w:val="TableContents"/>
              <w:spacing w:before="0" w:after="283"/>
              <w:rPr/>
            </w:pPr>
            <w:r>
              <w:rPr/>
              <w:t> </w:t>
            </w:r>
          </w:p>
        </w:tc>
        <w:tc>
          <w:tcPr>
            <w:tcW w:w="840" w:type="dxa"/>
            <w:tcBorders>
              <w:bottom w:val="single" w:sz="12" w:space="0" w:color="7CBC3E"/>
            </w:tcBorders>
            <w:shd w:fill="EFF6EA" w:val="clear"/>
            <w:vAlign w:val="center"/>
          </w:tcPr>
          <w:p>
            <w:pPr>
              <w:pStyle w:val="TableContents"/>
              <w:spacing w:before="0" w:after="283"/>
              <w:jc w:val="right"/>
              <w:rPr/>
            </w:pPr>
            <w:r>
              <w:rPr/>
              <w:t> </w:t>
            </w:r>
          </w:p>
        </w:tc>
        <w:tc>
          <w:tcPr>
            <w:tcW w:w="929" w:type="dxa"/>
            <w:tcBorders>
              <w:bottom w:val="single" w:sz="12" w:space="0" w:color="7CBC3E"/>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9/16/2022</w:t>
            </w:r>
          </w:p>
        </w:tc>
        <w:tc>
          <w:tcPr>
            <w:tcW w:w="840" w:type="dxa"/>
            <w:tcBorders>
              <w:bottom w:val="single" w:sz="12" w:space="0" w:color="7CBC3E"/>
            </w:tcBorders>
            <w:shd w:fill="EFF6EA" w:val="clear"/>
            <w:vAlign w:val="center"/>
          </w:tcPr>
          <w:p>
            <w:pPr>
              <w:pStyle w:val="TableContents"/>
              <w:spacing w:before="0" w:after="283"/>
              <w:jc w:val="right"/>
              <w:rPr/>
            </w:pPr>
            <w:r>
              <w:rPr/>
              <w:t> </w:t>
            </w:r>
          </w:p>
        </w:tc>
        <w:tc>
          <w:tcPr>
            <w:tcW w:w="1305" w:type="dxa"/>
            <w:tcBorders>
              <w:bottom w:val="single" w:sz="12" w:space="0" w:color="7CBC3E"/>
            </w:tcBorders>
            <w:shd w:fill="EFF6EA" w:val="clear"/>
            <w:vAlign w:val="center"/>
          </w:tcPr>
          <w:p>
            <w:pPr>
              <w:pStyle w:val="TableContents"/>
              <w:spacing w:before="0" w:after="283"/>
              <w:jc w:val="right"/>
              <w:rPr>
                <w:caps w:val="false"/>
                <w:smallCaps w:val="false"/>
              </w:rPr>
            </w:pPr>
            <w:r>
              <w:rPr>
                <w:caps w:val="false"/>
                <w:smallCaps w:val="false"/>
              </w:rPr>
              <w:t>—</w:t>
            </w:r>
          </w:p>
        </w:tc>
        <w:tc>
          <w:tcPr>
            <w:tcW w:w="840" w:type="dxa"/>
            <w:tcBorders>
              <w:bottom w:val="single" w:sz="12" w:space="0" w:color="7CBC3E"/>
            </w:tcBorders>
            <w:shd w:fill="EFF6EA" w:val="clear"/>
            <w:vAlign w:val="center"/>
          </w:tcPr>
          <w:p>
            <w:pPr>
              <w:pStyle w:val="TableContents"/>
              <w:spacing w:before="0" w:after="283"/>
              <w:jc w:val="right"/>
              <w:rPr/>
            </w:pPr>
            <w:r>
              <w:rPr/>
              <w:t> </w:t>
            </w:r>
          </w:p>
        </w:tc>
        <w:tc>
          <w:tcPr>
            <w:tcW w:w="1198" w:type="dxa"/>
            <w:tcBorders>
              <w:bottom w:val="single" w:sz="12" w:space="0" w:color="7CBC3E"/>
            </w:tcBorders>
            <w:shd w:fill="EFF6EA" w:val="clear"/>
            <w:vAlign w:val="center"/>
          </w:tcPr>
          <w:p>
            <w:pPr>
              <w:pStyle w:val="TableContents"/>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20,000</w:t>
            </w:r>
          </w:p>
        </w:tc>
        <w:tc>
          <w:tcPr>
            <w:tcW w:w="840" w:type="dxa"/>
            <w:tcBorders>
              <w:bottom w:val="single" w:sz="12" w:space="0" w:color="7CBC3E"/>
            </w:tcBorders>
            <w:shd w:fill="EFF6EA" w:val="clear"/>
            <w:vAlign w:val="center"/>
          </w:tcPr>
          <w:p>
            <w:pPr>
              <w:pStyle w:val="TableContents"/>
              <w:spacing w:before="0" w:after="283"/>
              <w:jc w:val="right"/>
              <w:rPr/>
            </w:pPr>
            <w:r>
              <w:rPr/>
              <w:t> </w:t>
            </w:r>
          </w:p>
        </w:tc>
        <w:tc>
          <w:tcPr>
            <w:tcW w:w="1654" w:type="dxa"/>
            <w:tcBorders>
              <w:bottom w:val="single" w:sz="12" w:space="0" w:color="7CBC3E"/>
            </w:tcBorders>
            <w:shd w:fill="EFF6EA" w:val="clear"/>
            <w:vAlign w:val="center"/>
          </w:tcPr>
          <w:p>
            <w:pPr>
              <w:pStyle w:val="TableContents"/>
              <w:spacing w:before="0" w:after="283"/>
              <w:jc w:val="right"/>
              <w:rPr>
                <w:caps w:val="false"/>
                <w:smallCaps w:val="false"/>
              </w:rPr>
            </w:pPr>
            <w:r>
              <w:rPr>
                <w:caps w:val="false"/>
                <w:smallCaps w:val="false"/>
              </w:rPr>
              <w:t>—</w:t>
            </w:r>
          </w:p>
        </w:tc>
      </w:tr>
    </w:tbl>
    <w:tbl>
      <w:tblPr>
        <w:tblW w:w="10205" w:type="dxa"/>
        <w:jc w:val="left"/>
        <w:tblInd w:w="0" w:type="dxa"/>
        <w:tblCellMar>
          <w:top w:w="0" w:type="dxa"/>
          <w:left w:w="0" w:type="dxa"/>
          <w:bottom w:w="0" w:type="dxa"/>
          <w:right w:w="0" w:type="dxa"/>
        </w:tblCellMar>
      </w:tblPr>
      <w:tblGrid>
        <w:gridCol w:w="208"/>
        <w:gridCol w:w="9997"/>
      </w:tblGrid>
      <w:tr>
        <w:trPr/>
        <w:tc>
          <w:tcPr>
            <w:tcW w:w="208" w:type="dxa"/>
            <w:tcBorders/>
            <w:shd w:fill="auto" w:val="clear"/>
            <w:vAlign w:val="center"/>
          </w:tcPr>
          <w:p>
            <w:pPr>
              <w:pStyle w:val="TableContents"/>
              <w:spacing w:before="0" w:after="283"/>
              <w:rPr/>
            </w:pPr>
            <w:r>
              <w:rPr/>
              <w:t> </w:t>
            </w:r>
          </w:p>
        </w:tc>
        <w:tc>
          <w:tcPr>
            <w:tcW w:w="9997" w:type="dxa"/>
            <w:tcBorders/>
            <w:shd w:fill="auto" w:val="clear"/>
            <w:vAlign w:val="center"/>
          </w:tcPr>
          <w:p>
            <w:pPr>
              <w:pStyle w:val="TableContents"/>
              <w:spacing w:before="0" w:after="283"/>
              <w:jc w:val="both"/>
              <w:rPr/>
            </w:pPr>
            <w:r>
              <w:rPr/>
              <w:t> </w:t>
            </w:r>
          </w:p>
        </w:tc>
      </w:tr>
      <w:tr>
        <w:trPr/>
        <w:tc>
          <w:tcPr>
            <w:tcW w:w="208"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9997"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 2022, in addition to the annual equity award, Ms. Dier also received an additional grant of RSUs in recognition of her leadership and exemplary performance in 2022. These RSUs were subject to vesting in equal annual installments over four years; however, these RSUs were forfeited upon Ms. Dier’s resignation in November 2022.</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 </w:t>
      </w:r>
      <w:r>
        <w:rPr>
          <w:rFonts w:ascii="Arial;Helvetica;Sans-Serif" w:hAnsi="Arial;Helvetica;Sans-Serif"/>
          <w:b/>
          <w:i w:val="false"/>
          <w:caps w:val="false"/>
          <w:smallCaps w:val="false"/>
          <w:color w:val="7ABD3E"/>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54</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Performance of 2021 PSUs</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PSU awards granted to our executive officers in March 2021 (2021 PSUs) consisted of a revenue portion with a two-year performance period (80% of the PSUs) and a relative total stockholder return (TSR) portion with a three-year performance period (20% of the PSUs). The revenue-based 2021 PSUs vested based upon achievement of the following revenue-based targets (and application of linear interpolation) during the period beginning January 1, 2021 and ending December 31, 2022.</w:t>
      </w:r>
    </w:p>
    <w:p>
      <w:pPr>
        <w:pStyle w:val="TextBody"/>
        <w:spacing w:before="0" w:after="0"/>
        <w:ind w:left="0" w:right="0" w:hanging="0"/>
        <w:jc w:val="both"/>
        <w:rPr>
          <w:caps w:val="false"/>
          <w:smallCaps w:val="false"/>
        </w:rPr>
      </w:pPr>
      <w:r>
        <w:rPr>
          <w:caps w:val="false"/>
          <w:smallCaps w:val="false"/>
        </w:rPr>
        <w:t> </w:t>
      </w:r>
    </w:p>
    <w:tbl>
      <w:tblPr>
        <w:tblW w:w="8624" w:type="dxa"/>
        <w:jc w:val="left"/>
        <w:tblInd w:w="0" w:type="dxa"/>
        <w:tblCellMar>
          <w:top w:w="0" w:type="dxa"/>
          <w:left w:w="0" w:type="dxa"/>
          <w:bottom w:w="40" w:type="dxa"/>
          <w:right w:w="0" w:type="dxa"/>
        </w:tblCellMar>
      </w:tblPr>
      <w:tblGrid>
        <w:gridCol w:w="2225"/>
        <w:gridCol w:w="60"/>
        <w:gridCol w:w="269"/>
        <w:gridCol w:w="1746"/>
        <w:gridCol w:w="60"/>
        <w:gridCol w:w="60"/>
        <w:gridCol w:w="494"/>
        <w:gridCol w:w="3635"/>
        <w:gridCol w:w="75"/>
      </w:tblGrid>
      <w:tr>
        <w:trPr/>
        <w:tc>
          <w:tcPr>
            <w:tcW w:w="2225" w:type="dxa"/>
            <w:tcBorders>
              <w:bottom w:val="single" w:sz="12" w:space="0" w:color="7CBC3E"/>
            </w:tcBorders>
            <w:shd w:fill="auto" w:val="clear"/>
            <w:vAlign w:val="center"/>
          </w:tcPr>
          <w:p>
            <w:pPr>
              <w:pStyle w:val="TableContents"/>
              <w:spacing w:before="0" w:after="283"/>
              <w:rPr>
                <w:b/>
              </w:rPr>
            </w:pPr>
            <w:r>
              <w:rPr>
                <w:b/>
              </w:rPr>
              <w:t>Level of Performance</w:t>
            </w:r>
          </w:p>
        </w:tc>
        <w:tc>
          <w:tcPr>
            <w:tcW w:w="60" w:type="dxa"/>
            <w:tcBorders>
              <w:bottom w:val="single" w:sz="12" w:space="0" w:color="7CBC3E"/>
            </w:tcBorders>
            <w:shd w:fill="auto" w:val="clear"/>
            <w:vAlign w:val="center"/>
          </w:tcPr>
          <w:p>
            <w:pPr>
              <w:pStyle w:val="TableContents"/>
              <w:spacing w:before="0" w:after="283"/>
              <w:rPr/>
            </w:pPr>
            <w:r>
              <w:rPr/>
              <w:t> </w:t>
            </w:r>
          </w:p>
        </w:tc>
        <w:tc>
          <w:tcPr>
            <w:tcW w:w="2015" w:type="dxa"/>
            <w:gridSpan w:val="2"/>
            <w:tcBorders>
              <w:bottom w:val="single" w:sz="12" w:space="0" w:color="7CBC3E"/>
            </w:tcBorders>
            <w:shd w:fill="auto" w:val="clear"/>
            <w:vAlign w:val="center"/>
          </w:tcPr>
          <w:p>
            <w:pPr>
              <w:pStyle w:val="TableContents"/>
              <w:spacing w:before="0" w:after="283"/>
              <w:jc w:val="right"/>
              <w:rPr>
                <w:b/>
              </w:rPr>
            </w:pPr>
            <w:r>
              <w:rPr>
                <w:b/>
              </w:rPr>
              <w:t>Aggregate Revenue</w:t>
            </w:r>
          </w:p>
        </w:tc>
        <w:tc>
          <w:tcPr>
            <w:tcW w:w="60" w:type="dxa"/>
            <w:tcBorders>
              <w:bottom w:val="single" w:sz="12" w:space="0" w:color="7CBC3E"/>
            </w:tcBorders>
            <w:shd w:fill="auto" w:val="clear"/>
            <w:vAlign w:val="center"/>
          </w:tcPr>
          <w:p>
            <w:pPr>
              <w:pStyle w:val="TableContents"/>
              <w:spacing w:before="0" w:after="283"/>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4129" w:type="dxa"/>
            <w:gridSpan w:val="2"/>
            <w:tcBorders>
              <w:bottom w:val="single" w:sz="12" w:space="0" w:color="7CBC3E"/>
            </w:tcBorders>
            <w:shd w:fill="auto" w:val="clear"/>
            <w:vAlign w:val="center"/>
          </w:tcPr>
          <w:p>
            <w:pPr>
              <w:pStyle w:val="TableContents"/>
              <w:spacing w:before="0" w:after="283"/>
              <w:jc w:val="right"/>
              <w:rPr>
                <w:b/>
              </w:rPr>
            </w:pPr>
            <w:r>
              <w:rPr>
                <w:b/>
              </w:rPr>
              <w:t>Earned Revenue-Based PSU Percentage</w:t>
            </w:r>
          </w:p>
        </w:tc>
        <w:tc>
          <w:tcPr>
            <w:tcW w:w="75" w:type="dxa"/>
            <w:tcBorders>
              <w:bottom w:val="single" w:sz="12" w:space="0" w:color="7CBC3E"/>
            </w:tcBorders>
            <w:shd w:fill="auto" w:val="clear"/>
            <w:vAlign w:val="center"/>
          </w:tcPr>
          <w:p>
            <w:pPr>
              <w:pStyle w:val="TableContents"/>
              <w:spacing w:before="0" w:after="283"/>
              <w:rPr/>
            </w:pPr>
            <w:r>
              <w:rPr/>
              <w:t> </w:t>
            </w:r>
          </w:p>
        </w:tc>
      </w:tr>
      <w:tr>
        <w:trPr/>
        <w:tc>
          <w:tcPr>
            <w:tcW w:w="2225" w:type="dxa"/>
            <w:tcBorders/>
            <w:shd w:fill="auto" w:val="clear"/>
            <w:tcMar>
              <w:bottom w:w="0" w:type="dxa"/>
            </w:tcMar>
            <w:vAlign w:val="center"/>
          </w:tcPr>
          <w:p>
            <w:pPr>
              <w:pStyle w:val="TableContents"/>
              <w:spacing w:before="0" w:after="283"/>
              <w:rPr/>
            </w:pPr>
            <w:r>
              <w:rPr/>
              <w:t>Threshold</w:t>
            </w:r>
          </w:p>
        </w:tc>
        <w:tc>
          <w:tcPr>
            <w:tcW w:w="60" w:type="dxa"/>
            <w:tcBorders/>
            <w:shd w:fill="auto" w:val="clear"/>
            <w:tcMar>
              <w:bottom w:w="0" w:type="dxa"/>
            </w:tcMar>
            <w:vAlign w:val="center"/>
          </w:tcPr>
          <w:p>
            <w:pPr>
              <w:pStyle w:val="TableContents"/>
              <w:spacing w:before="0" w:after="283"/>
              <w:rPr/>
            </w:pPr>
            <w:r>
              <w:rPr/>
              <w:t> </w:t>
            </w:r>
          </w:p>
        </w:tc>
        <w:tc>
          <w:tcPr>
            <w:tcW w:w="269" w:type="dxa"/>
            <w:tcBorders/>
            <w:shd w:fill="auto" w:val="clear"/>
            <w:tcMar>
              <w:bottom w:w="0" w:type="dxa"/>
            </w:tcMar>
            <w:vAlign w:val="center"/>
          </w:tcPr>
          <w:p>
            <w:pPr>
              <w:pStyle w:val="TableContents"/>
              <w:spacing w:before="0" w:after="283"/>
              <w:jc w:val="right"/>
              <w:rPr/>
            </w:pPr>
            <w:r>
              <w:rPr/>
              <w:t>$</w:t>
            </w:r>
          </w:p>
        </w:tc>
        <w:tc>
          <w:tcPr>
            <w:tcW w:w="1746" w:type="dxa"/>
            <w:tcBorders/>
            <w:shd w:fill="auto" w:val="clear"/>
            <w:tcMar>
              <w:bottom w:w="0" w:type="dxa"/>
            </w:tcMar>
            <w:vAlign w:val="center"/>
          </w:tcPr>
          <w:p>
            <w:pPr>
              <w:pStyle w:val="TableContents"/>
              <w:spacing w:before="0" w:after="283"/>
              <w:jc w:val="right"/>
              <w:rPr/>
            </w:pPr>
            <w:r>
              <w:rPr/>
              <w:t>700M</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4" w:type="dxa"/>
            <w:tcBorders/>
            <w:shd w:fill="auto" w:val="clear"/>
            <w:tcMar>
              <w:bottom w:w="0" w:type="dxa"/>
            </w:tcMar>
            <w:vAlign w:val="center"/>
          </w:tcPr>
          <w:p>
            <w:pPr>
              <w:pStyle w:val="TableContents"/>
              <w:spacing w:before="0" w:after="283"/>
              <w:jc w:val="left"/>
              <w:rPr/>
            </w:pPr>
            <w:r>
              <w:rPr/>
              <w:t> </w:t>
            </w:r>
          </w:p>
        </w:tc>
        <w:tc>
          <w:tcPr>
            <w:tcW w:w="3635" w:type="dxa"/>
            <w:tcBorders/>
            <w:shd w:fill="auto" w:val="clear"/>
            <w:tcMar>
              <w:bottom w:w="0" w:type="dxa"/>
            </w:tcMar>
            <w:vAlign w:val="center"/>
          </w:tcPr>
          <w:p>
            <w:pPr>
              <w:pStyle w:val="TableContents"/>
              <w:spacing w:before="0" w:after="283"/>
              <w:jc w:val="right"/>
              <w:rPr/>
            </w:pPr>
            <w:r>
              <w:rPr/>
              <w:t>50%</w:t>
            </w:r>
          </w:p>
        </w:tc>
        <w:tc>
          <w:tcPr>
            <w:tcW w:w="75" w:type="dxa"/>
            <w:tcBorders/>
            <w:shd w:fill="auto" w:val="clear"/>
            <w:tcMar>
              <w:bottom w:w="0" w:type="dxa"/>
            </w:tcMar>
            <w:vAlign w:val="center"/>
          </w:tcPr>
          <w:p>
            <w:pPr>
              <w:pStyle w:val="TableContents"/>
              <w:spacing w:before="0" w:after="283"/>
              <w:jc w:val="left"/>
              <w:rPr/>
            </w:pPr>
            <w:r>
              <w:rPr/>
              <w:t> </w:t>
            </w:r>
          </w:p>
        </w:tc>
      </w:tr>
      <w:tr>
        <w:trPr/>
        <w:tc>
          <w:tcPr>
            <w:tcW w:w="2225" w:type="dxa"/>
            <w:tcBorders/>
            <w:shd w:fill="EFF6EA" w:val="clear"/>
            <w:tcMar>
              <w:bottom w:w="0" w:type="dxa"/>
            </w:tcMar>
            <w:vAlign w:val="center"/>
          </w:tcPr>
          <w:p>
            <w:pPr>
              <w:pStyle w:val="TableContents"/>
              <w:spacing w:before="0" w:after="283"/>
              <w:rPr>
                <w:b/>
              </w:rPr>
            </w:pPr>
            <w:r>
              <w:rPr>
                <w:b/>
              </w:rPr>
              <w:t>Actual</w:t>
            </w:r>
          </w:p>
        </w:tc>
        <w:tc>
          <w:tcPr>
            <w:tcW w:w="60" w:type="dxa"/>
            <w:tcBorders/>
            <w:shd w:fill="EFF6EA" w:val="clear"/>
            <w:tcMar>
              <w:bottom w:w="0" w:type="dxa"/>
            </w:tcMar>
            <w:vAlign w:val="center"/>
          </w:tcPr>
          <w:p>
            <w:pPr>
              <w:pStyle w:val="TableContents"/>
              <w:spacing w:before="0" w:after="283"/>
              <w:rPr/>
            </w:pPr>
            <w:r>
              <w:rPr/>
              <w:t> </w:t>
            </w:r>
          </w:p>
        </w:tc>
        <w:tc>
          <w:tcPr>
            <w:tcW w:w="269" w:type="dxa"/>
            <w:tcBorders/>
            <w:shd w:fill="EFF6EA" w:val="clear"/>
            <w:tcMar>
              <w:bottom w:w="0" w:type="dxa"/>
            </w:tcMar>
            <w:vAlign w:val="center"/>
          </w:tcPr>
          <w:p>
            <w:pPr>
              <w:pStyle w:val="TableContents"/>
              <w:spacing w:before="0" w:after="283"/>
              <w:jc w:val="right"/>
              <w:rPr>
                <w:b/>
              </w:rPr>
            </w:pPr>
            <w:r>
              <w:rPr>
                <w:b/>
              </w:rPr>
              <w:t>$</w:t>
            </w:r>
          </w:p>
        </w:tc>
        <w:tc>
          <w:tcPr>
            <w:tcW w:w="1746" w:type="dxa"/>
            <w:tcBorders/>
            <w:shd w:fill="EFF6EA" w:val="clear"/>
            <w:tcMar>
              <w:bottom w:w="0" w:type="dxa"/>
            </w:tcMar>
            <w:vAlign w:val="center"/>
          </w:tcPr>
          <w:p>
            <w:pPr>
              <w:pStyle w:val="TableContents"/>
              <w:spacing w:before="0" w:after="283"/>
              <w:jc w:val="right"/>
              <w:rPr>
                <w:b/>
              </w:rPr>
            </w:pPr>
            <w:r>
              <w:rPr>
                <w:b/>
              </w:rPr>
              <w:t>714.74M</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494" w:type="dxa"/>
            <w:tcBorders/>
            <w:shd w:fill="EFF6EA" w:val="clear"/>
            <w:tcMar>
              <w:bottom w:w="0" w:type="dxa"/>
            </w:tcMar>
            <w:vAlign w:val="center"/>
          </w:tcPr>
          <w:p>
            <w:pPr>
              <w:pStyle w:val="TableContents"/>
              <w:spacing w:before="0" w:after="283"/>
              <w:jc w:val="left"/>
              <w:rPr/>
            </w:pPr>
            <w:r>
              <w:rPr/>
              <w:t> </w:t>
            </w:r>
          </w:p>
        </w:tc>
        <w:tc>
          <w:tcPr>
            <w:tcW w:w="3635" w:type="dxa"/>
            <w:tcBorders/>
            <w:shd w:fill="EFF6EA" w:val="clear"/>
            <w:tcMar>
              <w:bottom w:w="0" w:type="dxa"/>
            </w:tcMar>
            <w:vAlign w:val="center"/>
          </w:tcPr>
          <w:p>
            <w:pPr>
              <w:pStyle w:val="TableContents"/>
              <w:spacing w:before="0" w:after="283"/>
              <w:jc w:val="right"/>
              <w:rPr>
                <w:b/>
              </w:rPr>
            </w:pPr>
            <w:r>
              <w:rPr>
                <w:b/>
              </w:rPr>
              <w:t>60.5%</w:t>
            </w:r>
          </w:p>
        </w:tc>
        <w:tc>
          <w:tcPr>
            <w:tcW w:w="75" w:type="dxa"/>
            <w:tcBorders/>
            <w:shd w:fill="EFF6EA" w:val="clear"/>
            <w:tcMar>
              <w:bottom w:w="0" w:type="dxa"/>
            </w:tcMar>
            <w:vAlign w:val="center"/>
          </w:tcPr>
          <w:p>
            <w:pPr>
              <w:pStyle w:val="TableContents"/>
              <w:spacing w:before="0" w:after="283"/>
              <w:jc w:val="left"/>
              <w:rPr/>
            </w:pPr>
            <w:r>
              <w:rPr/>
              <w:t> </w:t>
            </w:r>
          </w:p>
        </w:tc>
      </w:tr>
      <w:tr>
        <w:trPr/>
        <w:tc>
          <w:tcPr>
            <w:tcW w:w="2225" w:type="dxa"/>
            <w:tcBorders/>
            <w:shd w:fill="auto" w:val="clear"/>
            <w:tcMar>
              <w:bottom w:w="0" w:type="dxa"/>
            </w:tcMar>
            <w:vAlign w:val="center"/>
          </w:tcPr>
          <w:p>
            <w:pPr>
              <w:pStyle w:val="TableContents"/>
              <w:spacing w:before="0" w:after="283"/>
              <w:rPr/>
            </w:pPr>
            <w:r>
              <w:rPr/>
              <w:t>Target</w:t>
            </w:r>
          </w:p>
        </w:tc>
        <w:tc>
          <w:tcPr>
            <w:tcW w:w="60" w:type="dxa"/>
            <w:tcBorders/>
            <w:shd w:fill="auto" w:val="clear"/>
            <w:tcMar>
              <w:bottom w:w="0" w:type="dxa"/>
            </w:tcMar>
            <w:vAlign w:val="center"/>
          </w:tcPr>
          <w:p>
            <w:pPr>
              <w:pStyle w:val="TableContents"/>
              <w:spacing w:before="0" w:after="283"/>
              <w:rPr/>
            </w:pPr>
            <w:r>
              <w:rPr/>
              <w:t> </w:t>
            </w:r>
          </w:p>
        </w:tc>
        <w:tc>
          <w:tcPr>
            <w:tcW w:w="269" w:type="dxa"/>
            <w:tcBorders/>
            <w:shd w:fill="auto" w:val="clear"/>
            <w:tcMar>
              <w:bottom w:w="0" w:type="dxa"/>
            </w:tcMar>
            <w:vAlign w:val="center"/>
          </w:tcPr>
          <w:p>
            <w:pPr>
              <w:pStyle w:val="TableContents"/>
              <w:spacing w:before="0" w:after="283"/>
              <w:jc w:val="right"/>
              <w:rPr/>
            </w:pPr>
            <w:r>
              <w:rPr/>
              <w:t>$</w:t>
            </w:r>
          </w:p>
        </w:tc>
        <w:tc>
          <w:tcPr>
            <w:tcW w:w="1746" w:type="dxa"/>
            <w:tcBorders/>
            <w:shd w:fill="auto" w:val="clear"/>
            <w:tcMar>
              <w:bottom w:w="0" w:type="dxa"/>
            </w:tcMar>
            <w:vAlign w:val="center"/>
          </w:tcPr>
          <w:p>
            <w:pPr>
              <w:pStyle w:val="TableContents"/>
              <w:spacing w:before="0" w:after="283"/>
              <w:jc w:val="right"/>
              <w:rPr/>
            </w:pPr>
            <w:r>
              <w:rPr/>
              <w:t>770M</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4" w:type="dxa"/>
            <w:tcBorders/>
            <w:shd w:fill="auto" w:val="clear"/>
            <w:tcMar>
              <w:bottom w:w="0" w:type="dxa"/>
            </w:tcMar>
            <w:vAlign w:val="center"/>
          </w:tcPr>
          <w:p>
            <w:pPr>
              <w:pStyle w:val="TableContents"/>
              <w:spacing w:before="0" w:after="283"/>
              <w:jc w:val="left"/>
              <w:rPr/>
            </w:pPr>
            <w:r>
              <w:rPr/>
              <w:t> </w:t>
            </w:r>
          </w:p>
        </w:tc>
        <w:tc>
          <w:tcPr>
            <w:tcW w:w="3635" w:type="dxa"/>
            <w:tcBorders/>
            <w:shd w:fill="auto" w:val="clear"/>
            <w:tcMar>
              <w:bottom w:w="0" w:type="dxa"/>
            </w:tcMar>
            <w:vAlign w:val="center"/>
          </w:tcPr>
          <w:p>
            <w:pPr>
              <w:pStyle w:val="TableContents"/>
              <w:spacing w:before="0" w:after="283"/>
              <w:jc w:val="right"/>
              <w:rPr/>
            </w:pPr>
            <w:r>
              <w:rPr/>
              <w:t>100%</w:t>
            </w:r>
          </w:p>
        </w:tc>
        <w:tc>
          <w:tcPr>
            <w:tcW w:w="75" w:type="dxa"/>
            <w:tcBorders/>
            <w:shd w:fill="auto" w:val="clear"/>
            <w:tcMar>
              <w:bottom w:w="0" w:type="dxa"/>
            </w:tcMar>
            <w:vAlign w:val="center"/>
          </w:tcPr>
          <w:p>
            <w:pPr>
              <w:pStyle w:val="TableContents"/>
              <w:spacing w:before="0" w:after="283"/>
              <w:jc w:val="left"/>
              <w:rPr/>
            </w:pPr>
            <w:r>
              <w:rPr/>
              <w:t> </w:t>
            </w:r>
          </w:p>
        </w:tc>
      </w:tr>
      <w:tr>
        <w:trPr/>
        <w:tc>
          <w:tcPr>
            <w:tcW w:w="2225" w:type="dxa"/>
            <w:tcBorders>
              <w:bottom w:val="single" w:sz="12" w:space="0" w:color="7CBC3E"/>
            </w:tcBorders>
            <w:shd w:fill="EFF6EA" w:val="clear"/>
            <w:vAlign w:val="center"/>
          </w:tcPr>
          <w:p>
            <w:pPr>
              <w:pStyle w:val="TableContents"/>
              <w:spacing w:before="0" w:after="283"/>
              <w:rPr/>
            </w:pPr>
            <w:r>
              <w:rPr/>
              <w:t>Maximum</w:t>
            </w:r>
          </w:p>
        </w:tc>
        <w:tc>
          <w:tcPr>
            <w:tcW w:w="60" w:type="dxa"/>
            <w:tcBorders>
              <w:bottom w:val="single" w:sz="12" w:space="0" w:color="7CBC3E"/>
            </w:tcBorders>
            <w:shd w:fill="EFF6EA" w:val="clear"/>
            <w:vAlign w:val="center"/>
          </w:tcPr>
          <w:p>
            <w:pPr>
              <w:pStyle w:val="TableContents"/>
              <w:spacing w:before="0" w:after="283"/>
              <w:rPr/>
            </w:pPr>
            <w:r>
              <w:rPr/>
              <w:t> </w:t>
            </w:r>
          </w:p>
        </w:tc>
        <w:tc>
          <w:tcPr>
            <w:tcW w:w="269" w:type="dxa"/>
            <w:tcBorders>
              <w:bottom w:val="single" w:sz="12" w:space="0" w:color="7CBC3E"/>
            </w:tcBorders>
            <w:shd w:fill="EFF6EA" w:val="clear"/>
            <w:vAlign w:val="center"/>
          </w:tcPr>
          <w:p>
            <w:pPr>
              <w:pStyle w:val="TableContents"/>
              <w:spacing w:before="0" w:after="283"/>
              <w:jc w:val="right"/>
              <w:rPr/>
            </w:pPr>
            <w:r>
              <w:rPr/>
              <w:t>$</w:t>
            </w:r>
          </w:p>
        </w:tc>
        <w:tc>
          <w:tcPr>
            <w:tcW w:w="1746" w:type="dxa"/>
            <w:tcBorders>
              <w:bottom w:val="single" w:sz="12" w:space="0" w:color="7CBC3E"/>
            </w:tcBorders>
            <w:shd w:fill="EFF6EA" w:val="clear"/>
            <w:vAlign w:val="center"/>
          </w:tcPr>
          <w:p>
            <w:pPr>
              <w:pStyle w:val="TableContents"/>
              <w:spacing w:before="0" w:after="283"/>
              <w:jc w:val="right"/>
              <w:rPr/>
            </w:pPr>
            <w:r>
              <w:rPr/>
              <w:t>1,100M</w:t>
            </w:r>
          </w:p>
        </w:tc>
        <w:tc>
          <w:tcPr>
            <w:tcW w:w="60" w:type="dxa"/>
            <w:tcBorders>
              <w:bottom w:val="single" w:sz="12" w:space="0" w:color="7CBC3E"/>
            </w:tcBorders>
            <w:shd w:fill="EFF6EA" w:val="clear"/>
            <w:vAlign w:val="center"/>
          </w:tcPr>
          <w:p>
            <w:pPr>
              <w:pStyle w:val="TableContents"/>
              <w:spacing w:before="0" w:after="283"/>
              <w:jc w:val="left"/>
              <w:rPr/>
            </w:pPr>
            <w:r>
              <w:rPr/>
              <w:t> </w:t>
            </w:r>
          </w:p>
        </w:tc>
        <w:tc>
          <w:tcPr>
            <w:tcW w:w="60" w:type="dxa"/>
            <w:tcBorders>
              <w:bottom w:val="single" w:sz="12" w:space="0" w:color="7CBC3E"/>
            </w:tcBorders>
            <w:shd w:fill="EFF6EA" w:val="clear"/>
            <w:vAlign w:val="center"/>
          </w:tcPr>
          <w:p>
            <w:pPr>
              <w:pStyle w:val="TableContents"/>
              <w:spacing w:before="0" w:after="283"/>
              <w:rPr/>
            </w:pPr>
            <w:r>
              <w:rPr/>
              <w:t> </w:t>
            </w:r>
          </w:p>
        </w:tc>
        <w:tc>
          <w:tcPr>
            <w:tcW w:w="494" w:type="dxa"/>
            <w:tcBorders>
              <w:bottom w:val="single" w:sz="12" w:space="0" w:color="7CBC3E"/>
            </w:tcBorders>
            <w:shd w:fill="EFF6EA" w:val="clear"/>
            <w:vAlign w:val="center"/>
          </w:tcPr>
          <w:p>
            <w:pPr>
              <w:pStyle w:val="TableContents"/>
              <w:spacing w:before="0" w:after="283"/>
              <w:jc w:val="left"/>
              <w:rPr/>
            </w:pPr>
            <w:r>
              <w:rPr/>
              <w:t> </w:t>
            </w:r>
          </w:p>
        </w:tc>
        <w:tc>
          <w:tcPr>
            <w:tcW w:w="3635" w:type="dxa"/>
            <w:tcBorders>
              <w:bottom w:val="single" w:sz="12" w:space="0" w:color="7CBC3E"/>
            </w:tcBorders>
            <w:shd w:fill="EFF6EA" w:val="clear"/>
            <w:vAlign w:val="center"/>
          </w:tcPr>
          <w:p>
            <w:pPr>
              <w:pStyle w:val="TableContents"/>
              <w:spacing w:before="0" w:after="283"/>
              <w:jc w:val="right"/>
              <w:rPr/>
            </w:pPr>
            <w:r>
              <w:rPr/>
              <w:t>200%</w:t>
            </w:r>
          </w:p>
        </w:tc>
        <w:tc>
          <w:tcPr>
            <w:tcW w:w="75" w:type="dxa"/>
            <w:tcBorders>
              <w:bottom w:val="single" w:sz="12" w:space="0" w:color="7CBC3E"/>
            </w:tcBorders>
            <w:shd w:fill="EFF6EA"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February 2023, based on the Company’s 2021 and 2022 revenue performance measured in accordance with U.S. GAAP, the Compensation Committee certified that the revenue-based 2021 PSUs would vest at 60.5% of target, and such earned 2021 PSUs vested on March 1, 2023.</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bookmarkStart w:id="95" w:name="lrarea092"/>
      <w:bookmarkStart w:id="96" w:name="lrareb002"/>
      <w:bookmarkEnd w:id="95"/>
      <w:bookmarkEnd w:id="96"/>
      <w:r>
        <w:rPr>
          <w:rFonts w:ascii="Arial;Helvetica;Sans-Serif" w:hAnsi="Arial;Helvetica;Sans-Serif"/>
          <w:b/>
          <w:i w:val="false"/>
          <w:caps w:val="false"/>
          <w:smallCaps w:val="false"/>
          <w:sz w:val="28"/>
        </w:rPr>
        <w:t>Fiscal 2023 Compensation</w:t>
      </w:r>
    </w:p>
    <w:p>
      <w:pPr>
        <w:pStyle w:val="TextBody"/>
        <w:spacing w:before="0" w:after="0"/>
        <w:ind w:left="0" w:right="0" w:hanging="0"/>
        <w:rPr>
          <w:caps w:val="false"/>
          <w:smallCaps w:val="false"/>
        </w:rPr>
      </w:pPr>
      <w:r>
        <w:rPr>
          <w:caps w:val="false"/>
          <w:smallCaps w:val="fals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Peer Group</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reviews our list of peer companies annually to determine if revisions are needed to reflect changes in our development status, market capitalization, changes in individual peer companies, and other factors. The Compensation Committee engaged Aon to assist in reviewing our peer group and in suggesting revisions, as appropriate.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Based on Aon’s assessment and recommendations, the Compensation Committee selected 21 publicly traded companies in the pharmaceutical and biotechnology industries to serve as our new list of peer companies for 2023, referred to as our 2023 peer group, by balancing the following criteria:</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1"/>
        <w:gridCol w:w="122"/>
        <w:gridCol w:w="10042"/>
      </w:tblGrid>
      <w:tr>
        <w:trPr/>
        <w:tc>
          <w:tcPr>
            <w:tcW w:w="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color w:val="7CBC3E"/>
              </w:rPr>
            </w:pPr>
            <w:r>
              <w:rPr>
                <w:color w:val="7CBC3E"/>
              </w:rPr>
              <w:t>•</w:t>
            </w:r>
          </w:p>
        </w:tc>
        <w:tc>
          <w:tcPr>
            <w:tcW w:w="10042" w:type="dxa"/>
            <w:tcBorders/>
            <w:shd w:fill="auto" w:val="clear"/>
            <w:vAlign w:val="center"/>
          </w:tcPr>
          <w:p>
            <w:pPr>
              <w:pStyle w:val="TableContents"/>
              <w:spacing w:before="0" w:after="283"/>
              <w:rPr/>
            </w:pPr>
            <w:r>
              <w:rPr/>
              <w:t>companies with emphasis on orphan pharmaceutical products;</w:t>
            </w:r>
          </w:p>
        </w:tc>
      </w:tr>
      <w:tr>
        <w:trPr/>
        <w:tc>
          <w:tcPr>
            <w:tcW w:w="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color w:val="7CBC3E"/>
              </w:rPr>
            </w:pPr>
            <w:r>
              <w:rPr>
                <w:color w:val="7CBC3E"/>
              </w:rPr>
              <w:t>•</w:t>
            </w:r>
          </w:p>
        </w:tc>
        <w:tc>
          <w:tcPr>
            <w:tcW w:w="10042" w:type="dxa"/>
            <w:tcBorders/>
            <w:shd w:fill="auto" w:val="clear"/>
            <w:vAlign w:val="center"/>
          </w:tcPr>
          <w:p>
            <w:pPr>
              <w:pStyle w:val="TableContents"/>
              <w:spacing w:before="0" w:after="283"/>
              <w:rPr/>
            </w:pPr>
            <w:r>
              <w:rPr/>
              <w:t>companies with comparable market capitalizations (i.e., in the range of $2 billion to $16 billion);</w:t>
            </w:r>
          </w:p>
        </w:tc>
      </w:tr>
      <w:tr>
        <w:trPr/>
        <w:tc>
          <w:tcPr>
            <w:tcW w:w="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color w:val="7CBC3E"/>
              </w:rPr>
            </w:pPr>
            <w:r>
              <w:rPr>
                <w:color w:val="7CBC3E"/>
              </w:rPr>
              <w:t>•</w:t>
            </w:r>
          </w:p>
        </w:tc>
        <w:tc>
          <w:tcPr>
            <w:tcW w:w="10042" w:type="dxa"/>
            <w:tcBorders/>
            <w:shd w:fill="auto" w:val="clear"/>
            <w:vAlign w:val="center"/>
          </w:tcPr>
          <w:p>
            <w:pPr>
              <w:pStyle w:val="TableContents"/>
              <w:spacing w:before="0" w:after="283"/>
              <w:rPr/>
            </w:pPr>
            <w:r>
              <w:rPr/>
              <w:t>companies with revenue of between $200 million and $1 billion; and</w:t>
            </w:r>
          </w:p>
        </w:tc>
      </w:tr>
      <w:tr>
        <w:trPr/>
        <w:tc>
          <w:tcPr>
            <w:tcW w:w="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color w:val="7CBC3E"/>
              </w:rPr>
            </w:pPr>
            <w:r>
              <w:rPr>
                <w:color w:val="7CBC3E"/>
              </w:rPr>
              <w:t>•</w:t>
            </w:r>
          </w:p>
        </w:tc>
        <w:tc>
          <w:tcPr>
            <w:tcW w:w="10042" w:type="dxa"/>
            <w:tcBorders/>
            <w:shd w:fill="auto" w:val="clear"/>
            <w:vAlign w:val="center"/>
          </w:tcPr>
          <w:p>
            <w:pPr>
              <w:pStyle w:val="TableContents"/>
              <w:spacing w:before="0" w:after="283"/>
              <w:rPr/>
            </w:pPr>
            <w:r>
              <w:rPr/>
              <w:t>companies with headcounts between 300 to 3,000 employees.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2023 peer group is comprised of the following 21 companies in the pharmaceutical and biotechnology industries, reflecting the addition of Alkermes plc, Apellis Pharmaceuticals, Inc., BioCryst Pharmaceuticals, Inc., Corcept Therapeutics Inc. and the removal of Acceleron Phama, Inc., Agios Pharmaceuticals and Nektar Therapeutics from our 2022 peer group.</w:t>
      </w:r>
    </w:p>
    <w:p>
      <w:pPr>
        <w:pStyle w:val="TextBody"/>
        <w:spacing w:before="0" w:after="0"/>
        <w:ind w:left="0" w:right="0" w:hanging="0"/>
        <w:jc w:val="both"/>
        <w:rPr>
          <w:caps w:val="false"/>
          <w:smallCaps w:val="false"/>
        </w:rPr>
      </w:pPr>
      <w:r>
        <w:rPr>
          <w:caps w:val="false"/>
          <w:smallCaps w:val="false"/>
        </w:rPr>
        <w:t> </w:t>
      </w:r>
    </w:p>
    <w:tbl>
      <w:tblPr>
        <w:tblW w:w="9420" w:type="dxa"/>
        <w:jc w:val="left"/>
        <w:tblInd w:w="0" w:type="dxa"/>
        <w:tblCellMar>
          <w:top w:w="40" w:type="dxa"/>
          <w:left w:w="0" w:type="dxa"/>
          <w:bottom w:w="0" w:type="dxa"/>
          <w:right w:w="0" w:type="dxa"/>
        </w:tblCellMar>
      </w:tblPr>
      <w:tblGrid>
        <w:gridCol w:w="4055"/>
        <w:gridCol w:w="2660"/>
        <w:gridCol w:w="2705"/>
      </w:tblGrid>
      <w:tr>
        <w:trPr/>
        <w:tc>
          <w:tcPr>
            <w:tcW w:w="4055" w:type="dxa"/>
            <w:tcBorders>
              <w:top w:val="single" w:sz="12" w:space="0" w:color="7CBC3E"/>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ACADIA Pharmaceuticals Inc.</w:t>
            </w:r>
          </w:p>
        </w:tc>
        <w:tc>
          <w:tcPr>
            <w:tcW w:w="2660" w:type="dxa"/>
            <w:tcBorders>
              <w:top w:val="single" w:sz="12" w:space="0" w:color="7CBC3E"/>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Blueprint Medicines Corporation</w:t>
            </w:r>
          </w:p>
        </w:tc>
        <w:tc>
          <w:tcPr>
            <w:tcW w:w="2705" w:type="dxa"/>
            <w:tcBorders>
              <w:top w:val="single" w:sz="12" w:space="0" w:color="7CBC3E"/>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Ionis Pharmaceuticals, Inc.</w:t>
            </w:r>
          </w:p>
        </w:tc>
      </w:tr>
      <w:tr>
        <w:trPr/>
        <w:tc>
          <w:tcPr>
            <w:tcW w:w="4055"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Alkermes plc</w:t>
            </w:r>
          </w:p>
        </w:tc>
        <w:tc>
          <w:tcPr>
            <w:tcW w:w="2660"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Corcept Therapeutics Inc.</w:t>
            </w:r>
          </w:p>
        </w:tc>
        <w:tc>
          <w:tcPr>
            <w:tcW w:w="2705"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Jazz Pharmaceuticals plc</w:t>
            </w:r>
          </w:p>
        </w:tc>
      </w:tr>
      <w:tr>
        <w:trPr/>
        <w:tc>
          <w:tcPr>
            <w:tcW w:w="4055" w:type="dxa"/>
            <w:tcBorders/>
            <w:shd w:fill="auto"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Alnylam Pharmaceuticals Inc.</w:t>
            </w:r>
          </w:p>
        </w:tc>
        <w:tc>
          <w:tcPr>
            <w:tcW w:w="2660" w:type="dxa"/>
            <w:tcBorders/>
            <w:shd w:fill="auto"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Exelixis Inc.</w:t>
            </w:r>
          </w:p>
        </w:tc>
        <w:tc>
          <w:tcPr>
            <w:tcW w:w="2705" w:type="dxa"/>
            <w:tcBorders/>
            <w:shd w:fill="auto"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Neurocrine Biosciences, Inc.</w:t>
            </w:r>
          </w:p>
        </w:tc>
      </w:tr>
      <w:tr>
        <w:trPr/>
        <w:tc>
          <w:tcPr>
            <w:tcW w:w="4055"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Amicus Therapeutics</w:t>
            </w:r>
          </w:p>
        </w:tc>
        <w:tc>
          <w:tcPr>
            <w:tcW w:w="2660"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FibroGen, Inc.</w:t>
            </w:r>
          </w:p>
        </w:tc>
        <w:tc>
          <w:tcPr>
            <w:tcW w:w="2705"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PTC Therapeutics, Inc.</w:t>
            </w:r>
          </w:p>
        </w:tc>
      </w:tr>
      <w:tr>
        <w:trPr/>
        <w:tc>
          <w:tcPr>
            <w:tcW w:w="4055" w:type="dxa"/>
            <w:tcBorders/>
            <w:shd w:fill="auto"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Apellis Pharmaceuticals, Inc.</w:t>
            </w:r>
          </w:p>
        </w:tc>
        <w:tc>
          <w:tcPr>
            <w:tcW w:w="2660" w:type="dxa"/>
            <w:tcBorders/>
            <w:shd w:fill="auto"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Global Blood Therapeutics, Inc.</w:t>
            </w:r>
          </w:p>
        </w:tc>
        <w:tc>
          <w:tcPr>
            <w:tcW w:w="2705" w:type="dxa"/>
            <w:tcBorders/>
            <w:shd w:fill="auto"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Sarepta Therapeutics, Inc.</w:t>
            </w:r>
          </w:p>
        </w:tc>
      </w:tr>
      <w:tr>
        <w:trPr/>
        <w:tc>
          <w:tcPr>
            <w:tcW w:w="4055"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BioCryst Pharmaceuticals, Inc.</w:t>
            </w:r>
          </w:p>
        </w:tc>
        <w:tc>
          <w:tcPr>
            <w:tcW w:w="2660"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Halozyme Therapeutics</w:t>
            </w:r>
          </w:p>
        </w:tc>
        <w:tc>
          <w:tcPr>
            <w:tcW w:w="2705" w:type="dxa"/>
            <w:tcBorders/>
            <w:shd w:fill="EFF6EA"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United Therapeutics Corporation</w:t>
            </w:r>
          </w:p>
        </w:tc>
      </w:tr>
      <w:tr>
        <w:trPr/>
        <w:tc>
          <w:tcPr>
            <w:tcW w:w="4055" w:type="dxa"/>
            <w:tcBorders/>
            <w:shd w:fill="auto"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Biohaven Pharmaceutical Holding Company Ltd. </w:t>
            </w:r>
          </w:p>
        </w:tc>
        <w:tc>
          <w:tcPr>
            <w:tcW w:w="2660" w:type="dxa"/>
            <w:tcBorders/>
            <w:shd w:fill="auto" w:val="clear"/>
            <w:tcMar>
              <w:top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Insmed Incorporated</w:t>
            </w:r>
          </w:p>
        </w:tc>
        <w:tc>
          <w:tcPr>
            <w:tcW w:w="2705" w:type="dxa"/>
            <w:tcBorders/>
            <w:shd w:fill="auto" w:val="clear"/>
            <w:tcMar>
              <w:top w:w="0" w:type="dxa"/>
            </w:tcMar>
            <w:vAlign w:val="center"/>
          </w:tcPr>
          <w:p>
            <w:pPr>
              <w:pStyle w:val="TableContents"/>
              <w:spacing w:before="0" w:after="283"/>
              <w:rPr/>
            </w:pPr>
            <w:r>
              <w:rPr/>
              <w:t> </w:t>
            </w:r>
          </w:p>
        </w:tc>
      </w:tr>
      <w:tr>
        <w:trPr/>
        <w:tc>
          <w:tcPr>
            <w:tcW w:w="4055" w:type="dxa"/>
            <w:tcBorders>
              <w:bottom w:val="single" w:sz="12" w:space="0" w:color="7CBC3E"/>
            </w:tcBorders>
            <w:shd w:fill="EFF6EA" w:val="clear"/>
            <w:tcMar>
              <w:top w:w="0" w:type="dxa"/>
              <w:bottom w:w="4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BioMarin Pharmaceutical Inc.</w:t>
            </w:r>
          </w:p>
        </w:tc>
        <w:tc>
          <w:tcPr>
            <w:tcW w:w="2660" w:type="dxa"/>
            <w:tcBorders>
              <w:bottom w:val="single" w:sz="12" w:space="0" w:color="7CBC3E"/>
            </w:tcBorders>
            <w:shd w:fill="EFF6EA" w:val="clear"/>
            <w:tcMar>
              <w:top w:w="0" w:type="dxa"/>
              <w:bottom w:w="40" w:type="dxa"/>
            </w:tcMar>
            <w:vAlign w:val="center"/>
          </w:tcPr>
          <w:p>
            <w:pPr>
              <w:pStyle w:val="TableContents"/>
              <w:spacing w:before="0" w:after="283"/>
              <w:rPr/>
            </w:pPr>
            <w:r>
              <w:rPr/>
              <w:t> </w:t>
            </w:r>
          </w:p>
        </w:tc>
        <w:tc>
          <w:tcPr>
            <w:tcW w:w="2705" w:type="dxa"/>
            <w:tcBorders>
              <w:bottom w:val="single" w:sz="12" w:space="0" w:color="7CBC3E"/>
            </w:tcBorders>
            <w:shd w:fill="EFF6EA" w:val="clear"/>
            <w:tcMar>
              <w:top w:w="0" w:type="dxa"/>
              <w:bottom w:w="40" w:type="dxa"/>
            </w:tcM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the compensation practices of our 2023 peer group provided us with appropriate compensation benchmarks for evaluating the compensation of our named executive officers for 2023.</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Base Salaries</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2023, increases in base salaries for our named executive officers, were 3.5% annualized for Dr. Kakkis, 3.5% annualized for Mr. Harris and Mr. Pinion. Dr. Bedrosian did not receive an increase in base salary for 2023. The overall 2023 merit budget was based on an Aon trend report regarding projected market merit spends for 2023. Individual increases in base salaries were also based on achievement of 2022 individual goals.</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Annual Bonuses</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2023, the Compensation Committee increased the target annual bonus from 75% to 80% for our Chief Executive Officer and maintained the target bonus amount of 50% for all other named executive officers. No other significant changes were made to the bonus plan for 2023.</w:t>
      </w:r>
    </w:p>
    <w:p>
      <w:pPr>
        <w:pStyle w:val="TextBody"/>
        <w:spacing w:before="0" w:after="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 </w:t>
      </w:r>
      <w:r>
        <w:rPr>
          <w:rFonts w:ascii="Arial;Helvetica;Sans-Serif" w:hAnsi="Arial;Helvetica;Sans-Serif"/>
          <w:b/>
          <w:i w:val="false"/>
          <w:caps w:val="false"/>
          <w:smallCaps w:val="false"/>
          <w:color w:val="7ABD3E"/>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55</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Equity Compensation</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2023, the equity grants to our executive officers, other than our Chief Executive Officer, continued to reflect an equal value split among options, RSUs and PSUs; however, for our Chief Executive Officer, the Compensation Committee determined that, in order to further align our Chief Executive Officer’s compensation with stockholder interests and increased the portion of compensation tied to Company performance measures, an enhanced portion of the 2023 equity award value would be allocated to PSUs. As such, for 2023, our Chief Executive Officer’s equity grants were split as shown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2476500" cy="1885950"/>
            <wp:effectExtent l="0" t="0" r="0" b="0"/>
            <wp:docPr id="16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 descr=""/>
                    <pic:cNvPicPr>
                      <a:picLocks noChangeAspect="1" noChangeArrowheads="1"/>
                    </pic:cNvPicPr>
                  </pic:nvPicPr>
                  <pic:blipFill>
                    <a:blip r:embed="rId169"/>
                    <a:stretch>
                      <a:fillRect/>
                    </a:stretch>
                  </pic:blipFill>
                  <pic:spPr bwMode="auto">
                    <a:xfrm>
                      <a:off x="0" y="0"/>
                      <a:ext cx="2476500" cy="1885950"/>
                    </a:xfrm>
                    <a:prstGeom prst="rect">
                      <a:avLst/>
                    </a:prstGeom>
                  </pic:spPr>
                </pic:pic>
              </a:graphicData>
            </a:graphic>
          </wp:inline>
        </w:drawing>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Consistent with the PSU awards granted in prior years, the PSU awards granted to our executive officers in 2023 (2023 PSUs) consist of a revenue portion with a two-year performance period (50% of the PSUs) and a relative TSR portion with a three-year performance period (25%) of PSUs. The 2023 PSUs also include a new strategic goal portion (25% of the PSUs). The revenue-based 2023 PSU awards will vest based upon achievement of revenue-based targets during the period beginning January 1, 2023 and ending December 31, 2024, with all of the earned revenue based PSUs vesting on the later of (i) the date in which the Compensation Committee certifies such achievement and (ii) March 1, 2025. The relative TSR-based 2023 PSU awards will vest based upon our TSR performance relative to the TSR of the companies in the Nasdaq Biotechnology Index during the period beginning January 1, 2023 and ending December 31, 2025, with all of the earned relative TSR-based PSUs vesting on the later of (i) the date in which the Compensation Committee certifies such achievement and (ii) March 1, 2026. The new strategic-based 2023 PSU awards will vest based on achievement of specified strategic goals during the period beginning January 1, 2023 and ending December 31, 2024, with all of the earned strategic based PSUs vesting on the later of (i) the date in which the Compensation Committee certifies such achievement and (ii) March 1, 2025.</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Employee Benefits Program</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 officers are eligible to participate in all of our employee benefit plans, including medical, dental, vision, group life, disability, and accidental death and dismemberment insurance. In each case, participation is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Reliable and competitive health, welfare and vacation benefits ensure that we have a productive and focused workforce.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our named executive officers are eligible to participate in a retirement savings plan (401(k) Plan), which is a tax-qualified defined contribution plan pursuant that allows participants to contribute certain amounts of their annual compensation, subject to limits prescribed by the Internal Revenue Service. All of our employees are eligible to participate in the 401(k) Plan on the same terms as the named executive officers.</w:t>
      </w:r>
    </w:p>
    <w:p>
      <w:pPr>
        <w:pStyle w:val="TextBody"/>
        <w:spacing w:before="0" w:after="0"/>
        <w:ind w:left="0" w:right="0" w:hanging="0"/>
        <w:rPr>
          <w:caps w:val="false"/>
          <w:smallCaps w:val="false"/>
        </w:rPr>
      </w:pPr>
      <w:r>
        <w:rPr>
          <w:caps w:val="false"/>
          <w:smallCaps w:val="fals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Tax and Accounting Considerations</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Deductibility of Executive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making compensation decisions affecting our executive officers, the Compensation Committee considers our ability to deduct under applicable federal corporate income tax law compensation payments made to executives. Specifically, the Compensation Committee considers the requirements and impact of Section 162(m) of the Internal Revenue Code, which limits the tax deductibility to us of compensation in excess of $1.0 million in any year for certain executive officers. The Compensation Committee considers the Section 162(m) rules as a factor in determining compensation, but will not necessarily limit compensation to amounts deductible under Section 162(m).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Accounting for Stock-Based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Accounting Standards Codification, or ASC, Topic 718, we are required to estimate and record an expense at the measurement date for each award of equity compensation over the vesting period of the award. Accounting rules also require us to record cash compensation as an expense at the time the obligation is incurred.</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Clawback Policy</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has adopted a Clawback Policy which permits us to recover up to 100% of any incentive based compensation (including performance based cash and equity compensation tied to performance objectives) that we pay to our current or former executive officers during the one-year period preceding the date on which we are required to prepare an accounting restatement if the Board determines</w:t>
      </w:r>
    </w:p>
    <w:p>
      <w:pPr>
        <w:pStyle w:val="TextBody"/>
        <w:spacing w:before="0" w:after="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 </w:t>
      </w:r>
      <w:r>
        <w:rPr>
          <w:rFonts w:ascii="Arial;Helvetica;Sans-Serif" w:hAnsi="Arial;Helvetica;Sans-Serif"/>
          <w:b/>
          <w:i w:val="false"/>
          <w:caps w:val="false"/>
          <w:smallCaps w:val="false"/>
          <w:color w:val="7ABD3E"/>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that an act or omission of such executive officers contributed to the circumstances requiring the restatement and such act or omission involved fraud or intentional misconduct by the officer. We intend to amend our policy or adopt a new clawback policy that complies with the final listing standards from Nasdaq implementing Exchange Act Rule 10D-1 upon or prior to the effectiveness of such standards</w:t>
      </w:r>
    </w:p>
    <w:p>
      <w:pPr>
        <w:pStyle w:val="TextBody"/>
        <w:spacing w:before="0" w:after="0"/>
        <w:ind w:left="0" w:right="0" w:hanging="0"/>
        <w:jc w:val="both"/>
        <w:rPr>
          <w:caps w:val="false"/>
          <w:smallCaps w:val="false"/>
        </w:rPr>
      </w:pPr>
      <w:r>
        <w:rPr>
          <w:caps w:val="false"/>
          <w:smallCaps w:val="false"/>
        </w:rPr>
        <w:t> </w:t>
      </w:r>
    </w:p>
    <w:p>
      <w:pPr>
        <w:pStyle w:val="Heading4"/>
        <w:spacing w:before="0" w:after="0"/>
        <w:ind w:left="0" w:right="0" w:hanging="0"/>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Minimum Stock Ownership Requirements</w:t>
      </w:r>
    </w:p>
    <w:p>
      <w:pPr>
        <w:pStyle w:val="TextBody"/>
        <w:spacing w:before="0" w:after="0"/>
        <w:ind w:left="0" w:right="0" w:hanging="0"/>
        <w:rPr>
          <w:caps w:val="false"/>
          <w:smallCaps w:val="false"/>
          <w:color w:val="7CBC3E"/>
        </w:rPr>
      </w:pPr>
      <w:r>
        <w:rPr>
          <w:caps w:val="false"/>
          <w:smallCaps w:val="false"/>
          <w:color w:val="7CBC3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maintain stock ownership guidelines in order to align the long-term interests of our executive officers and directors with those of our stockholders. The guidelines require holding our common stock with value equivalent to 3x the annual retainer for Board members, 3x the base salary for our Chief Executive Officer and 1x the base salary for the other named executive officers. Shares that count toward satisfaction of these guidelines include shares owned outright by the individual (including RSUs that have vested), shares retained after an option exercise or issuance under another type of equity award granted under the company’s equity incentive plans, shares retained after purchase under the ESPP and shares held in trust for the benefit of the individual. Unexercised options and unvested and unearned RSUs and PSUs do not count towards satisfaction of these guidelines. These guidelines were required to be achieved by the end of 2022 for our named executive officers and Board members who have been named executive officers and Board members as of the date the policy was implemented and within five years of appointment for newly appointed named executive officers and Board members. As of December 31, 2022, each of our Board members and named executive officers who were required to be in compliance with the guidelines by the end of 2022 had met the ownership guidelines.</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bookmarkStart w:id="97" w:name="lrarea093"/>
      <w:bookmarkStart w:id="98" w:name="lrareb003"/>
      <w:bookmarkEnd w:id="97"/>
      <w:bookmarkEnd w:id="98"/>
      <w:r>
        <w:rPr>
          <w:rFonts w:ascii="Arial;Helvetica;Sans-Serif" w:hAnsi="Arial;Helvetica;Sans-Serif"/>
          <w:b/>
          <w:i w:val="false"/>
          <w:caps w:val="false"/>
          <w:smallCaps w:val="false"/>
          <w:sz w:val="28"/>
        </w:rPr>
        <w:t>Risk Management and Mitigation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reviewing the compensation structure in fiscal 2022, the Compensation Committee also considered how our compensation policies may affect our risk profile and how compensation policies may be used to mitigate risks facing us. More specifically, the Compensation Committee considered the general design philosophy of our policies for employees whose conduct would be most affected by incentives established by compensation policies. In considering these issues, the Compensation Committee concluded that the use of performance-based bonuses and long-term equity awards did not appear to create undue risks for us or encourage excessive risk-taking behavior on the part of employees.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With respect to bonus awards, the amount of an individual’s award depends principally (exclusively, in the case of our Chief Executive Officer) on our overall performance, which reduces the ability and incentive for an individual to take undue risks in an effort to increase the amount of his or her bonus award for a particular year. For fiscal 2022, our corporate goals were reviewed and approved by the Board in early 2022, upon the recommendation of the Compensation Committee, and are considered to be generally of the nature that would not encourage or reward excessive risk taking. Additionally, the Compensation Committee monitors our performance throughout the year and has the ability to intervene in instances where our actions vis-à-vis our performance goal attainment would be considered unduly risky, so that the Compensation Committee may act to prevent or penalize such 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With respect to equity awards, these awards typically vest over several years, meaning that long-term value creation, contrasted with short-term gain, presents the best opportunity for employees to benefit from these awards.</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bookmarkStart w:id="99" w:name="lrarea094"/>
      <w:bookmarkStart w:id="100" w:name="lrareb004"/>
      <w:bookmarkEnd w:id="99"/>
      <w:bookmarkEnd w:id="100"/>
      <w:r>
        <w:rPr>
          <w:rFonts w:ascii="Arial;Helvetica;Sans-Serif" w:hAnsi="Arial;Helvetica;Sans-Serif"/>
          <w:b/>
          <w:i w:val="false"/>
          <w:caps w:val="false"/>
          <w:smallCaps w:val="false"/>
          <w:sz w:val="28"/>
        </w:rPr>
        <w:t>Compensation Committee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has reviewed and discussed with management the Compensation Discussion and Analysis required by Item 402(b) of Regulation S-K. Based on this review and discussion, the Compensation Committee recommended to the Board of Directors that the foregoing Compensation Discussion and Analysis be included in this Proxy Statement and incorporated by reference in our Annual Report on Form 10-K for the fiscal year ended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Submitted by the Compensation Committee of the Board of Directors</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Michael Narachi, Chairman</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Deborah Dunsire, M.D.</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Daniel G. Welch</w:t>
      </w:r>
    </w:p>
    <w:p>
      <w:pPr>
        <w:pStyle w:val="TextBody"/>
        <w:spacing w:before="0" w:after="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 </w:t>
      </w:r>
      <w:r>
        <w:rPr>
          <w:rFonts w:ascii="Arial;Helvetica;Sans-Serif" w:hAnsi="Arial;Helvetica;Sans-Serif"/>
          <w:b/>
          <w:i w:val="false"/>
          <w:caps w:val="false"/>
          <w:smallCaps w:val="false"/>
          <w:color w:val="7ABD3E"/>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57</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jc w:val="both"/>
        <w:rPr>
          <w:rFonts w:ascii="Arial;Helvetica;Sans-Serif" w:hAnsi="Arial;Helvetica;Sans-Serif"/>
          <w:b/>
          <w:i w:val="false"/>
          <w:caps w:val="false"/>
          <w:smallCaps w:val="false"/>
          <w:sz w:val="28"/>
        </w:rPr>
      </w:pPr>
      <w:bookmarkStart w:id="101" w:name="lrarea095"/>
      <w:bookmarkStart w:id="102" w:name="lrareb005"/>
      <w:bookmarkEnd w:id="101"/>
      <w:bookmarkEnd w:id="102"/>
      <w:r>
        <w:rPr>
          <w:rFonts w:ascii="Arial;Helvetica;Sans-Serif" w:hAnsi="Arial;Helvetica;Sans-Serif"/>
          <w:b/>
          <w:i w:val="false"/>
          <w:caps w:val="false"/>
          <w:smallCaps w:val="false"/>
          <w:sz w:val="28"/>
        </w:rPr>
        <w:t>Summary Compensation Table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the compensation earned during the years ended December 31, 2022, 2021, and 2020 by our Chief Executive Officer, our next three highest-paid executives and our former Chief Financial Officer, who served as principal financial officer for part of 2022. We refer to these officers as our named executive officers.</w:t>
      </w:r>
    </w:p>
    <w:p>
      <w:pPr>
        <w:pStyle w:val="TextBody"/>
        <w:jc w:val="both"/>
        <w:rPr>
          <w:caps w:val="false"/>
          <w:smallCaps w:val="false"/>
        </w:rPr>
      </w:pPr>
      <w:r>
        <w:rPr>
          <w:caps w:val="false"/>
          <w:smallCaps w:val="false"/>
        </w:rPr>
        <w:t> </w:t>
      </w:r>
    </w:p>
    <w:tbl>
      <w:tblPr>
        <w:tblW w:w="12940" w:type="dxa"/>
        <w:jc w:val="left"/>
        <w:tblInd w:w="0" w:type="dxa"/>
        <w:tblCellMar>
          <w:top w:w="0" w:type="dxa"/>
          <w:left w:w="0" w:type="dxa"/>
          <w:bottom w:w="28" w:type="dxa"/>
          <w:right w:w="0" w:type="dxa"/>
        </w:tblCellMar>
      </w:tblPr>
      <w:tblGrid>
        <w:gridCol w:w="2975"/>
        <w:gridCol w:w="120"/>
        <w:gridCol w:w="530"/>
        <w:gridCol w:w="120"/>
        <w:gridCol w:w="140"/>
        <w:gridCol w:w="800"/>
        <w:gridCol w:w="120"/>
        <w:gridCol w:w="140"/>
        <w:gridCol w:w="800"/>
        <w:gridCol w:w="120"/>
        <w:gridCol w:w="140"/>
        <w:gridCol w:w="980"/>
        <w:gridCol w:w="120"/>
        <w:gridCol w:w="140"/>
        <w:gridCol w:w="980"/>
        <w:gridCol w:w="120"/>
        <w:gridCol w:w="638"/>
        <w:gridCol w:w="912"/>
        <w:gridCol w:w="120"/>
        <w:gridCol w:w="656"/>
        <w:gridCol w:w="894"/>
        <w:gridCol w:w="120"/>
        <w:gridCol w:w="140"/>
        <w:gridCol w:w="1115"/>
      </w:tblGrid>
      <w:tr>
        <w:trPr/>
        <w:tc>
          <w:tcPr>
            <w:tcW w:w="2975" w:type="dxa"/>
            <w:tcBorders>
              <w:bottom w:val="single" w:sz="12" w:space="0" w:color="7CBC3E"/>
            </w:tcBorders>
            <w:shd w:fill="auto" w:val="clear"/>
            <w:vAlign w:val="center"/>
          </w:tcPr>
          <w:p>
            <w:pPr>
              <w:pStyle w:val="TableContents"/>
              <w:spacing w:before="0" w:after="283"/>
              <w:jc w:val="left"/>
              <w:rPr>
                <w:b/>
              </w:rPr>
            </w:pPr>
            <w:r>
              <w:rPr>
                <w:b/>
              </w:rPr>
              <w:t>Name and Principal Position</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530" w:type="dxa"/>
            <w:tcBorders>
              <w:bottom w:val="single" w:sz="12" w:space="0" w:color="7CBC3E"/>
            </w:tcBorders>
            <w:shd w:fill="auto" w:val="clear"/>
            <w:vAlign w:val="center"/>
          </w:tcPr>
          <w:p>
            <w:pPr>
              <w:pStyle w:val="TableContents"/>
              <w:spacing w:before="0" w:after="283"/>
              <w:jc w:val="right"/>
              <w:rPr>
                <w:b/>
              </w:rPr>
            </w:pPr>
            <w:r>
              <w:rPr>
                <w:b/>
              </w:rPr>
              <w:t>Year</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940" w:type="dxa"/>
            <w:gridSpan w:val="2"/>
            <w:tcBorders>
              <w:bottom w:val="single" w:sz="12" w:space="0" w:color="7CBC3E"/>
            </w:tcBorders>
            <w:shd w:fill="auto" w:val="clear"/>
            <w:vAlign w:val="center"/>
          </w:tcPr>
          <w:p>
            <w:pPr>
              <w:pStyle w:val="TableContents"/>
              <w:spacing w:before="0" w:after="283"/>
              <w:jc w:val="right"/>
              <w:rPr>
                <w:b/>
              </w:rPr>
            </w:pPr>
            <w:r>
              <w:rPr>
                <w:b/>
              </w:rPr>
              <w:t>Salary</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940" w:type="dxa"/>
            <w:gridSpan w:val="2"/>
            <w:tcBorders>
              <w:bottom w:val="single" w:sz="12" w:space="0" w:color="7CBC3E"/>
            </w:tcBorders>
            <w:shd w:fill="auto" w:val="clear"/>
            <w:vAlign w:val="center"/>
          </w:tcPr>
          <w:p>
            <w:pPr>
              <w:pStyle w:val="TableContents"/>
              <w:spacing w:before="0" w:after="283"/>
              <w:jc w:val="right"/>
              <w:rPr>
                <w:b/>
              </w:rPr>
            </w:pPr>
            <w:r>
              <w:rPr>
                <w:b/>
              </w:rPr>
              <w:t>Bonus</w:t>
            </w:r>
            <w:r>
              <w:rPr>
                <w:b/>
                <w:position w:val="8"/>
                <w:sz w:val="19"/>
              </w:rPr>
              <w:t>(1)</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1120" w:type="dxa"/>
            <w:gridSpan w:val="2"/>
            <w:tcBorders>
              <w:bottom w:val="single" w:sz="12" w:space="0" w:color="7CBC3E"/>
            </w:tcBorders>
            <w:shd w:fill="auto" w:val="clear"/>
            <w:vAlign w:val="center"/>
          </w:tcPr>
          <w:p>
            <w:pPr>
              <w:pStyle w:val="TableContents"/>
              <w:spacing w:before="0" w:after="283"/>
              <w:jc w:val="right"/>
              <w:rPr>
                <w:b/>
              </w:rPr>
            </w:pPr>
            <w:r>
              <w:rPr>
                <w:b/>
              </w:rPr>
              <w:t>Stock</w:t>
              <w:br/>
              <w:t>Awards</w:t>
            </w:r>
            <w:r>
              <w:rPr>
                <w:b/>
                <w:position w:val="8"/>
                <w:sz w:val="19"/>
              </w:rPr>
              <w:t>(2)</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1120" w:type="dxa"/>
            <w:gridSpan w:val="2"/>
            <w:tcBorders>
              <w:bottom w:val="single" w:sz="12" w:space="0" w:color="7CBC3E"/>
            </w:tcBorders>
            <w:shd w:fill="auto" w:val="clear"/>
            <w:vAlign w:val="center"/>
          </w:tcPr>
          <w:p>
            <w:pPr>
              <w:pStyle w:val="TableContents"/>
              <w:spacing w:before="0" w:after="283"/>
              <w:jc w:val="right"/>
              <w:rPr>
                <w:b/>
              </w:rPr>
            </w:pPr>
            <w:r>
              <w:rPr>
                <w:b/>
              </w:rPr>
              <w:t>Option</w:t>
              <w:br/>
              <w:t>Awards</w:t>
            </w:r>
            <w:r>
              <w:rPr>
                <w:b/>
                <w:position w:val="8"/>
                <w:sz w:val="19"/>
              </w:rPr>
              <w:t>(3)</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1550" w:type="dxa"/>
            <w:gridSpan w:val="2"/>
            <w:tcBorders>
              <w:bottom w:val="single" w:sz="12" w:space="0" w:color="7CBC3E"/>
            </w:tcBorders>
            <w:shd w:fill="auto" w:val="clear"/>
            <w:vAlign w:val="center"/>
          </w:tcPr>
          <w:p>
            <w:pPr>
              <w:pStyle w:val="TableContents"/>
              <w:spacing w:before="0" w:after="283"/>
              <w:jc w:val="right"/>
              <w:rPr>
                <w:b/>
              </w:rPr>
            </w:pPr>
            <w:r>
              <w:rPr>
                <w:b/>
              </w:rPr>
              <w:t>Non-Equity</w:t>
              <w:br/>
              <w:t>Incentive Plan</w:t>
              <w:br/>
              <w:t>Compensation</w:t>
            </w:r>
            <w:r>
              <w:rPr>
                <w:b/>
                <w:position w:val="8"/>
                <w:sz w:val="19"/>
              </w:rPr>
              <w:t>(4)</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1550" w:type="dxa"/>
            <w:gridSpan w:val="2"/>
            <w:tcBorders>
              <w:bottom w:val="single" w:sz="12" w:space="0" w:color="7CBC3E"/>
            </w:tcBorders>
            <w:shd w:fill="auto" w:val="clear"/>
            <w:vAlign w:val="center"/>
          </w:tcPr>
          <w:p>
            <w:pPr>
              <w:pStyle w:val="TableContents"/>
              <w:spacing w:before="0" w:after="283"/>
              <w:jc w:val="right"/>
              <w:rPr>
                <w:b/>
              </w:rPr>
            </w:pPr>
            <w:r>
              <w:rPr>
                <w:b/>
              </w:rPr>
              <w:t>All Other</w:t>
              <w:br/>
              <w:t>Compensation</w:t>
            </w:r>
            <w:r>
              <w:rPr>
                <w:b/>
                <w:position w:val="8"/>
                <w:sz w:val="19"/>
              </w:rPr>
              <w:t>(5)</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1255" w:type="dxa"/>
            <w:gridSpan w:val="2"/>
            <w:tcBorders>
              <w:bottom w:val="single" w:sz="12" w:space="0" w:color="7CBC3E"/>
            </w:tcBorders>
            <w:shd w:fill="auto" w:val="clear"/>
            <w:vAlign w:val="center"/>
          </w:tcPr>
          <w:p>
            <w:pPr>
              <w:pStyle w:val="TableContents"/>
              <w:spacing w:before="0" w:after="283"/>
              <w:jc w:val="right"/>
              <w:rPr>
                <w:b/>
              </w:rPr>
            </w:pPr>
            <w:r>
              <w:rPr>
                <w:b/>
              </w:rPr>
              <w:t>Total</w:t>
            </w:r>
          </w:p>
        </w:tc>
      </w:tr>
      <w:tr>
        <w:trPr/>
        <w:tc>
          <w:tcPr>
            <w:tcW w:w="2975" w:type="dxa"/>
            <w:vMerge w:val="restart"/>
            <w:tcBorders>
              <w:bottom w:val="single" w:sz="2" w:space="0" w:color="7CBC3E"/>
            </w:tcBorders>
            <w:shd w:fill="auto" w:val="clear"/>
            <w:vAlign w:val="center"/>
          </w:tcPr>
          <w:p>
            <w:pPr>
              <w:pStyle w:val="TableContents"/>
              <w:ind w:left="60" w:right="0" w:hanging="0"/>
              <w:jc w:val="left"/>
              <w:rPr>
                <w:b/>
              </w:rPr>
            </w:pPr>
            <w:r>
              <w:rPr>
                <w:b/>
              </w:rPr>
              <w:t>Emil D. Kakkis, M.D., Ph.D.</w:t>
            </w:r>
          </w:p>
          <w:p>
            <w:pPr>
              <w:pStyle w:val="TableContents"/>
              <w:spacing w:before="0" w:after="283"/>
              <w:ind w:left="200" w:right="0" w:hanging="0"/>
              <w:jc w:val="left"/>
              <w:rPr/>
            </w:pPr>
            <w:r>
              <w:rPr/>
              <w:t>President and Chief</w:t>
              <w:br/>
              <w:t>Executive Officer</w:t>
            </w:r>
          </w:p>
        </w:tc>
        <w:tc>
          <w:tcPr>
            <w:tcW w:w="120" w:type="dxa"/>
            <w:tcBorders/>
            <w:shd w:fill="auto" w:val="clear"/>
            <w:tcMar>
              <w:bottom w:w="0" w:type="dxa"/>
            </w:tcMar>
            <w:vAlign w:val="center"/>
          </w:tcPr>
          <w:p>
            <w:pPr>
              <w:pStyle w:val="TableContents"/>
              <w:spacing w:before="0" w:after="283"/>
              <w:jc w:val="right"/>
              <w:rPr/>
            </w:pPr>
            <w:r>
              <w:rPr/>
              <w:t> </w:t>
            </w:r>
          </w:p>
        </w:tc>
        <w:tc>
          <w:tcPr>
            <w:tcW w:w="530" w:type="dxa"/>
            <w:tcBorders/>
            <w:shd w:fill="auto" w:val="clear"/>
            <w:tcMar>
              <w:bottom w:w="0" w:type="dxa"/>
            </w:tcMar>
            <w:vAlign w:val="center"/>
          </w:tcPr>
          <w:p>
            <w:pPr>
              <w:pStyle w:val="TableContents"/>
              <w:spacing w:before="0" w:after="283"/>
              <w:jc w:val="right"/>
              <w:rPr/>
            </w:pPr>
            <w:r>
              <w:rPr/>
              <w:t>2022</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w:t>
            </w:r>
          </w:p>
        </w:tc>
        <w:tc>
          <w:tcPr>
            <w:tcW w:w="800" w:type="dxa"/>
            <w:tcBorders/>
            <w:shd w:fill="auto" w:val="clear"/>
            <w:tcMar>
              <w:bottom w:w="0" w:type="dxa"/>
            </w:tcMar>
            <w:vAlign w:val="center"/>
          </w:tcPr>
          <w:p>
            <w:pPr>
              <w:pStyle w:val="TableContents"/>
              <w:spacing w:before="0" w:after="283"/>
              <w:jc w:val="right"/>
              <w:rPr/>
            </w:pPr>
            <w:r>
              <w:rPr/>
              <w:t>796,154</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w:t>
            </w:r>
          </w:p>
        </w:tc>
        <w:tc>
          <w:tcPr>
            <w:tcW w:w="800" w:type="dxa"/>
            <w:tcBorders/>
            <w:shd w:fill="auto" w:val="clear"/>
            <w:tcMar>
              <w:bottom w:w="0" w:type="dxa"/>
            </w:tcMar>
            <w:vAlign w:val="center"/>
          </w:tcPr>
          <w:p>
            <w:pPr>
              <w:pStyle w:val="TableContents"/>
              <w:spacing w:before="0" w:after="283"/>
              <w:jc w:val="right"/>
              <w:rPr/>
            </w:pPr>
            <w:r>
              <w:rPr/>
              <w:t xml:space="preserve">— </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w:t>
            </w:r>
          </w:p>
        </w:tc>
        <w:tc>
          <w:tcPr>
            <w:tcW w:w="980" w:type="dxa"/>
            <w:tcBorders/>
            <w:shd w:fill="auto" w:val="clear"/>
            <w:tcMar>
              <w:bottom w:w="0" w:type="dxa"/>
            </w:tcMar>
            <w:vAlign w:val="center"/>
          </w:tcPr>
          <w:p>
            <w:pPr>
              <w:pStyle w:val="TableContents"/>
              <w:spacing w:before="0" w:after="283"/>
              <w:jc w:val="right"/>
              <w:rPr/>
            </w:pPr>
            <w:r>
              <w:rPr/>
              <w:t xml:space="preserve">7,463,295 </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w:t>
            </w:r>
          </w:p>
        </w:tc>
        <w:tc>
          <w:tcPr>
            <w:tcW w:w="980" w:type="dxa"/>
            <w:tcBorders/>
            <w:shd w:fill="auto" w:val="clear"/>
            <w:tcMar>
              <w:bottom w:w="0" w:type="dxa"/>
            </w:tcMar>
            <w:vAlign w:val="center"/>
          </w:tcPr>
          <w:p>
            <w:pPr>
              <w:pStyle w:val="TableContents"/>
              <w:spacing w:before="0" w:after="283"/>
              <w:jc w:val="right"/>
              <w:rPr/>
            </w:pPr>
            <w:r>
              <w:rPr/>
              <w:t>3,310,681</w:t>
            </w:r>
          </w:p>
        </w:tc>
        <w:tc>
          <w:tcPr>
            <w:tcW w:w="120" w:type="dxa"/>
            <w:tcBorders/>
            <w:shd w:fill="auto" w:val="clear"/>
            <w:tcMar>
              <w:bottom w:w="0" w:type="dxa"/>
            </w:tcMar>
            <w:vAlign w:val="center"/>
          </w:tcPr>
          <w:p>
            <w:pPr>
              <w:pStyle w:val="TableContents"/>
              <w:spacing w:before="0" w:after="283"/>
              <w:jc w:val="right"/>
              <w:rPr/>
            </w:pPr>
            <w:r>
              <w:rPr/>
              <w:t> </w:t>
            </w:r>
          </w:p>
        </w:tc>
        <w:tc>
          <w:tcPr>
            <w:tcW w:w="638" w:type="dxa"/>
            <w:tcBorders/>
            <w:shd w:fill="auto" w:val="clear"/>
            <w:tcMar>
              <w:bottom w:w="0" w:type="dxa"/>
            </w:tcMar>
            <w:vAlign w:val="center"/>
          </w:tcPr>
          <w:p>
            <w:pPr>
              <w:pStyle w:val="TableContents"/>
              <w:spacing w:before="0" w:after="283"/>
              <w:jc w:val="right"/>
              <w:rPr/>
            </w:pPr>
            <w:r>
              <w:rPr/>
              <w:t>       </w:t>
            </w:r>
            <w:r>
              <w:rPr/>
              <w:t>$</w:t>
            </w:r>
          </w:p>
        </w:tc>
        <w:tc>
          <w:tcPr>
            <w:tcW w:w="912" w:type="dxa"/>
            <w:tcBorders/>
            <w:shd w:fill="auto" w:val="clear"/>
            <w:tcMar>
              <w:bottom w:w="0" w:type="dxa"/>
            </w:tcMar>
            <w:vAlign w:val="center"/>
          </w:tcPr>
          <w:p>
            <w:pPr>
              <w:pStyle w:val="TableContents"/>
              <w:spacing w:before="0" w:after="283"/>
              <w:jc w:val="right"/>
              <w:rPr/>
            </w:pPr>
            <w:r>
              <w:rPr/>
              <w:t>558,000</w:t>
            </w:r>
          </w:p>
        </w:tc>
        <w:tc>
          <w:tcPr>
            <w:tcW w:w="120" w:type="dxa"/>
            <w:tcBorders/>
            <w:shd w:fill="auto" w:val="clear"/>
            <w:tcMar>
              <w:bottom w:w="0" w:type="dxa"/>
            </w:tcMar>
            <w:vAlign w:val="center"/>
          </w:tcPr>
          <w:p>
            <w:pPr>
              <w:pStyle w:val="TableContents"/>
              <w:spacing w:before="0" w:after="283"/>
              <w:jc w:val="right"/>
              <w:rPr/>
            </w:pPr>
            <w:r>
              <w:rPr/>
              <w:t> </w:t>
            </w:r>
          </w:p>
        </w:tc>
        <w:tc>
          <w:tcPr>
            <w:tcW w:w="656" w:type="dxa"/>
            <w:tcBorders/>
            <w:shd w:fill="auto" w:val="clear"/>
            <w:tcMar>
              <w:bottom w:w="0" w:type="dxa"/>
            </w:tcMar>
            <w:vAlign w:val="center"/>
          </w:tcPr>
          <w:p>
            <w:pPr>
              <w:pStyle w:val="TableContents"/>
              <w:spacing w:before="0" w:after="283"/>
              <w:jc w:val="right"/>
              <w:rPr/>
            </w:pPr>
            <w:r>
              <w:rPr/>
              <w:t>      </w:t>
            </w:r>
            <w:r>
              <w:rPr/>
              <w:t>$</w:t>
            </w:r>
          </w:p>
        </w:tc>
        <w:tc>
          <w:tcPr>
            <w:tcW w:w="894" w:type="dxa"/>
            <w:tcBorders/>
            <w:shd w:fill="auto" w:val="clear"/>
            <w:tcMar>
              <w:bottom w:w="0" w:type="dxa"/>
            </w:tcMar>
            <w:vAlign w:val="center"/>
          </w:tcPr>
          <w:p>
            <w:pPr>
              <w:pStyle w:val="TableContents"/>
              <w:spacing w:before="0" w:after="283"/>
              <w:jc w:val="right"/>
              <w:rPr/>
            </w:pPr>
            <w:r>
              <w:rPr/>
              <w:t>12,200</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w:t>
            </w:r>
          </w:p>
        </w:tc>
        <w:tc>
          <w:tcPr>
            <w:tcW w:w="1115" w:type="dxa"/>
            <w:tcBorders/>
            <w:shd w:fill="auto" w:val="clear"/>
            <w:tcMar>
              <w:bottom w:w="0" w:type="dxa"/>
            </w:tcMar>
            <w:vAlign w:val="center"/>
          </w:tcPr>
          <w:p>
            <w:pPr>
              <w:pStyle w:val="TableContents"/>
              <w:spacing w:before="0" w:after="283"/>
              <w:jc w:val="right"/>
              <w:rPr/>
            </w:pPr>
            <w:r>
              <w:rPr/>
              <w:t>12,140,330</w:t>
            </w:r>
          </w:p>
        </w:tc>
      </w:tr>
      <w:tr>
        <w:trPr/>
        <w:tc>
          <w:tcPr>
            <w:tcW w:w="2975" w:type="dxa"/>
            <w:vMerge w:val="continue"/>
            <w:tcBorders>
              <w:bottom w:val="single" w:sz="2" w:space="0" w:color="7CBC3E"/>
            </w:tcBorders>
            <w:shd w:fill="auto" w:val="clear"/>
            <w:vAlign w:val="center"/>
          </w:tcPr>
          <w:p>
            <w:pPr>
              <w:pStyle w:val="Normal"/>
              <w:rPr/>
            </w:pPr>
            <w:r>
              <w:rPr/>
            </w:r>
          </w:p>
        </w:tc>
        <w:tc>
          <w:tcPr>
            <w:tcW w:w="120" w:type="dxa"/>
            <w:tcBorders/>
            <w:shd w:fill="auto" w:val="clear"/>
            <w:tcMar>
              <w:bottom w:w="0" w:type="dxa"/>
            </w:tcMar>
            <w:vAlign w:val="center"/>
          </w:tcPr>
          <w:p>
            <w:pPr>
              <w:pStyle w:val="TableContents"/>
              <w:spacing w:before="0" w:after="283"/>
              <w:jc w:val="right"/>
              <w:rPr/>
            </w:pPr>
            <w:r>
              <w:rPr/>
              <w:t> </w:t>
            </w:r>
          </w:p>
        </w:tc>
        <w:tc>
          <w:tcPr>
            <w:tcW w:w="530" w:type="dxa"/>
            <w:tcBorders/>
            <w:shd w:fill="EFF6EA" w:val="clear"/>
            <w:tcMar>
              <w:bottom w:w="0" w:type="dxa"/>
            </w:tcMar>
            <w:vAlign w:val="center"/>
          </w:tcPr>
          <w:p>
            <w:pPr>
              <w:pStyle w:val="TableContents"/>
              <w:spacing w:before="0" w:after="283"/>
              <w:jc w:val="right"/>
              <w:rPr/>
            </w:pPr>
            <w:r>
              <w:rPr/>
              <w:t>2021</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800" w:type="dxa"/>
            <w:tcBorders/>
            <w:shd w:fill="EFF6EA" w:val="clear"/>
            <w:tcMar>
              <w:bottom w:w="0" w:type="dxa"/>
            </w:tcMar>
            <w:vAlign w:val="center"/>
          </w:tcPr>
          <w:p>
            <w:pPr>
              <w:pStyle w:val="TableContents"/>
              <w:spacing w:before="0" w:after="283"/>
              <w:jc w:val="right"/>
              <w:rPr/>
            </w:pPr>
            <w:r>
              <w:rPr/>
              <w:t>768,846</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800" w:type="dxa"/>
            <w:tcBorders/>
            <w:shd w:fill="EFF6EA" w:val="clear"/>
            <w:tcMar>
              <w:bottom w:w="0" w:type="dxa"/>
            </w:tcMar>
            <w:vAlign w:val="center"/>
          </w:tcPr>
          <w:p>
            <w:pPr>
              <w:pStyle w:val="TableContents"/>
              <w:spacing w:before="0" w:after="283"/>
              <w:jc w:val="right"/>
              <w:rPr/>
            </w:pPr>
            <w:r>
              <w:rPr/>
              <w:t>—</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980" w:type="dxa"/>
            <w:tcBorders/>
            <w:shd w:fill="EFF6EA" w:val="clear"/>
            <w:tcMar>
              <w:bottom w:w="0" w:type="dxa"/>
            </w:tcMar>
            <w:vAlign w:val="center"/>
          </w:tcPr>
          <w:p>
            <w:pPr>
              <w:pStyle w:val="TableContents"/>
              <w:spacing w:before="0" w:after="283"/>
              <w:jc w:val="right"/>
              <w:rPr/>
            </w:pPr>
            <w:r>
              <w:rPr/>
              <w:t>5,410,512</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980" w:type="dxa"/>
            <w:tcBorders/>
            <w:shd w:fill="EFF6EA" w:val="clear"/>
            <w:tcMar>
              <w:bottom w:w="0" w:type="dxa"/>
            </w:tcMar>
            <w:vAlign w:val="center"/>
          </w:tcPr>
          <w:p>
            <w:pPr>
              <w:pStyle w:val="TableContents"/>
              <w:spacing w:before="0" w:after="283"/>
              <w:jc w:val="right"/>
              <w:rPr/>
            </w:pPr>
            <w:r>
              <w:rPr/>
              <w:t>2,835,580</w:t>
            </w:r>
          </w:p>
        </w:tc>
        <w:tc>
          <w:tcPr>
            <w:tcW w:w="120" w:type="dxa"/>
            <w:tcBorders/>
            <w:shd w:fill="EFF6EA" w:val="clear"/>
            <w:tcMar>
              <w:bottom w:w="0" w:type="dxa"/>
            </w:tcMar>
            <w:vAlign w:val="center"/>
          </w:tcPr>
          <w:p>
            <w:pPr>
              <w:pStyle w:val="TableContents"/>
              <w:spacing w:before="0" w:after="283"/>
              <w:jc w:val="right"/>
              <w:rPr/>
            </w:pPr>
            <w:r>
              <w:rPr/>
              <w:t> </w:t>
            </w:r>
          </w:p>
        </w:tc>
        <w:tc>
          <w:tcPr>
            <w:tcW w:w="638" w:type="dxa"/>
            <w:tcBorders/>
            <w:shd w:fill="EFF6EA" w:val="clear"/>
            <w:tcMar>
              <w:bottom w:w="0" w:type="dxa"/>
            </w:tcMar>
            <w:vAlign w:val="center"/>
          </w:tcPr>
          <w:p>
            <w:pPr>
              <w:pStyle w:val="TableContents"/>
              <w:spacing w:before="0" w:after="283"/>
              <w:jc w:val="right"/>
              <w:rPr/>
            </w:pPr>
            <w:r>
              <w:rPr/>
              <w:t> </w:t>
            </w:r>
          </w:p>
        </w:tc>
        <w:tc>
          <w:tcPr>
            <w:tcW w:w="912" w:type="dxa"/>
            <w:tcBorders/>
            <w:shd w:fill="EFF6EA" w:val="clear"/>
            <w:tcMar>
              <w:bottom w:w="0" w:type="dxa"/>
            </w:tcMar>
            <w:vAlign w:val="center"/>
          </w:tcPr>
          <w:p>
            <w:pPr>
              <w:pStyle w:val="TableContents"/>
              <w:spacing w:before="0" w:after="283"/>
              <w:jc w:val="right"/>
              <w:rPr/>
            </w:pPr>
            <w:r>
              <w:rPr/>
              <w:t>499,100</w:t>
            </w:r>
          </w:p>
        </w:tc>
        <w:tc>
          <w:tcPr>
            <w:tcW w:w="120" w:type="dxa"/>
            <w:tcBorders/>
            <w:shd w:fill="EFF6EA" w:val="clear"/>
            <w:tcMar>
              <w:bottom w:w="0" w:type="dxa"/>
            </w:tcMar>
            <w:vAlign w:val="center"/>
          </w:tcPr>
          <w:p>
            <w:pPr>
              <w:pStyle w:val="TableContents"/>
              <w:spacing w:before="0" w:after="283"/>
              <w:jc w:val="right"/>
              <w:rPr/>
            </w:pPr>
            <w:r>
              <w:rPr/>
              <w:t> </w:t>
            </w:r>
          </w:p>
        </w:tc>
        <w:tc>
          <w:tcPr>
            <w:tcW w:w="656" w:type="dxa"/>
            <w:tcBorders/>
            <w:shd w:fill="EFF6EA" w:val="clear"/>
            <w:tcMar>
              <w:bottom w:w="0" w:type="dxa"/>
            </w:tcMar>
            <w:vAlign w:val="center"/>
          </w:tcPr>
          <w:p>
            <w:pPr>
              <w:pStyle w:val="TableContents"/>
              <w:spacing w:before="0" w:after="283"/>
              <w:jc w:val="right"/>
              <w:rPr/>
            </w:pPr>
            <w:r>
              <w:rPr/>
              <w:t> </w:t>
            </w:r>
          </w:p>
        </w:tc>
        <w:tc>
          <w:tcPr>
            <w:tcW w:w="894" w:type="dxa"/>
            <w:tcBorders/>
            <w:shd w:fill="EFF6EA" w:val="clear"/>
            <w:tcMar>
              <w:bottom w:w="0" w:type="dxa"/>
            </w:tcMar>
            <w:vAlign w:val="center"/>
          </w:tcPr>
          <w:p>
            <w:pPr>
              <w:pStyle w:val="TableContents"/>
              <w:spacing w:before="0" w:after="283"/>
              <w:jc w:val="right"/>
              <w:rPr/>
            </w:pPr>
            <w:r>
              <w:rPr/>
              <w:t>8,700</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115" w:type="dxa"/>
            <w:tcBorders/>
            <w:shd w:fill="EFF6EA" w:val="clear"/>
            <w:tcMar>
              <w:bottom w:w="0" w:type="dxa"/>
            </w:tcMar>
            <w:vAlign w:val="center"/>
          </w:tcPr>
          <w:p>
            <w:pPr>
              <w:pStyle w:val="TableContents"/>
              <w:spacing w:before="0" w:after="283"/>
              <w:jc w:val="right"/>
              <w:rPr/>
            </w:pPr>
            <w:r>
              <w:rPr/>
              <w:t>9,522,738</w:t>
            </w:r>
          </w:p>
        </w:tc>
      </w:tr>
      <w:tr>
        <w:trPr/>
        <w:tc>
          <w:tcPr>
            <w:tcW w:w="2975" w:type="dxa"/>
            <w:vMerge w:val="continue"/>
            <w:tcBorders>
              <w:bottom w:val="single" w:sz="2" w:space="0" w:color="7CBC3E"/>
            </w:tcBorders>
            <w:shd w:fill="auto" w:val="clear"/>
            <w:vAlign w:val="center"/>
          </w:tcPr>
          <w:p>
            <w:pPr>
              <w:pStyle w:val="Normal"/>
              <w:rPr/>
            </w:pPr>
            <w:r>
              <w:rPr/>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530" w:type="dxa"/>
            <w:tcBorders>
              <w:bottom w:val="single" w:sz="2" w:space="0" w:color="7CBC3E"/>
            </w:tcBorders>
            <w:shd w:fill="auto" w:val="clear"/>
            <w:vAlign w:val="center"/>
          </w:tcPr>
          <w:p>
            <w:pPr>
              <w:pStyle w:val="TableContents"/>
              <w:spacing w:before="0" w:after="283"/>
              <w:jc w:val="right"/>
              <w:rPr/>
            </w:pPr>
            <w:r>
              <w:rPr/>
              <w:t>2020</w:t>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140" w:type="dxa"/>
            <w:tcBorders>
              <w:bottom w:val="single" w:sz="2" w:space="0" w:color="7CBC3E"/>
            </w:tcBorders>
            <w:shd w:fill="auto" w:val="clear"/>
            <w:vAlign w:val="center"/>
          </w:tcPr>
          <w:p>
            <w:pPr>
              <w:pStyle w:val="TableContents"/>
              <w:spacing w:before="0" w:after="283"/>
              <w:jc w:val="right"/>
              <w:rPr/>
            </w:pPr>
            <w:r>
              <w:rPr/>
              <w:t> </w:t>
            </w:r>
          </w:p>
        </w:tc>
        <w:tc>
          <w:tcPr>
            <w:tcW w:w="800" w:type="dxa"/>
            <w:tcBorders>
              <w:bottom w:val="single" w:sz="2" w:space="0" w:color="7CBC3E"/>
            </w:tcBorders>
            <w:shd w:fill="auto" w:val="clear"/>
            <w:vAlign w:val="center"/>
          </w:tcPr>
          <w:p>
            <w:pPr>
              <w:pStyle w:val="TableContents"/>
              <w:spacing w:before="0" w:after="283"/>
              <w:jc w:val="right"/>
              <w:rPr/>
            </w:pPr>
            <w:r>
              <w:rPr/>
              <w:t>759,231</w:t>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140" w:type="dxa"/>
            <w:tcBorders>
              <w:bottom w:val="single" w:sz="2" w:space="0" w:color="7CBC3E"/>
            </w:tcBorders>
            <w:shd w:fill="auto" w:val="clear"/>
            <w:vAlign w:val="center"/>
          </w:tcPr>
          <w:p>
            <w:pPr>
              <w:pStyle w:val="TableContents"/>
              <w:spacing w:before="0" w:after="283"/>
              <w:jc w:val="right"/>
              <w:rPr/>
            </w:pPr>
            <w:r>
              <w:rPr/>
              <w:t> </w:t>
            </w:r>
          </w:p>
        </w:tc>
        <w:tc>
          <w:tcPr>
            <w:tcW w:w="800" w:type="dxa"/>
            <w:tcBorders>
              <w:bottom w:val="single" w:sz="2" w:space="0" w:color="7CBC3E"/>
            </w:tcBorders>
            <w:shd w:fill="auto" w:val="clear"/>
            <w:vAlign w:val="center"/>
          </w:tcPr>
          <w:p>
            <w:pPr>
              <w:pStyle w:val="TableContents"/>
              <w:spacing w:before="0" w:after="283"/>
              <w:jc w:val="right"/>
              <w:rPr/>
            </w:pPr>
            <w:r>
              <w:rPr/>
              <w:t>—</w:t>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140" w:type="dxa"/>
            <w:tcBorders>
              <w:bottom w:val="single" w:sz="2" w:space="0" w:color="7CBC3E"/>
            </w:tcBorders>
            <w:shd w:fill="auto" w:val="clear"/>
            <w:vAlign w:val="center"/>
          </w:tcPr>
          <w:p>
            <w:pPr>
              <w:pStyle w:val="TableContents"/>
              <w:spacing w:before="0" w:after="283"/>
              <w:jc w:val="right"/>
              <w:rPr/>
            </w:pPr>
            <w:r>
              <w:rPr/>
              <w:t> </w:t>
            </w:r>
          </w:p>
        </w:tc>
        <w:tc>
          <w:tcPr>
            <w:tcW w:w="980" w:type="dxa"/>
            <w:tcBorders>
              <w:bottom w:val="single" w:sz="2" w:space="0" w:color="7CBC3E"/>
            </w:tcBorders>
            <w:shd w:fill="auto" w:val="clear"/>
            <w:vAlign w:val="center"/>
          </w:tcPr>
          <w:p>
            <w:pPr>
              <w:pStyle w:val="TableContents"/>
              <w:spacing w:before="0" w:after="283"/>
              <w:jc w:val="right"/>
              <w:rPr/>
            </w:pPr>
            <w:r>
              <w:rPr/>
              <w:t>1,906,720</w:t>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140" w:type="dxa"/>
            <w:tcBorders>
              <w:bottom w:val="single" w:sz="2" w:space="0" w:color="7CBC3E"/>
            </w:tcBorders>
            <w:shd w:fill="auto" w:val="clear"/>
            <w:vAlign w:val="center"/>
          </w:tcPr>
          <w:p>
            <w:pPr>
              <w:pStyle w:val="TableContents"/>
              <w:spacing w:before="0" w:after="283"/>
              <w:jc w:val="right"/>
              <w:rPr/>
            </w:pPr>
            <w:r>
              <w:rPr/>
              <w:t> </w:t>
            </w:r>
          </w:p>
        </w:tc>
        <w:tc>
          <w:tcPr>
            <w:tcW w:w="980" w:type="dxa"/>
            <w:tcBorders>
              <w:bottom w:val="single" w:sz="2" w:space="0" w:color="7CBC3E"/>
            </w:tcBorders>
            <w:shd w:fill="auto" w:val="clear"/>
            <w:vAlign w:val="center"/>
          </w:tcPr>
          <w:p>
            <w:pPr>
              <w:pStyle w:val="TableContents"/>
              <w:spacing w:before="0" w:after="283"/>
              <w:jc w:val="right"/>
              <w:rPr/>
            </w:pPr>
            <w:r>
              <w:rPr/>
              <w:t>1,802,869</w:t>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638" w:type="dxa"/>
            <w:tcBorders>
              <w:bottom w:val="single" w:sz="2" w:space="0" w:color="7CBC3E"/>
            </w:tcBorders>
            <w:shd w:fill="auto" w:val="clear"/>
            <w:vAlign w:val="center"/>
          </w:tcPr>
          <w:p>
            <w:pPr>
              <w:pStyle w:val="TableContents"/>
              <w:spacing w:before="0" w:after="283"/>
              <w:jc w:val="right"/>
              <w:rPr/>
            </w:pPr>
            <w:r>
              <w:rPr/>
              <w:t> </w:t>
            </w:r>
          </w:p>
        </w:tc>
        <w:tc>
          <w:tcPr>
            <w:tcW w:w="912" w:type="dxa"/>
            <w:tcBorders>
              <w:bottom w:val="single" w:sz="2" w:space="0" w:color="7CBC3E"/>
            </w:tcBorders>
            <w:shd w:fill="auto" w:val="clear"/>
            <w:vAlign w:val="center"/>
          </w:tcPr>
          <w:p>
            <w:pPr>
              <w:pStyle w:val="TableContents"/>
              <w:spacing w:before="0" w:after="283"/>
              <w:jc w:val="right"/>
              <w:rPr/>
            </w:pPr>
            <w:r>
              <w:rPr/>
              <w:t>668,850</w:t>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656" w:type="dxa"/>
            <w:tcBorders>
              <w:bottom w:val="single" w:sz="2" w:space="0" w:color="7CBC3E"/>
            </w:tcBorders>
            <w:shd w:fill="auto" w:val="clear"/>
            <w:vAlign w:val="center"/>
          </w:tcPr>
          <w:p>
            <w:pPr>
              <w:pStyle w:val="TableContents"/>
              <w:spacing w:before="0" w:after="283"/>
              <w:jc w:val="right"/>
              <w:rPr/>
            </w:pPr>
            <w:r>
              <w:rPr/>
              <w:t> </w:t>
            </w:r>
          </w:p>
        </w:tc>
        <w:tc>
          <w:tcPr>
            <w:tcW w:w="894" w:type="dxa"/>
            <w:tcBorders>
              <w:bottom w:val="single" w:sz="2" w:space="0" w:color="7CBC3E"/>
            </w:tcBorders>
            <w:shd w:fill="auto" w:val="clear"/>
            <w:vAlign w:val="center"/>
          </w:tcPr>
          <w:p>
            <w:pPr>
              <w:pStyle w:val="TableContents"/>
              <w:spacing w:before="0" w:after="283"/>
              <w:jc w:val="right"/>
              <w:rPr/>
            </w:pPr>
            <w:r>
              <w:rPr/>
              <w:t>6,550</w:t>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140" w:type="dxa"/>
            <w:tcBorders>
              <w:bottom w:val="single" w:sz="2" w:space="0" w:color="7CBC3E"/>
            </w:tcBorders>
            <w:shd w:fill="auto" w:val="clear"/>
            <w:vAlign w:val="center"/>
          </w:tcPr>
          <w:p>
            <w:pPr>
              <w:pStyle w:val="TableContents"/>
              <w:spacing w:before="0" w:after="283"/>
              <w:jc w:val="right"/>
              <w:rPr/>
            </w:pPr>
            <w:r>
              <w:rPr/>
              <w:t> </w:t>
            </w:r>
          </w:p>
        </w:tc>
        <w:tc>
          <w:tcPr>
            <w:tcW w:w="1115" w:type="dxa"/>
            <w:tcBorders>
              <w:bottom w:val="single" w:sz="2" w:space="0" w:color="7CBC3E"/>
            </w:tcBorders>
            <w:shd w:fill="auto" w:val="clear"/>
            <w:vAlign w:val="center"/>
          </w:tcPr>
          <w:p>
            <w:pPr>
              <w:pStyle w:val="TableContents"/>
              <w:spacing w:before="0" w:after="283"/>
              <w:jc w:val="right"/>
              <w:rPr/>
            </w:pPr>
            <w:r>
              <w:rPr/>
              <w:t>5,144,220</w:t>
            </w:r>
          </w:p>
        </w:tc>
      </w:tr>
      <w:tr>
        <w:trPr/>
        <w:tc>
          <w:tcPr>
            <w:tcW w:w="2975" w:type="dxa"/>
            <w:vMerge w:val="restart"/>
            <w:tcBorders>
              <w:bottom w:val="single" w:sz="2" w:space="0" w:color="7CBC3E"/>
            </w:tcBorders>
            <w:shd w:fill="auto" w:val="clear"/>
            <w:vAlign w:val="center"/>
          </w:tcPr>
          <w:p>
            <w:pPr>
              <w:pStyle w:val="TableContents"/>
              <w:ind w:left="60" w:right="0" w:hanging="0"/>
              <w:jc w:val="left"/>
              <w:rPr>
                <w:b/>
              </w:rPr>
            </w:pPr>
            <w:r>
              <w:rPr>
                <w:b/>
              </w:rPr>
              <w:t>Camille L. Bedrosian, M.D.</w:t>
            </w:r>
          </w:p>
          <w:p>
            <w:pPr>
              <w:pStyle w:val="TableContents"/>
              <w:spacing w:before="0" w:after="283"/>
              <w:ind w:left="200" w:right="0" w:hanging="0"/>
              <w:jc w:val="left"/>
              <w:rPr/>
            </w:pPr>
            <w:r>
              <w:rPr/>
              <w:t>Chief Medical Officer and</w:t>
              <w:br/>
              <w:t>Executive Vice President</w:t>
            </w:r>
          </w:p>
        </w:tc>
        <w:tc>
          <w:tcPr>
            <w:tcW w:w="120" w:type="dxa"/>
            <w:tcBorders/>
            <w:shd w:fill="auto" w:val="clear"/>
            <w:tcMar>
              <w:bottom w:w="0" w:type="dxa"/>
            </w:tcMar>
            <w:vAlign w:val="center"/>
          </w:tcPr>
          <w:p>
            <w:pPr>
              <w:pStyle w:val="TableContents"/>
              <w:spacing w:before="0" w:after="283"/>
              <w:jc w:val="right"/>
              <w:rPr/>
            </w:pPr>
            <w:r>
              <w:rPr/>
              <w:t> </w:t>
            </w:r>
          </w:p>
        </w:tc>
        <w:tc>
          <w:tcPr>
            <w:tcW w:w="530" w:type="dxa"/>
            <w:tcBorders/>
            <w:shd w:fill="EFF6EA" w:val="clear"/>
            <w:tcMar>
              <w:bottom w:w="0" w:type="dxa"/>
            </w:tcMar>
            <w:vAlign w:val="center"/>
          </w:tcPr>
          <w:p>
            <w:pPr>
              <w:pStyle w:val="TableContents"/>
              <w:spacing w:before="0" w:after="283"/>
              <w:jc w:val="right"/>
              <w:rPr/>
            </w:pPr>
            <w:r>
              <w:rPr/>
              <w:t>2022</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800" w:type="dxa"/>
            <w:tcBorders/>
            <w:shd w:fill="EFF6EA" w:val="clear"/>
            <w:tcMar>
              <w:bottom w:w="0" w:type="dxa"/>
            </w:tcMar>
            <w:vAlign w:val="center"/>
          </w:tcPr>
          <w:p>
            <w:pPr>
              <w:pStyle w:val="TableContents"/>
              <w:spacing w:before="0" w:after="283"/>
              <w:jc w:val="right"/>
              <w:rPr/>
            </w:pPr>
            <w:r>
              <w:rPr/>
              <w:t>596,000</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800" w:type="dxa"/>
            <w:tcBorders/>
            <w:shd w:fill="EFF6EA" w:val="clear"/>
            <w:tcMar>
              <w:bottom w:w="0" w:type="dxa"/>
            </w:tcMar>
            <w:vAlign w:val="center"/>
          </w:tcPr>
          <w:p>
            <w:pPr>
              <w:pStyle w:val="TableContents"/>
              <w:spacing w:before="0" w:after="283"/>
              <w:jc w:val="right"/>
              <w:rPr/>
            </w:pPr>
            <w:r>
              <w:rPr/>
              <w:t>—</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980" w:type="dxa"/>
            <w:tcBorders/>
            <w:shd w:fill="EFF6EA" w:val="clear"/>
            <w:tcMar>
              <w:bottom w:w="0" w:type="dxa"/>
            </w:tcMar>
            <w:vAlign w:val="center"/>
          </w:tcPr>
          <w:p>
            <w:pPr>
              <w:pStyle w:val="TableContents"/>
              <w:spacing w:before="0" w:after="283"/>
              <w:jc w:val="right"/>
              <w:rPr/>
            </w:pPr>
            <w:r>
              <w:rPr/>
              <w:t>2,007,768</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980" w:type="dxa"/>
            <w:tcBorders/>
            <w:shd w:fill="EFF6EA" w:val="clear"/>
            <w:tcMar>
              <w:bottom w:w="0" w:type="dxa"/>
            </w:tcMar>
            <w:vAlign w:val="center"/>
          </w:tcPr>
          <w:p>
            <w:pPr>
              <w:pStyle w:val="TableContents"/>
              <w:spacing w:before="0" w:after="283"/>
              <w:jc w:val="right"/>
              <w:rPr/>
            </w:pPr>
            <w:r>
              <w:rPr/>
              <w:t>892,550</w:t>
            </w:r>
          </w:p>
        </w:tc>
        <w:tc>
          <w:tcPr>
            <w:tcW w:w="120" w:type="dxa"/>
            <w:tcBorders/>
            <w:shd w:fill="EFF6EA" w:val="clear"/>
            <w:tcMar>
              <w:bottom w:w="0" w:type="dxa"/>
            </w:tcMar>
            <w:vAlign w:val="center"/>
          </w:tcPr>
          <w:p>
            <w:pPr>
              <w:pStyle w:val="TableContents"/>
              <w:spacing w:before="0" w:after="283"/>
              <w:jc w:val="right"/>
              <w:rPr/>
            </w:pPr>
            <w:r>
              <w:rPr/>
              <w:t> </w:t>
            </w:r>
          </w:p>
        </w:tc>
        <w:tc>
          <w:tcPr>
            <w:tcW w:w="638" w:type="dxa"/>
            <w:tcBorders/>
            <w:shd w:fill="EFF6EA" w:val="clear"/>
            <w:tcMar>
              <w:bottom w:w="0" w:type="dxa"/>
            </w:tcMar>
            <w:vAlign w:val="center"/>
          </w:tcPr>
          <w:p>
            <w:pPr>
              <w:pStyle w:val="TableContents"/>
              <w:spacing w:before="0" w:after="283"/>
              <w:jc w:val="right"/>
              <w:rPr/>
            </w:pPr>
            <w:r>
              <w:rPr/>
              <w:t> </w:t>
            </w:r>
          </w:p>
        </w:tc>
        <w:tc>
          <w:tcPr>
            <w:tcW w:w="912" w:type="dxa"/>
            <w:tcBorders/>
            <w:shd w:fill="EFF6EA" w:val="clear"/>
            <w:tcMar>
              <w:bottom w:w="0" w:type="dxa"/>
            </w:tcMar>
            <w:vAlign w:val="center"/>
          </w:tcPr>
          <w:p>
            <w:pPr>
              <w:pStyle w:val="TableContents"/>
              <w:spacing w:before="0" w:after="283"/>
              <w:jc w:val="right"/>
              <w:rPr/>
            </w:pPr>
            <w:r>
              <w:rPr/>
              <w:t>246,750</w:t>
            </w:r>
          </w:p>
        </w:tc>
        <w:tc>
          <w:tcPr>
            <w:tcW w:w="120" w:type="dxa"/>
            <w:tcBorders/>
            <w:shd w:fill="EFF6EA" w:val="clear"/>
            <w:tcMar>
              <w:bottom w:w="0" w:type="dxa"/>
            </w:tcMar>
            <w:vAlign w:val="center"/>
          </w:tcPr>
          <w:p>
            <w:pPr>
              <w:pStyle w:val="TableContents"/>
              <w:spacing w:before="0" w:after="283"/>
              <w:jc w:val="right"/>
              <w:rPr/>
            </w:pPr>
            <w:r>
              <w:rPr/>
              <w:t> </w:t>
            </w:r>
          </w:p>
        </w:tc>
        <w:tc>
          <w:tcPr>
            <w:tcW w:w="656" w:type="dxa"/>
            <w:tcBorders/>
            <w:shd w:fill="EFF6EA" w:val="clear"/>
            <w:tcMar>
              <w:bottom w:w="0" w:type="dxa"/>
            </w:tcMar>
            <w:vAlign w:val="center"/>
          </w:tcPr>
          <w:p>
            <w:pPr>
              <w:pStyle w:val="TableContents"/>
              <w:spacing w:before="0" w:after="283"/>
              <w:jc w:val="right"/>
              <w:rPr/>
            </w:pPr>
            <w:r>
              <w:rPr/>
              <w:t> </w:t>
            </w:r>
          </w:p>
        </w:tc>
        <w:tc>
          <w:tcPr>
            <w:tcW w:w="894" w:type="dxa"/>
            <w:tcBorders/>
            <w:shd w:fill="EFF6EA" w:val="clear"/>
            <w:tcMar>
              <w:bottom w:w="0" w:type="dxa"/>
            </w:tcMar>
            <w:vAlign w:val="center"/>
          </w:tcPr>
          <w:p>
            <w:pPr>
              <w:pStyle w:val="TableContents"/>
              <w:spacing w:before="0" w:after="283"/>
              <w:jc w:val="right"/>
              <w:rPr/>
            </w:pPr>
            <w:r>
              <w:rPr/>
              <w:t>12,200</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115" w:type="dxa"/>
            <w:tcBorders/>
            <w:shd w:fill="EFF6EA" w:val="clear"/>
            <w:tcMar>
              <w:bottom w:w="0" w:type="dxa"/>
            </w:tcMar>
            <w:vAlign w:val="center"/>
          </w:tcPr>
          <w:p>
            <w:pPr>
              <w:pStyle w:val="TableContents"/>
              <w:spacing w:before="0" w:after="283"/>
              <w:jc w:val="right"/>
              <w:rPr/>
            </w:pPr>
            <w:r>
              <w:rPr/>
              <w:t>3,755,268</w:t>
            </w:r>
          </w:p>
        </w:tc>
      </w:tr>
      <w:tr>
        <w:trPr/>
        <w:tc>
          <w:tcPr>
            <w:tcW w:w="2975" w:type="dxa"/>
            <w:vMerge w:val="continue"/>
            <w:tcBorders>
              <w:bottom w:val="single" w:sz="2" w:space="0" w:color="7CBC3E"/>
            </w:tcBorders>
            <w:shd w:fill="auto" w:val="clear"/>
            <w:vAlign w:val="center"/>
          </w:tcPr>
          <w:p>
            <w:pPr>
              <w:pStyle w:val="Normal"/>
              <w:rPr/>
            </w:pPr>
            <w:r>
              <w:rPr/>
            </w:r>
          </w:p>
        </w:tc>
        <w:tc>
          <w:tcPr>
            <w:tcW w:w="120" w:type="dxa"/>
            <w:tcBorders/>
            <w:shd w:fill="auto" w:val="clear"/>
            <w:tcMar>
              <w:bottom w:w="0" w:type="dxa"/>
            </w:tcMar>
            <w:vAlign w:val="center"/>
          </w:tcPr>
          <w:p>
            <w:pPr>
              <w:pStyle w:val="TableContents"/>
              <w:spacing w:before="0" w:after="283"/>
              <w:jc w:val="right"/>
              <w:rPr/>
            </w:pPr>
            <w:r>
              <w:rPr/>
              <w:t> </w:t>
            </w:r>
          </w:p>
        </w:tc>
        <w:tc>
          <w:tcPr>
            <w:tcW w:w="530" w:type="dxa"/>
            <w:tcBorders/>
            <w:shd w:fill="auto" w:val="clear"/>
            <w:tcMar>
              <w:bottom w:w="0" w:type="dxa"/>
            </w:tcMar>
            <w:vAlign w:val="center"/>
          </w:tcPr>
          <w:p>
            <w:pPr>
              <w:pStyle w:val="TableContents"/>
              <w:spacing w:before="0" w:after="283"/>
              <w:jc w:val="right"/>
              <w:rPr/>
            </w:pPr>
            <w:r>
              <w:rPr/>
              <w:t>2021</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800" w:type="dxa"/>
            <w:tcBorders/>
            <w:shd w:fill="auto" w:val="clear"/>
            <w:tcMar>
              <w:bottom w:w="0" w:type="dxa"/>
            </w:tcMar>
            <w:vAlign w:val="center"/>
          </w:tcPr>
          <w:p>
            <w:pPr>
              <w:pStyle w:val="TableContents"/>
              <w:spacing w:before="0" w:after="283"/>
              <w:jc w:val="right"/>
              <w:rPr/>
            </w:pPr>
            <w:r>
              <w:rPr/>
              <w:t>567,123</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800" w:type="dxa"/>
            <w:tcBorders/>
            <w:shd w:fill="auto" w:val="clear"/>
            <w:tcMar>
              <w:bottom w:w="0" w:type="dxa"/>
            </w:tcM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980" w:type="dxa"/>
            <w:tcBorders/>
            <w:shd w:fill="auto" w:val="clear"/>
            <w:tcMar>
              <w:bottom w:w="0" w:type="dxa"/>
            </w:tcMar>
            <w:vAlign w:val="center"/>
          </w:tcPr>
          <w:p>
            <w:pPr>
              <w:pStyle w:val="TableContents"/>
              <w:spacing w:before="0" w:after="283"/>
              <w:jc w:val="right"/>
              <w:rPr/>
            </w:pPr>
            <w:r>
              <w:rPr/>
              <w:t>1,653,212</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980" w:type="dxa"/>
            <w:tcBorders/>
            <w:shd w:fill="auto" w:val="clear"/>
            <w:tcMar>
              <w:bottom w:w="0" w:type="dxa"/>
            </w:tcMar>
            <w:vAlign w:val="center"/>
          </w:tcPr>
          <w:p>
            <w:pPr>
              <w:pStyle w:val="TableContents"/>
              <w:spacing w:before="0" w:after="283"/>
              <w:jc w:val="right"/>
              <w:rPr/>
            </w:pPr>
            <w:r>
              <w:rPr/>
              <w:t>866,427</w:t>
            </w:r>
          </w:p>
        </w:tc>
        <w:tc>
          <w:tcPr>
            <w:tcW w:w="120" w:type="dxa"/>
            <w:tcBorders/>
            <w:shd w:fill="auto" w:val="clear"/>
            <w:tcMar>
              <w:bottom w:w="0" w:type="dxa"/>
            </w:tcMar>
            <w:vAlign w:val="center"/>
          </w:tcPr>
          <w:p>
            <w:pPr>
              <w:pStyle w:val="TableContents"/>
              <w:spacing w:before="0" w:after="283"/>
              <w:jc w:val="right"/>
              <w:rPr/>
            </w:pPr>
            <w:r>
              <w:rPr/>
              <w:t> </w:t>
            </w:r>
          </w:p>
        </w:tc>
        <w:tc>
          <w:tcPr>
            <w:tcW w:w="638" w:type="dxa"/>
            <w:tcBorders/>
            <w:shd w:fill="auto" w:val="clear"/>
            <w:tcMar>
              <w:bottom w:w="0" w:type="dxa"/>
            </w:tcMar>
            <w:vAlign w:val="center"/>
          </w:tcPr>
          <w:p>
            <w:pPr>
              <w:pStyle w:val="TableContents"/>
              <w:spacing w:before="0" w:after="283"/>
              <w:jc w:val="right"/>
              <w:rPr/>
            </w:pPr>
            <w:r>
              <w:rPr/>
              <w:t> </w:t>
            </w:r>
          </w:p>
        </w:tc>
        <w:tc>
          <w:tcPr>
            <w:tcW w:w="912" w:type="dxa"/>
            <w:tcBorders/>
            <w:shd w:fill="auto" w:val="clear"/>
            <w:tcMar>
              <w:bottom w:w="0" w:type="dxa"/>
            </w:tcMar>
            <w:vAlign w:val="center"/>
          </w:tcPr>
          <w:p>
            <w:pPr>
              <w:pStyle w:val="TableContents"/>
              <w:spacing w:before="0" w:after="283"/>
              <w:jc w:val="right"/>
              <w:rPr/>
            </w:pPr>
            <w:r>
              <w:rPr/>
              <w:t>249,260</w:t>
            </w:r>
          </w:p>
        </w:tc>
        <w:tc>
          <w:tcPr>
            <w:tcW w:w="120" w:type="dxa"/>
            <w:tcBorders/>
            <w:shd w:fill="auto" w:val="clear"/>
            <w:tcMar>
              <w:bottom w:w="0" w:type="dxa"/>
            </w:tcMar>
            <w:vAlign w:val="center"/>
          </w:tcPr>
          <w:p>
            <w:pPr>
              <w:pStyle w:val="TableContents"/>
              <w:spacing w:before="0" w:after="283"/>
              <w:jc w:val="right"/>
              <w:rPr/>
            </w:pPr>
            <w:r>
              <w:rPr/>
              <w:t> </w:t>
            </w:r>
          </w:p>
        </w:tc>
        <w:tc>
          <w:tcPr>
            <w:tcW w:w="656" w:type="dxa"/>
            <w:tcBorders/>
            <w:shd w:fill="auto" w:val="clear"/>
            <w:tcMar>
              <w:bottom w:w="0" w:type="dxa"/>
            </w:tcMar>
            <w:vAlign w:val="center"/>
          </w:tcPr>
          <w:p>
            <w:pPr>
              <w:pStyle w:val="TableContents"/>
              <w:spacing w:before="0" w:after="283"/>
              <w:jc w:val="right"/>
              <w:rPr/>
            </w:pPr>
            <w:r>
              <w:rPr/>
              <w:t> </w:t>
            </w:r>
          </w:p>
        </w:tc>
        <w:tc>
          <w:tcPr>
            <w:tcW w:w="894" w:type="dxa"/>
            <w:tcBorders/>
            <w:shd w:fill="auto" w:val="clear"/>
            <w:tcMar>
              <w:bottom w:w="0" w:type="dxa"/>
            </w:tcMar>
            <w:vAlign w:val="center"/>
          </w:tcPr>
          <w:p>
            <w:pPr>
              <w:pStyle w:val="TableContents"/>
              <w:spacing w:before="0" w:after="283"/>
              <w:jc w:val="right"/>
              <w:rPr/>
            </w:pPr>
            <w:r>
              <w:rPr/>
              <w:t>8,700</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1115" w:type="dxa"/>
            <w:tcBorders/>
            <w:shd w:fill="auto" w:val="clear"/>
            <w:tcMar>
              <w:bottom w:w="0" w:type="dxa"/>
            </w:tcMar>
            <w:vAlign w:val="center"/>
          </w:tcPr>
          <w:p>
            <w:pPr>
              <w:pStyle w:val="TableContents"/>
              <w:spacing w:before="0" w:after="283"/>
              <w:jc w:val="right"/>
              <w:rPr/>
            </w:pPr>
            <w:r>
              <w:rPr/>
              <w:t>3,344,722</w:t>
            </w:r>
          </w:p>
        </w:tc>
      </w:tr>
      <w:tr>
        <w:trPr/>
        <w:tc>
          <w:tcPr>
            <w:tcW w:w="2975" w:type="dxa"/>
            <w:vMerge w:val="continue"/>
            <w:tcBorders>
              <w:bottom w:val="single" w:sz="2" w:space="0" w:color="7CBC3E"/>
            </w:tcBorders>
            <w:shd w:fill="auto" w:val="clear"/>
            <w:vAlign w:val="center"/>
          </w:tcPr>
          <w:p>
            <w:pPr>
              <w:pStyle w:val="Normal"/>
              <w:rPr/>
            </w:pPr>
            <w:r>
              <w:rPr/>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530" w:type="dxa"/>
            <w:tcBorders>
              <w:bottom w:val="single" w:sz="2" w:space="0" w:color="7CBC3E"/>
            </w:tcBorders>
            <w:shd w:fill="EFF6EA" w:val="clear"/>
            <w:vAlign w:val="center"/>
          </w:tcPr>
          <w:p>
            <w:pPr>
              <w:pStyle w:val="TableContents"/>
              <w:spacing w:before="0" w:after="283"/>
              <w:jc w:val="right"/>
              <w:rPr/>
            </w:pPr>
            <w:r>
              <w:rPr/>
              <w:t>2020</w:t>
            </w:r>
          </w:p>
        </w:tc>
        <w:tc>
          <w:tcPr>
            <w:tcW w:w="120" w:type="dxa"/>
            <w:tcBorders>
              <w:bottom w:val="single" w:sz="2" w:space="0" w:color="7CBC3E"/>
            </w:tcBorders>
            <w:shd w:fill="EFF6EA" w:val="clear"/>
            <w:vAlign w:val="center"/>
          </w:tcPr>
          <w:p>
            <w:pPr>
              <w:pStyle w:val="TableContents"/>
              <w:spacing w:before="0" w:after="283"/>
              <w:jc w:val="right"/>
              <w:rPr/>
            </w:pPr>
            <w:r>
              <w:rPr/>
              <w:t> </w:t>
            </w:r>
          </w:p>
        </w:tc>
        <w:tc>
          <w:tcPr>
            <w:tcW w:w="140" w:type="dxa"/>
            <w:tcBorders>
              <w:bottom w:val="single" w:sz="2" w:space="0" w:color="7CBC3E"/>
            </w:tcBorders>
            <w:shd w:fill="EFF6EA" w:val="clear"/>
            <w:vAlign w:val="center"/>
          </w:tcPr>
          <w:p>
            <w:pPr>
              <w:pStyle w:val="TableContents"/>
              <w:spacing w:before="0" w:after="283"/>
              <w:jc w:val="right"/>
              <w:rPr/>
            </w:pPr>
            <w:r>
              <w:rPr/>
              <w:t> </w:t>
            </w:r>
          </w:p>
        </w:tc>
        <w:tc>
          <w:tcPr>
            <w:tcW w:w="800" w:type="dxa"/>
            <w:tcBorders>
              <w:bottom w:val="single" w:sz="2" w:space="0" w:color="7CBC3E"/>
            </w:tcBorders>
            <w:shd w:fill="EFF6EA" w:val="clear"/>
            <w:vAlign w:val="center"/>
          </w:tcPr>
          <w:p>
            <w:pPr>
              <w:pStyle w:val="TableContents"/>
              <w:spacing w:before="0" w:after="283"/>
              <w:jc w:val="right"/>
              <w:rPr/>
            </w:pPr>
            <w:r>
              <w:rPr/>
              <w:t>546,686</w:t>
            </w:r>
          </w:p>
        </w:tc>
        <w:tc>
          <w:tcPr>
            <w:tcW w:w="120" w:type="dxa"/>
            <w:tcBorders>
              <w:bottom w:val="single" w:sz="2" w:space="0" w:color="7CBC3E"/>
            </w:tcBorders>
            <w:shd w:fill="EFF6EA" w:val="clear"/>
            <w:vAlign w:val="center"/>
          </w:tcPr>
          <w:p>
            <w:pPr>
              <w:pStyle w:val="TableContents"/>
              <w:spacing w:before="0" w:after="283"/>
              <w:jc w:val="right"/>
              <w:rPr/>
            </w:pPr>
            <w:r>
              <w:rPr/>
              <w:t> </w:t>
            </w:r>
          </w:p>
        </w:tc>
        <w:tc>
          <w:tcPr>
            <w:tcW w:w="140" w:type="dxa"/>
            <w:tcBorders>
              <w:bottom w:val="single" w:sz="2" w:space="0" w:color="7CBC3E"/>
            </w:tcBorders>
            <w:shd w:fill="EFF6EA" w:val="clear"/>
            <w:vAlign w:val="center"/>
          </w:tcPr>
          <w:p>
            <w:pPr>
              <w:pStyle w:val="TableContents"/>
              <w:spacing w:before="0" w:after="283"/>
              <w:jc w:val="right"/>
              <w:rPr/>
            </w:pPr>
            <w:r>
              <w:rPr/>
              <w:t> </w:t>
            </w:r>
          </w:p>
        </w:tc>
        <w:tc>
          <w:tcPr>
            <w:tcW w:w="800" w:type="dxa"/>
            <w:tcBorders>
              <w:bottom w:val="single" w:sz="2" w:space="0" w:color="7CBC3E"/>
            </w:tcBorders>
            <w:shd w:fill="EFF6EA" w:val="clear"/>
            <w:vAlign w:val="center"/>
          </w:tcPr>
          <w:p>
            <w:pPr>
              <w:pStyle w:val="TableContents"/>
              <w:spacing w:before="0" w:after="283"/>
              <w:jc w:val="right"/>
              <w:rPr/>
            </w:pPr>
            <w:r>
              <w:rPr/>
              <w:t>—</w:t>
            </w:r>
          </w:p>
        </w:tc>
        <w:tc>
          <w:tcPr>
            <w:tcW w:w="120" w:type="dxa"/>
            <w:tcBorders>
              <w:bottom w:val="single" w:sz="2" w:space="0" w:color="7CBC3E"/>
            </w:tcBorders>
            <w:shd w:fill="EFF6EA" w:val="clear"/>
            <w:vAlign w:val="center"/>
          </w:tcPr>
          <w:p>
            <w:pPr>
              <w:pStyle w:val="TableContents"/>
              <w:spacing w:before="0" w:after="283"/>
              <w:jc w:val="right"/>
              <w:rPr/>
            </w:pPr>
            <w:r>
              <w:rPr/>
              <w:t> </w:t>
            </w:r>
          </w:p>
        </w:tc>
        <w:tc>
          <w:tcPr>
            <w:tcW w:w="140" w:type="dxa"/>
            <w:tcBorders>
              <w:bottom w:val="single" w:sz="2" w:space="0" w:color="7CBC3E"/>
            </w:tcBorders>
            <w:shd w:fill="EFF6EA" w:val="clear"/>
            <w:vAlign w:val="center"/>
          </w:tcPr>
          <w:p>
            <w:pPr>
              <w:pStyle w:val="TableContents"/>
              <w:spacing w:before="0" w:after="283"/>
              <w:jc w:val="right"/>
              <w:rPr/>
            </w:pPr>
            <w:r>
              <w:rPr/>
              <w:t> </w:t>
            </w:r>
          </w:p>
        </w:tc>
        <w:tc>
          <w:tcPr>
            <w:tcW w:w="980" w:type="dxa"/>
            <w:tcBorders>
              <w:bottom w:val="single" w:sz="2" w:space="0" w:color="7CBC3E"/>
            </w:tcBorders>
            <w:shd w:fill="EFF6EA" w:val="clear"/>
            <w:vAlign w:val="center"/>
          </w:tcPr>
          <w:p>
            <w:pPr>
              <w:pStyle w:val="TableContents"/>
              <w:spacing w:before="0" w:after="283"/>
              <w:jc w:val="right"/>
              <w:rPr/>
            </w:pPr>
            <w:r>
              <w:rPr/>
              <w:t>695,392</w:t>
            </w:r>
          </w:p>
        </w:tc>
        <w:tc>
          <w:tcPr>
            <w:tcW w:w="120" w:type="dxa"/>
            <w:tcBorders>
              <w:bottom w:val="single" w:sz="2" w:space="0" w:color="7CBC3E"/>
            </w:tcBorders>
            <w:shd w:fill="EFF6EA" w:val="clear"/>
            <w:vAlign w:val="center"/>
          </w:tcPr>
          <w:p>
            <w:pPr>
              <w:pStyle w:val="TableContents"/>
              <w:spacing w:before="0" w:after="283"/>
              <w:jc w:val="right"/>
              <w:rPr/>
            </w:pPr>
            <w:r>
              <w:rPr/>
              <w:t> </w:t>
            </w:r>
          </w:p>
        </w:tc>
        <w:tc>
          <w:tcPr>
            <w:tcW w:w="140" w:type="dxa"/>
            <w:tcBorders>
              <w:bottom w:val="single" w:sz="2" w:space="0" w:color="7CBC3E"/>
            </w:tcBorders>
            <w:shd w:fill="EFF6EA" w:val="clear"/>
            <w:vAlign w:val="center"/>
          </w:tcPr>
          <w:p>
            <w:pPr>
              <w:pStyle w:val="TableContents"/>
              <w:spacing w:before="0" w:after="283"/>
              <w:jc w:val="right"/>
              <w:rPr/>
            </w:pPr>
            <w:r>
              <w:rPr/>
              <w:t> </w:t>
            </w:r>
          </w:p>
        </w:tc>
        <w:tc>
          <w:tcPr>
            <w:tcW w:w="980" w:type="dxa"/>
            <w:tcBorders>
              <w:bottom w:val="single" w:sz="2" w:space="0" w:color="7CBC3E"/>
            </w:tcBorders>
            <w:shd w:fill="EFF6EA" w:val="clear"/>
            <w:vAlign w:val="center"/>
          </w:tcPr>
          <w:p>
            <w:pPr>
              <w:pStyle w:val="TableContents"/>
              <w:spacing w:before="0" w:after="283"/>
              <w:jc w:val="right"/>
              <w:rPr/>
            </w:pPr>
            <w:r>
              <w:rPr/>
              <w:t>674,871</w:t>
            </w:r>
          </w:p>
        </w:tc>
        <w:tc>
          <w:tcPr>
            <w:tcW w:w="120" w:type="dxa"/>
            <w:tcBorders>
              <w:bottom w:val="single" w:sz="2" w:space="0" w:color="7CBC3E"/>
            </w:tcBorders>
            <w:shd w:fill="EFF6EA" w:val="clear"/>
            <w:vAlign w:val="center"/>
          </w:tcPr>
          <w:p>
            <w:pPr>
              <w:pStyle w:val="TableContents"/>
              <w:spacing w:before="0" w:after="283"/>
              <w:jc w:val="right"/>
              <w:rPr/>
            </w:pPr>
            <w:r>
              <w:rPr/>
              <w:t> </w:t>
            </w:r>
          </w:p>
        </w:tc>
        <w:tc>
          <w:tcPr>
            <w:tcW w:w="638" w:type="dxa"/>
            <w:tcBorders>
              <w:bottom w:val="single" w:sz="2" w:space="0" w:color="7CBC3E"/>
            </w:tcBorders>
            <w:shd w:fill="EFF6EA" w:val="clear"/>
            <w:vAlign w:val="center"/>
          </w:tcPr>
          <w:p>
            <w:pPr>
              <w:pStyle w:val="TableContents"/>
              <w:spacing w:before="0" w:after="283"/>
              <w:jc w:val="right"/>
              <w:rPr/>
            </w:pPr>
            <w:r>
              <w:rPr/>
              <w:t> </w:t>
            </w:r>
          </w:p>
        </w:tc>
        <w:tc>
          <w:tcPr>
            <w:tcW w:w="912" w:type="dxa"/>
            <w:tcBorders>
              <w:bottom w:val="single" w:sz="2" w:space="0" w:color="7CBC3E"/>
            </w:tcBorders>
            <w:shd w:fill="EFF6EA" w:val="clear"/>
            <w:vAlign w:val="center"/>
          </w:tcPr>
          <w:p>
            <w:pPr>
              <w:pStyle w:val="TableContents"/>
              <w:spacing w:before="0" w:after="283"/>
              <w:jc w:val="right"/>
              <w:rPr/>
            </w:pPr>
            <w:r>
              <w:rPr/>
              <w:t>297,731</w:t>
            </w:r>
          </w:p>
        </w:tc>
        <w:tc>
          <w:tcPr>
            <w:tcW w:w="120" w:type="dxa"/>
            <w:tcBorders>
              <w:bottom w:val="single" w:sz="2" w:space="0" w:color="7CBC3E"/>
            </w:tcBorders>
            <w:shd w:fill="EFF6EA" w:val="clear"/>
            <w:vAlign w:val="center"/>
          </w:tcPr>
          <w:p>
            <w:pPr>
              <w:pStyle w:val="TableContents"/>
              <w:spacing w:before="0" w:after="283"/>
              <w:jc w:val="right"/>
              <w:rPr/>
            </w:pPr>
            <w:r>
              <w:rPr/>
              <w:t> </w:t>
            </w:r>
          </w:p>
        </w:tc>
        <w:tc>
          <w:tcPr>
            <w:tcW w:w="656" w:type="dxa"/>
            <w:tcBorders>
              <w:bottom w:val="single" w:sz="2" w:space="0" w:color="7CBC3E"/>
            </w:tcBorders>
            <w:shd w:fill="EFF6EA" w:val="clear"/>
            <w:vAlign w:val="center"/>
          </w:tcPr>
          <w:p>
            <w:pPr>
              <w:pStyle w:val="TableContents"/>
              <w:spacing w:before="0" w:after="283"/>
              <w:jc w:val="right"/>
              <w:rPr/>
            </w:pPr>
            <w:r>
              <w:rPr/>
              <w:t> </w:t>
            </w:r>
          </w:p>
        </w:tc>
        <w:tc>
          <w:tcPr>
            <w:tcW w:w="894" w:type="dxa"/>
            <w:tcBorders>
              <w:bottom w:val="single" w:sz="2" w:space="0" w:color="7CBC3E"/>
            </w:tcBorders>
            <w:shd w:fill="EFF6EA" w:val="clear"/>
            <w:vAlign w:val="center"/>
          </w:tcPr>
          <w:p>
            <w:pPr>
              <w:pStyle w:val="TableContents"/>
              <w:spacing w:before="0" w:after="283"/>
              <w:jc w:val="right"/>
              <w:rPr/>
            </w:pPr>
            <w:r>
              <w:rPr/>
              <w:t>—</w:t>
            </w:r>
          </w:p>
        </w:tc>
        <w:tc>
          <w:tcPr>
            <w:tcW w:w="120" w:type="dxa"/>
            <w:tcBorders>
              <w:bottom w:val="single" w:sz="2" w:space="0" w:color="7CBC3E"/>
            </w:tcBorders>
            <w:shd w:fill="EFF6EA" w:val="clear"/>
            <w:vAlign w:val="center"/>
          </w:tcPr>
          <w:p>
            <w:pPr>
              <w:pStyle w:val="TableContents"/>
              <w:spacing w:before="0" w:after="283"/>
              <w:jc w:val="right"/>
              <w:rPr/>
            </w:pPr>
            <w:r>
              <w:rPr/>
              <w:t> </w:t>
            </w:r>
          </w:p>
        </w:tc>
        <w:tc>
          <w:tcPr>
            <w:tcW w:w="140" w:type="dxa"/>
            <w:tcBorders>
              <w:bottom w:val="single" w:sz="2" w:space="0" w:color="7CBC3E"/>
            </w:tcBorders>
            <w:shd w:fill="EFF6EA" w:val="clear"/>
            <w:vAlign w:val="center"/>
          </w:tcPr>
          <w:p>
            <w:pPr>
              <w:pStyle w:val="TableContents"/>
              <w:spacing w:before="0" w:after="283"/>
              <w:jc w:val="right"/>
              <w:rPr/>
            </w:pPr>
            <w:r>
              <w:rPr/>
              <w:t> </w:t>
            </w:r>
          </w:p>
        </w:tc>
        <w:tc>
          <w:tcPr>
            <w:tcW w:w="1115" w:type="dxa"/>
            <w:tcBorders>
              <w:bottom w:val="single" w:sz="2" w:space="0" w:color="7CBC3E"/>
            </w:tcBorders>
            <w:shd w:fill="EFF6EA" w:val="clear"/>
            <w:vAlign w:val="center"/>
          </w:tcPr>
          <w:p>
            <w:pPr>
              <w:pStyle w:val="TableContents"/>
              <w:spacing w:before="0" w:after="283"/>
              <w:jc w:val="right"/>
              <w:rPr/>
            </w:pPr>
            <w:r>
              <w:rPr/>
              <w:t>2,214,680</w:t>
            </w:r>
          </w:p>
        </w:tc>
      </w:tr>
      <w:tr>
        <w:trPr/>
        <w:tc>
          <w:tcPr>
            <w:tcW w:w="2975" w:type="dxa"/>
            <w:vMerge w:val="restart"/>
            <w:tcBorders>
              <w:bottom w:val="single" w:sz="2" w:space="0" w:color="7CBC3E"/>
            </w:tcBorders>
            <w:shd w:fill="auto" w:val="clear"/>
            <w:vAlign w:val="center"/>
          </w:tcPr>
          <w:p>
            <w:pPr>
              <w:pStyle w:val="TableContents"/>
              <w:ind w:left="60" w:right="0" w:hanging="0"/>
              <w:jc w:val="left"/>
              <w:rPr>
                <w:b/>
              </w:rPr>
            </w:pPr>
            <w:r>
              <w:rPr>
                <w:b/>
              </w:rPr>
              <w:t>Erik Harris</w:t>
            </w:r>
          </w:p>
          <w:p>
            <w:pPr>
              <w:pStyle w:val="TableContents"/>
              <w:spacing w:before="0" w:after="283"/>
              <w:ind w:left="200" w:right="0" w:hanging="0"/>
              <w:jc w:val="left"/>
              <w:rPr/>
            </w:pPr>
            <w:r>
              <w:rPr/>
              <w:t>Chief Commercial Officer and</w:t>
              <w:br/>
              <w:t>Executive Vice President</w:t>
            </w:r>
          </w:p>
        </w:tc>
        <w:tc>
          <w:tcPr>
            <w:tcW w:w="120" w:type="dxa"/>
            <w:tcBorders/>
            <w:shd w:fill="auto" w:val="clear"/>
            <w:tcMar>
              <w:bottom w:w="0" w:type="dxa"/>
            </w:tcMar>
            <w:vAlign w:val="center"/>
          </w:tcPr>
          <w:p>
            <w:pPr>
              <w:pStyle w:val="TableContents"/>
              <w:spacing w:before="0" w:after="283"/>
              <w:jc w:val="right"/>
              <w:rPr/>
            </w:pPr>
            <w:r>
              <w:rPr/>
              <w:t> </w:t>
            </w:r>
          </w:p>
        </w:tc>
        <w:tc>
          <w:tcPr>
            <w:tcW w:w="530" w:type="dxa"/>
            <w:tcBorders/>
            <w:shd w:fill="auto" w:val="clear"/>
            <w:tcMar>
              <w:bottom w:w="0" w:type="dxa"/>
            </w:tcMar>
            <w:vAlign w:val="center"/>
          </w:tcPr>
          <w:p>
            <w:pPr>
              <w:pStyle w:val="TableContents"/>
              <w:spacing w:before="0" w:after="283"/>
              <w:jc w:val="right"/>
              <w:rPr/>
            </w:pPr>
            <w:r>
              <w:rPr/>
              <w:t>2022</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800" w:type="dxa"/>
            <w:tcBorders/>
            <w:shd w:fill="auto" w:val="clear"/>
            <w:tcMar>
              <w:bottom w:w="0" w:type="dxa"/>
            </w:tcMar>
            <w:vAlign w:val="center"/>
          </w:tcPr>
          <w:p>
            <w:pPr>
              <w:pStyle w:val="TableContents"/>
              <w:spacing w:before="0" w:after="283"/>
              <w:jc w:val="right"/>
              <w:rPr/>
            </w:pPr>
            <w:r>
              <w:rPr/>
              <w:t>566,331</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800" w:type="dxa"/>
            <w:tcBorders/>
            <w:shd w:fill="auto" w:val="clear"/>
            <w:tcMar>
              <w:bottom w:w="0" w:type="dxa"/>
            </w:tcM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980" w:type="dxa"/>
            <w:tcBorders/>
            <w:shd w:fill="auto" w:val="clear"/>
            <w:tcMar>
              <w:bottom w:w="0" w:type="dxa"/>
            </w:tcMar>
            <w:vAlign w:val="center"/>
          </w:tcPr>
          <w:p>
            <w:pPr>
              <w:pStyle w:val="TableContents"/>
              <w:spacing w:before="0" w:after="283"/>
              <w:jc w:val="right"/>
              <w:rPr/>
            </w:pPr>
            <w:r>
              <w:rPr/>
              <w:t>2,007,768</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980" w:type="dxa"/>
            <w:tcBorders/>
            <w:shd w:fill="auto" w:val="clear"/>
            <w:tcMar>
              <w:bottom w:w="0" w:type="dxa"/>
            </w:tcMar>
            <w:vAlign w:val="center"/>
          </w:tcPr>
          <w:p>
            <w:pPr>
              <w:pStyle w:val="TableContents"/>
              <w:spacing w:before="0" w:after="283"/>
              <w:jc w:val="right"/>
              <w:rPr/>
            </w:pPr>
            <w:r>
              <w:rPr/>
              <w:t>892,550</w:t>
            </w:r>
          </w:p>
        </w:tc>
        <w:tc>
          <w:tcPr>
            <w:tcW w:w="120" w:type="dxa"/>
            <w:tcBorders/>
            <w:shd w:fill="auto" w:val="clear"/>
            <w:tcMar>
              <w:bottom w:w="0" w:type="dxa"/>
            </w:tcMar>
            <w:vAlign w:val="center"/>
          </w:tcPr>
          <w:p>
            <w:pPr>
              <w:pStyle w:val="TableContents"/>
              <w:spacing w:before="0" w:after="283"/>
              <w:jc w:val="right"/>
              <w:rPr/>
            </w:pPr>
            <w:r>
              <w:rPr/>
              <w:t> </w:t>
            </w:r>
          </w:p>
        </w:tc>
        <w:tc>
          <w:tcPr>
            <w:tcW w:w="638" w:type="dxa"/>
            <w:tcBorders/>
            <w:shd w:fill="auto" w:val="clear"/>
            <w:tcMar>
              <w:bottom w:w="0" w:type="dxa"/>
            </w:tcMar>
            <w:vAlign w:val="center"/>
          </w:tcPr>
          <w:p>
            <w:pPr>
              <w:pStyle w:val="TableContents"/>
              <w:spacing w:before="0" w:after="283"/>
              <w:jc w:val="right"/>
              <w:rPr/>
            </w:pPr>
            <w:r>
              <w:rPr/>
              <w:t> </w:t>
            </w:r>
          </w:p>
        </w:tc>
        <w:tc>
          <w:tcPr>
            <w:tcW w:w="912" w:type="dxa"/>
            <w:tcBorders/>
            <w:shd w:fill="auto" w:val="clear"/>
            <w:tcMar>
              <w:bottom w:w="0" w:type="dxa"/>
            </w:tcMar>
            <w:vAlign w:val="center"/>
          </w:tcPr>
          <w:p>
            <w:pPr>
              <w:pStyle w:val="TableContents"/>
              <w:spacing w:before="0" w:after="283"/>
              <w:jc w:val="right"/>
              <w:rPr/>
            </w:pPr>
            <w:r>
              <w:rPr/>
              <w:t>269,706</w:t>
            </w:r>
          </w:p>
        </w:tc>
        <w:tc>
          <w:tcPr>
            <w:tcW w:w="120" w:type="dxa"/>
            <w:tcBorders/>
            <w:shd w:fill="auto" w:val="clear"/>
            <w:tcMar>
              <w:bottom w:w="0" w:type="dxa"/>
            </w:tcMar>
            <w:vAlign w:val="center"/>
          </w:tcPr>
          <w:p>
            <w:pPr>
              <w:pStyle w:val="TableContents"/>
              <w:spacing w:before="0" w:after="283"/>
              <w:jc w:val="right"/>
              <w:rPr/>
            </w:pPr>
            <w:r>
              <w:rPr/>
              <w:t> </w:t>
            </w:r>
          </w:p>
        </w:tc>
        <w:tc>
          <w:tcPr>
            <w:tcW w:w="656" w:type="dxa"/>
            <w:tcBorders/>
            <w:shd w:fill="auto" w:val="clear"/>
            <w:tcMar>
              <w:bottom w:w="0" w:type="dxa"/>
            </w:tcMar>
            <w:vAlign w:val="center"/>
          </w:tcPr>
          <w:p>
            <w:pPr>
              <w:pStyle w:val="TableContents"/>
              <w:spacing w:before="0" w:after="283"/>
              <w:jc w:val="right"/>
              <w:rPr/>
            </w:pPr>
            <w:r>
              <w:rPr/>
              <w:t> </w:t>
            </w:r>
          </w:p>
        </w:tc>
        <w:tc>
          <w:tcPr>
            <w:tcW w:w="894" w:type="dxa"/>
            <w:tcBorders/>
            <w:shd w:fill="auto" w:val="clear"/>
            <w:tcMar>
              <w:bottom w:w="0" w:type="dxa"/>
            </w:tcMar>
            <w:vAlign w:val="center"/>
          </w:tcPr>
          <w:p>
            <w:pPr>
              <w:pStyle w:val="TableContents"/>
              <w:spacing w:before="0" w:after="283"/>
              <w:jc w:val="right"/>
              <w:rPr/>
            </w:pPr>
            <w:r>
              <w:rPr/>
              <w:t>12,200</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1115" w:type="dxa"/>
            <w:tcBorders/>
            <w:shd w:fill="auto" w:val="clear"/>
            <w:tcMar>
              <w:bottom w:w="0" w:type="dxa"/>
            </w:tcMar>
            <w:vAlign w:val="center"/>
          </w:tcPr>
          <w:p>
            <w:pPr>
              <w:pStyle w:val="TableContents"/>
              <w:spacing w:before="0" w:after="283"/>
              <w:jc w:val="right"/>
              <w:rPr/>
            </w:pPr>
            <w:r>
              <w:rPr/>
              <w:t>3,748,555</w:t>
            </w:r>
          </w:p>
        </w:tc>
      </w:tr>
      <w:tr>
        <w:trPr/>
        <w:tc>
          <w:tcPr>
            <w:tcW w:w="2975" w:type="dxa"/>
            <w:vMerge w:val="continue"/>
            <w:tcBorders>
              <w:bottom w:val="single" w:sz="2" w:space="0" w:color="7CBC3E"/>
            </w:tcBorders>
            <w:shd w:fill="auto" w:val="clear"/>
            <w:vAlign w:val="center"/>
          </w:tcPr>
          <w:p>
            <w:pPr>
              <w:pStyle w:val="Normal"/>
              <w:rPr/>
            </w:pPr>
            <w:r>
              <w:rPr/>
            </w:r>
          </w:p>
        </w:tc>
        <w:tc>
          <w:tcPr>
            <w:tcW w:w="120" w:type="dxa"/>
            <w:tcBorders/>
            <w:shd w:fill="auto" w:val="clear"/>
            <w:tcMar>
              <w:bottom w:w="0" w:type="dxa"/>
            </w:tcMar>
            <w:vAlign w:val="center"/>
          </w:tcPr>
          <w:p>
            <w:pPr>
              <w:pStyle w:val="TableContents"/>
              <w:spacing w:before="0" w:after="283"/>
              <w:jc w:val="right"/>
              <w:rPr/>
            </w:pPr>
            <w:r>
              <w:rPr/>
              <w:t> </w:t>
            </w:r>
          </w:p>
        </w:tc>
        <w:tc>
          <w:tcPr>
            <w:tcW w:w="530" w:type="dxa"/>
            <w:tcBorders/>
            <w:shd w:fill="EFF6EA" w:val="clear"/>
            <w:tcMar>
              <w:bottom w:w="0" w:type="dxa"/>
            </w:tcMar>
            <w:vAlign w:val="center"/>
          </w:tcPr>
          <w:p>
            <w:pPr>
              <w:pStyle w:val="TableContents"/>
              <w:spacing w:before="0" w:after="283"/>
              <w:jc w:val="right"/>
              <w:rPr/>
            </w:pPr>
            <w:r>
              <w:rPr/>
              <w:t>2021</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800" w:type="dxa"/>
            <w:tcBorders/>
            <w:shd w:fill="EFF6EA" w:val="clear"/>
            <w:tcMar>
              <w:bottom w:w="0" w:type="dxa"/>
            </w:tcMar>
            <w:vAlign w:val="center"/>
          </w:tcPr>
          <w:p>
            <w:pPr>
              <w:pStyle w:val="TableContents"/>
              <w:spacing w:before="0" w:after="283"/>
              <w:jc w:val="right"/>
              <w:rPr/>
            </w:pPr>
            <w:r>
              <w:rPr/>
              <w:t>543,846</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800" w:type="dxa"/>
            <w:tcBorders/>
            <w:shd w:fill="EFF6EA" w:val="clear"/>
            <w:tcMar>
              <w:bottom w:w="0" w:type="dxa"/>
            </w:tcMar>
            <w:vAlign w:val="center"/>
          </w:tcPr>
          <w:p>
            <w:pPr>
              <w:pStyle w:val="TableContents"/>
              <w:spacing w:before="0" w:after="283"/>
              <w:jc w:val="right"/>
              <w:rPr/>
            </w:pPr>
            <w:r>
              <w:rPr/>
              <w:t>—</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980" w:type="dxa"/>
            <w:tcBorders/>
            <w:shd w:fill="EFF6EA" w:val="clear"/>
            <w:tcMar>
              <w:bottom w:w="0" w:type="dxa"/>
            </w:tcMar>
            <w:vAlign w:val="center"/>
          </w:tcPr>
          <w:p>
            <w:pPr>
              <w:pStyle w:val="TableContents"/>
              <w:spacing w:before="0" w:after="283"/>
              <w:jc w:val="right"/>
              <w:rPr/>
            </w:pPr>
            <w:r>
              <w:rPr/>
              <w:t>1,653,212</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980" w:type="dxa"/>
            <w:tcBorders/>
            <w:shd w:fill="EFF6EA" w:val="clear"/>
            <w:tcMar>
              <w:bottom w:w="0" w:type="dxa"/>
            </w:tcMar>
            <w:vAlign w:val="center"/>
          </w:tcPr>
          <w:p>
            <w:pPr>
              <w:pStyle w:val="TableContents"/>
              <w:spacing w:before="0" w:after="283"/>
              <w:jc w:val="right"/>
              <w:rPr/>
            </w:pPr>
            <w:r>
              <w:rPr/>
              <w:t>866,427</w:t>
            </w:r>
          </w:p>
        </w:tc>
        <w:tc>
          <w:tcPr>
            <w:tcW w:w="120" w:type="dxa"/>
            <w:tcBorders/>
            <w:shd w:fill="EFF6EA" w:val="clear"/>
            <w:tcMar>
              <w:bottom w:w="0" w:type="dxa"/>
            </w:tcMar>
            <w:vAlign w:val="center"/>
          </w:tcPr>
          <w:p>
            <w:pPr>
              <w:pStyle w:val="TableContents"/>
              <w:spacing w:before="0" w:after="283"/>
              <w:jc w:val="right"/>
              <w:rPr/>
            </w:pPr>
            <w:r>
              <w:rPr/>
              <w:t> </w:t>
            </w:r>
          </w:p>
        </w:tc>
        <w:tc>
          <w:tcPr>
            <w:tcW w:w="638" w:type="dxa"/>
            <w:tcBorders/>
            <w:shd w:fill="EFF6EA" w:val="clear"/>
            <w:tcMar>
              <w:bottom w:w="0" w:type="dxa"/>
            </w:tcMar>
            <w:vAlign w:val="center"/>
          </w:tcPr>
          <w:p>
            <w:pPr>
              <w:pStyle w:val="TableContents"/>
              <w:spacing w:before="0" w:after="283"/>
              <w:jc w:val="right"/>
              <w:rPr/>
            </w:pPr>
            <w:r>
              <w:rPr/>
              <w:t> </w:t>
            </w:r>
          </w:p>
        </w:tc>
        <w:tc>
          <w:tcPr>
            <w:tcW w:w="912" w:type="dxa"/>
            <w:tcBorders/>
            <w:shd w:fill="EFF6EA" w:val="clear"/>
            <w:tcMar>
              <w:bottom w:w="0" w:type="dxa"/>
            </w:tcMar>
            <w:vAlign w:val="center"/>
          </w:tcPr>
          <w:p>
            <w:pPr>
              <w:pStyle w:val="TableContents"/>
              <w:spacing w:before="0" w:after="283"/>
              <w:jc w:val="right"/>
              <w:rPr/>
            </w:pPr>
            <w:r>
              <w:rPr/>
              <w:t>245,025</w:t>
            </w:r>
          </w:p>
        </w:tc>
        <w:tc>
          <w:tcPr>
            <w:tcW w:w="120" w:type="dxa"/>
            <w:tcBorders/>
            <w:shd w:fill="EFF6EA" w:val="clear"/>
            <w:tcMar>
              <w:bottom w:w="0" w:type="dxa"/>
            </w:tcMar>
            <w:vAlign w:val="center"/>
          </w:tcPr>
          <w:p>
            <w:pPr>
              <w:pStyle w:val="TableContents"/>
              <w:spacing w:before="0" w:after="283"/>
              <w:jc w:val="right"/>
              <w:rPr/>
            </w:pPr>
            <w:r>
              <w:rPr/>
              <w:t> </w:t>
            </w:r>
          </w:p>
        </w:tc>
        <w:tc>
          <w:tcPr>
            <w:tcW w:w="656" w:type="dxa"/>
            <w:tcBorders/>
            <w:shd w:fill="EFF6EA" w:val="clear"/>
            <w:tcMar>
              <w:bottom w:w="0" w:type="dxa"/>
            </w:tcMar>
            <w:vAlign w:val="center"/>
          </w:tcPr>
          <w:p>
            <w:pPr>
              <w:pStyle w:val="TableContents"/>
              <w:spacing w:before="0" w:after="283"/>
              <w:jc w:val="right"/>
              <w:rPr/>
            </w:pPr>
            <w:r>
              <w:rPr/>
              <w:t> </w:t>
            </w:r>
          </w:p>
        </w:tc>
        <w:tc>
          <w:tcPr>
            <w:tcW w:w="894" w:type="dxa"/>
            <w:tcBorders/>
            <w:shd w:fill="EFF6EA" w:val="clear"/>
            <w:tcMar>
              <w:bottom w:w="0" w:type="dxa"/>
            </w:tcMar>
            <w:vAlign w:val="center"/>
          </w:tcPr>
          <w:p>
            <w:pPr>
              <w:pStyle w:val="TableContents"/>
              <w:spacing w:before="0" w:after="283"/>
              <w:jc w:val="right"/>
              <w:rPr/>
            </w:pPr>
            <w:r>
              <w:rPr/>
              <w:t>8,700</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115" w:type="dxa"/>
            <w:tcBorders/>
            <w:shd w:fill="EFF6EA" w:val="clear"/>
            <w:tcMar>
              <w:bottom w:w="0" w:type="dxa"/>
            </w:tcMar>
            <w:vAlign w:val="center"/>
          </w:tcPr>
          <w:p>
            <w:pPr>
              <w:pStyle w:val="TableContents"/>
              <w:spacing w:before="0" w:after="283"/>
              <w:jc w:val="right"/>
              <w:rPr/>
            </w:pPr>
            <w:r>
              <w:rPr/>
              <w:t>3,317,210</w:t>
            </w:r>
          </w:p>
        </w:tc>
      </w:tr>
      <w:tr>
        <w:trPr/>
        <w:tc>
          <w:tcPr>
            <w:tcW w:w="2975" w:type="dxa"/>
            <w:vMerge w:val="continue"/>
            <w:tcBorders>
              <w:bottom w:val="single" w:sz="2" w:space="0" w:color="7CBC3E"/>
            </w:tcBorders>
            <w:shd w:fill="auto" w:val="clear"/>
            <w:vAlign w:val="center"/>
          </w:tcPr>
          <w:p>
            <w:pPr>
              <w:pStyle w:val="Normal"/>
              <w:rPr/>
            </w:pPr>
            <w:r>
              <w:rPr/>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530" w:type="dxa"/>
            <w:tcBorders>
              <w:bottom w:val="single" w:sz="2" w:space="0" w:color="7CBC3E"/>
            </w:tcBorders>
            <w:shd w:fill="auto" w:val="clear"/>
            <w:vAlign w:val="center"/>
          </w:tcPr>
          <w:p>
            <w:pPr>
              <w:pStyle w:val="TableContents"/>
              <w:spacing w:before="0" w:after="283"/>
              <w:jc w:val="right"/>
              <w:rPr/>
            </w:pPr>
            <w:r>
              <w:rPr/>
              <w:t>2020</w:t>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140" w:type="dxa"/>
            <w:tcBorders>
              <w:bottom w:val="single" w:sz="2" w:space="0" w:color="7CBC3E"/>
            </w:tcBorders>
            <w:shd w:fill="auto" w:val="clear"/>
            <w:vAlign w:val="center"/>
          </w:tcPr>
          <w:p>
            <w:pPr>
              <w:pStyle w:val="TableContents"/>
              <w:spacing w:before="0" w:after="283"/>
              <w:jc w:val="right"/>
              <w:rPr/>
            </w:pPr>
            <w:r>
              <w:rPr/>
              <w:t> </w:t>
            </w:r>
          </w:p>
        </w:tc>
        <w:tc>
          <w:tcPr>
            <w:tcW w:w="800" w:type="dxa"/>
            <w:tcBorders>
              <w:bottom w:val="single" w:sz="2" w:space="0" w:color="7CBC3E"/>
            </w:tcBorders>
            <w:shd w:fill="auto" w:val="clear"/>
            <w:vAlign w:val="center"/>
          </w:tcPr>
          <w:p>
            <w:pPr>
              <w:pStyle w:val="TableContents"/>
              <w:spacing w:before="0" w:after="283"/>
              <w:jc w:val="right"/>
              <w:rPr/>
            </w:pPr>
            <w:r>
              <w:rPr/>
              <w:t>501,247</w:t>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140" w:type="dxa"/>
            <w:tcBorders>
              <w:bottom w:val="single" w:sz="2" w:space="0" w:color="7CBC3E"/>
            </w:tcBorders>
            <w:shd w:fill="auto" w:val="clear"/>
            <w:vAlign w:val="center"/>
          </w:tcPr>
          <w:p>
            <w:pPr>
              <w:pStyle w:val="TableContents"/>
              <w:spacing w:before="0" w:after="283"/>
              <w:jc w:val="right"/>
              <w:rPr/>
            </w:pPr>
            <w:r>
              <w:rPr/>
              <w:t> </w:t>
            </w:r>
          </w:p>
        </w:tc>
        <w:tc>
          <w:tcPr>
            <w:tcW w:w="800" w:type="dxa"/>
            <w:tcBorders>
              <w:bottom w:val="single" w:sz="2" w:space="0" w:color="7CBC3E"/>
            </w:tcBorders>
            <w:shd w:fill="auto" w:val="clear"/>
            <w:vAlign w:val="center"/>
          </w:tcPr>
          <w:p>
            <w:pPr>
              <w:pStyle w:val="TableContents"/>
              <w:spacing w:before="0" w:after="283"/>
              <w:jc w:val="right"/>
              <w:rPr/>
            </w:pPr>
            <w:r>
              <w:rPr/>
              <w:t>—</w:t>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140" w:type="dxa"/>
            <w:tcBorders>
              <w:bottom w:val="single" w:sz="2" w:space="0" w:color="7CBC3E"/>
            </w:tcBorders>
            <w:shd w:fill="auto" w:val="clear"/>
            <w:vAlign w:val="center"/>
          </w:tcPr>
          <w:p>
            <w:pPr>
              <w:pStyle w:val="TableContents"/>
              <w:spacing w:before="0" w:after="283"/>
              <w:jc w:val="right"/>
              <w:rPr/>
            </w:pPr>
            <w:r>
              <w:rPr/>
              <w:t> </w:t>
            </w:r>
          </w:p>
        </w:tc>
        <w:tc>
          <w:tcPr>
            <w:tcW w:w="980" w:type="dxa"/>
            <w:tcBorders>
              <w:bottom w:val="single" w:sz="2" w:space="0" w:color="7CBC3E"/>
            </w:tcBorders>
            <w:shd w:fill="auto" w:val="clear"/>
            <w:vAlign w:val="center"/>
          </w:tcPr>
          <w:p>
            <w:pPr>
              <w:pStyle w:val="TableContents"/>
              <w:spacing w:before="0" w:after="283"/>
              <w:jc w:val="right"/>
              <w:rPr/>
            </w:pPr>
            <w:r>
              <w:rPr/>
              <w:t>723,432</w:t>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140" w:type="dxa"/>
            <w:tcBorders>
              <w:bottom w:val="single" w:sz="2" w:space="0" w:color="7CBC3E"/>
            </w:tcBorders>
            <w:shd w:fill="auto" w:val="clear"/>
            <w:vAlign w:val="center"/>
          </w:tcPr>
          <w:p>
            <w:pPr>
              <w:pStyle w:val="TableContents"/>
              <w:spacing w:before="0" w:after="283"/>
              <w:jc w:val="right"/>
              <w:rPr/>
            </w:pPr>
            <w:r>
              <w:rPr/>
              <w:t> </w:t>
            </w:r>
          </w:p>
        </w:tc>
        <w:tc>
          <w:tcPr>
            <w:tcW w:w="980" w:type="dxa"/>
            <w:tcBorders>
              <w:bottom w:val="single" w:sz="2" w:space="0" w:color="7CBC3E"/>
            </w:tcBorders>
            <w:shd w:fill="auto" w:val="clear"/>
            <w:vAlign w:val="center"/>
          </w:tcPr>
          <w:p>
            <w:pPr>
              <w:pStyle w:val="TableContents"/>
              <w:spacing w:before="0" w:after="283"/>
              <w:jc w:val="right"/>
              <w:rPr/>
            </w:pPr>
            <w:r>
              <w:rPr/>
              <w:t>707,007</w:t>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638" w:type="dxa"/>
            <w:tcBorders>
              <w:bottom w:val="single" w:sz="2" w:space="0" w:color="7CBC3E"/>
            </w:tcBorders>
            <w:shd w:fill="auto" w:val="clear"/>
            <w:vAlign w:val="center"/>
          </w:tcPr>
          <w:p>
            <w:pPr>
              <w:pStyle w:val="TableContents"/>
              <w:spacing w:before="0" w:after="283"/>
              <w:jc w:val="right"/>
              <w:rPr/>
            </w:pPr>
            <w:r>
              <w:rPr/>
              <w:t> </w:t>
            </w:r>
          </w:p>
        </w:tc>
        <w:tc>
          <w:tcPr>
            <w:tcW w:w="912" w:type="dxa"/>
            <w:tcBorders>
              <w:bottom w:val="single" w:sz="2" w:space="0" w:color="7CBC3E"/>
            </w:tcBorders>
            <w:shd w:fill="auto" w:val="clear"/>
            <w:vAlign w:val="center"/>
          </w:tcPr>
          <w:p>
            <w:pPr>
              <w:pStyle w:val="TableContents"/>
              <w:spacing w:before="0" w:after="283"/>
              <w:jc w:val="right"/>
              <w:rPr/>
            </w:pPr>
            <w:r>
              <w:rPr/>
              <w:t>292,613</w:t>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656" w:type="dxa"/>
            <w:tcBorders>
              <w:bottom w:val="single" w:sz="2" w:space="0" w:color="7CBC3E"/>
            </w:tcBorders>
            <w:shd w:fill="auto" w:val="clear"/>
            <w:vAlign w:val="center"/>
          </w:tcPr>
          <w:p>
            <w:pPr>
              <w:pStyle w:val="TableContents"/>
              <w:spacing w:before="0" w:after="283"/>
              <w:jc w:val="right"/>
              <w:rPr/>
            </w:pPr>
            <w:r>
              <w:rPr/>
              <w:t> </w:t>
            </w:r>
          </w:p>
        </w:tc>
        <w:tc>
          <w:tcPr>
            <w:tcW w:w="894" w:type="dxa"/>
            <w:tcBorders>
              <w:bottom w:val="single" w:sz="2" w:space="0" w:color="7CBC3E"/>
            </w:tcBorders>
            <w:shd w:fill="auto" w:val="clear"/>
            <w:vAlign w:val="center"/>
          </w:tcPr>
          <w:p>
            <w:pPr>
              <w:pStyle w:val="TableContents"/>
              <w:spacing w:before="0" w:after="283"/>
              <w:jc w:val="right"/>
              <w:rPr/>
            </w:pPr>
            <w:r>
              <w:rPr/>
              <w:t>—</w:t>
            </w:r>
          </w:p>
        </w:tc>
        <w:tc>
          <w:tcPr>
            <w:tcW w:w="120" w:type="dxa"/>
            <w:tcBorders>
              <w:bottom w:val="single" w:sz="2" w:space="0" w:color="7CBC3E"/>
            </w:tcBorders>
            <w:shd w:fill="auto" w:val="clear"/>
            <w:vAlign w:val="center"/>
          </w:tcPr>
          <w:p>
            <w:pPr>
              <w:pStyle w:val="TableContents"/>
              <w:spacing w:before="0" w:after="283"/>
              <w:jc w:val="right"/>
              <w:rPr/>
            </w:pPr>
            <w:r>
              <w:rPr/>
              <w:t> </w:t>
            </w:r>
          </w:p>
        </w:tc>
        <w:tc>
          <w:tcPr>
            <w:tcW w:w="140" w:type="dxa"/>
            <w:tcBorders>
              <w:bottom w:val="single" w:sz="2" w:space="0" w:color="7CBC3E"/>
            </w:tcBorders>
            <w:shd w:fill="auto" w:val="clear"/>
            <w:vAlign w:val="center"/>
          </w:tcPr>
          <w:p>
            <w:pPr>
              <w:pStyle w:val="TableContents"/>
              <w:spacing w:before="0" w:after="283"/>
              <w:jc w:val="right"/>
              <w:rPr/>
            </w:pPr>
            <w:r>
              <w:rPr/>
              <w:t> </w:t>
            </w:r>
          </w:p>
        </w:tc>
        <w:tc>
          <w:tcPr>
            <w:tcW w:w="1115" w:type="dxa"/>
            <w:tcBorders>
              <w:bottom w:val="single" w:sz="2" w:space="0" w:color="7CBC3E"/>
            </w:tcBorders>
            <w:shd w:fill="auto" w:val="clear"/>
            <w:vAlign w:val="center"/>
          </w:tcPr>
          <w:p>
            <w:pPr>
              <w:pStyle w:val="TableContents"/>
              <w:spacing w:before="0" w:after="283"/>
              <w:jc w:val="right"/>
              <w:rPr/>
            </w:pPr>
            <w:r>
              <w:rPr/>
              <w:t>2,224,299</w:t>
            </w:r>
          </w:p>
        </w:tc>
      </w:tr>
      <w:tr>
        <w:trPr/>
        <w:tc>
          <w:tcPr>
            <w:tcW w:w="2975" w:type="dxa"/>
            <w:vMerge w:val="restart"/>
            <w:tcBorders>
              <w:bottom w:val="single" w:sz="2" w:space="0" w:color="7CBC3E"/>
            </w:tcBorders>
            <w:shd w:fill="auto" w:val="clear"/>
            <w:vAlign w:val="center"/>
          </w:tcPr>
          <w:p>
            <w:pPr>
              <w:pStyle w:val="TableContents"/>
              <w:ind w:left="60" w:right="0" w:hanging="0"/>
              <w:jc w:val="left"/>
              <w:rPr>
                <w:b/>
              </w:rPr>
            </w:pPr>
            <w:r>
              <w:rPr>
                <w:b/>
              </w:rPr>
              <w:t>John R. Pinion II,</w:t>
            </w:r>
          </w:p>
          <w:p>
            <w:pPr>
              <w:pStyle w:val="TableContents"/>
              <w:spacing w:before="0" w:after="283"/>
              <w:ind w:left="200" w:right="0" w:hanging="0"/>
              <w:jc w:val="left"/>
              <w:rPr/>
            </w:pPr>
            <w:r>
              <w:rPr/>
              <w:t>Chief Quality Officer and</w:t>
              <w:br/>
              <w:t>Executive Vice President,</w:t>
              <w:br/>
              <w:t>Translational Sciences</w:t>
            </w:r>
          </w:p>
        </w:tc>
        <w:tc>
          <w:tcPr>
            <w:tcW w:w="120" w:type="dxa"/>
            <w:tcBorders/>
            <w:shd w:fill="auto" w:val="clear"/>
            <w:tcMar>
              <w:bottom w:w="0" w:type="dxa"/>
            </w:tcMar>
            <w:vAlign w:val="center"/>
          </w:tcPr>
          <w:p>
            <w:pPr>
              <w:pStyle w:val="TableContents"/>
              <w:spacing w:before="0" w:after="283"/>
              <w:jc w:val="right"/>
              <w:rPr/>
            </w:pPr>
            <w:r>
              <w:rPr/>
              <w:t> </w:t>
            </w:r>
          </w:p>
        </w:tc>
        <w:tc>
          <w:tcPr>
            <w:tcW w:w="530" w:type="dxa"/>
            <w:tcBorders/>
            <w:shd w:fill="EFF6EA" w:val="clear"/>
            <w:tcMar>
              <w:bottom w:w="0" w:type="dxa"/>
            </w:tcMar>
            <w:vAlign w:val="center"/>
          </w:tcPr>
          <w:p>
            <w:pPr>
              <w:pStyle w:val="TableContents"/>
              <w:spacing w:before="0" w:after="283"/>
              <w:jc w:val="right"/>
              <w:rPr/>
            </w:pPr>
            <w:r>
              <w:rPr/>
              <w:t>2022</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800" w:type="dxa"/>
            <w:tcBorders/>
            <w:shd w:fill="EFF6EA" w:val="clear"/>
            <w:tcMar>
              <w:bottom w:w="0" w:type="dxa"/>
            </w:tcMar>
            <w:vAlign w:val="center"/>
          </w:tcPr>
          <w:p>
            <w:pPr>
              <w:pStyle w:val="TableContents"/>
              <w:spacing w:before="0" w:after="283"/>
              <w:jc w:val="right"/>
              <w:rPr/>
            </w:pPr>
            <w:r>
              <w:rPr/>
              <w:t>533,315</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800" w:type="dxa"/>
            <w:tcBorders/>
            <w:shd w:fill="EFF6EA" w:val="clear"/>
            <w:tcMar>
              <w:bottom w:w="0" w:type="dxa"/>
            </w:tcMar>
            <w:vAlign w:val="center"/>
          </w:tcPr>
          <w:p>
            <w:pPr>
              <w:pStyle w:val="TableContents"/>
              <w:spacing w:before="0" w:after="283"/>
              <w:jc w:val="right"/>
              <w:rPr/>
            </w:pPr>
            <w:r>
              <w:rPr/>
              <w:t>—</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980" w:type="dxa"/>
            <w:tcBorders/>
            <w:shd w:fill="EFF6EA" w:val="clear"/>
            <w:tcMar>
              <w:bottom w:w="0" w:type="dxa"/>
            </w:tcMar>
            <w:vAlign w:val="center"/>
          </w:tcPr>
          <w:p>
            <w:pPr>
              <w:pStyle w:val="TableContents"/>
              <w:spacing w:before="0" w:after="283"/>
              <w:jc w:val="right"/>
              <w:rPr/>
            </w:pPr>
            <w:r>
              <w:rPr/>
              <w:t>2,007,768</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980" w:type="dxa"/>
            <w:tcBorders/>
            <w:shd w:fill="EFF6EA" w:val="clear"/>
            <w:tcMar>
              <w:bottom w:w="0" w:type="dxa"/>
            </w:tcMar>
            <w:vAlign w:val="center"/>
          </w:tcPr>
          <w:p>
            <w:pPr>
              <w:pStyle w:val="TableContents"/>
              <w:spacing w:before="0" w:after="283"/>
              <w:jc w:val="right"/>
              <w:rPr/>
            </w:pPr>
            <w:r>
              <w:rPr/>
              <w:t>892,550</w:t>
            </w:r>
          </w:p>
        </w:tc>
        <w:tc>
          <w:tcPr>
            <w:tcW w:w="120" w:type="dxa"/>
            <w:tcBorders/>
            <w:shd w:fill="EFF6EA" w:val="clear"/>
            <w:tcMar>
              <w:bottom w:w="0" w:type="dxa"/>
            </w:tcMar>
            <w:vAlign w:val="center"/>
          </w:tcPr>
          <w:p>
            <w:pPr>
              <w:pStyle w:val="TableContents"/>
              <w:spacing w:before="0" w:after="283"/>
              <w:jc w:val="right"/>
              <w:rPr/>
            </w:pPr>
            <w:r>
              <w:rPr/>
              <w:t> </w:t>
            </w:r>
          </w:p>
        </w:tc>
        <w:tc>
          <w:tcPr>
            <w:tcW w:w="638" w:type="dxa"/>
            <w:tcBorders/>
            <w:shd w:fill="EFF6EA" w:val="clear"/>
            <w:tcMar>
              <w:bottom w:w="0" w:type="dxa"/>
            </w:tcMar>
            <w:vAlign w:val="center"/>
          </w:tcPr>
          <w:p>
            <w:pPr>
              <w:pStyle w:val="TableContents"/>
              <w:spacing w:before="0" w:after="283"/>
              <w:jc w:val="right"/>
              <w:rPr/>
            </w:pPr>
            <w:r>
              <w:rPr/>
              <w:t> </w:t>
            </w:r>
          </w:p>
        </w:tc>
        <w:tc>
          <w:tcPr>
            <w:tcW w:w="912" w:type="dxa"/>
            <w:tcBorders/>
            <w:shd w:fill="EFF6EA" w:val="clear"/>
            <w:tcMar>
              <w:bottom w:w="0" w:type="dxa"/>
            </w:tcMar>
            <w:vAlign w:val="center"/>
          </w:tcPr>
          <w:p>
            <w:pPr>
              <w:pStyle w:val="TableContents"/>
              <w:spacing w:before="0" w:after="283"/>
              <w:jc w:val="right"/>
              <w:rPr/>
            </w:pPr>
            <w:r>
              <w:rPr/>
              <w:t>260,678</w:t>
            </w:r>
          </w:p>
        </w:tc>
        <w:tc>
          <w:tcPr>
            <w:tcW w:w="120" w:type="dxa"/>
            <w:tcBorders/>
            <w:shd w:fill="EFF6EA" w:val="clear"/>
            <w:tcMar>
              <w:bottom w:w="0" w:type="dxa"/>
            </w:tcMar>
            <w:vAlign w:val="center"/>
          </w:tcPr>
          <w:p>
            <w:pPr>
              <w:pStyle w:val="TableContents"/>
              <w:spacing w:before="0" w:after="283"/>
              <w:jc w:val="right"/>
              <w:rPr/>
            </w:pPr>
            <w:r>
              <w:rPr/>
              <w:t> </w:t>
            </w:r>
          </w:p>
        </w:tc>
        <w:tc>
          <w:tcPr>
            <w:tcW w:w="656" w:type="dxa"/>
            <w:tcBorders/>
            <w:shd w:fill="EFF6EA" w:val="clear"/>
            <w:tcMar>
              <w:bottom w:w="0" w:type="dxa"/>
            </w:tcMar>
            <w:vAlign w:val="center"/>
          </w:tcPr>
          <w:p>
            <w:pPr>
              <w:pStyle w:val="TableContents"/>
              <w:spacing w:before="0" w:after="283"/>
              <w:jc w:val="right"/>
              <w:rPr/>
            </w:pPr>
            <w:r>
              <w:rPr/>
              <w:t> </w:t>
            </w:r>
          </w:p>
        </w:tc>
        <w:tc>
          <w:tcPr>
            <w:tcW w:w="894" w:type="dxa"/>
            <w:tcBorders/>
            <w:shd w:fill="EFF6EA" w:val="clear"/>
            <w:tcMar>
              <w:bottom w:w="0" w:type="dxa"/>
            </w:tcMar>
            <w:vAlign w:val="center"/>
          </w:tcPr>
          <w:p>
            <w:pPr>
              <w:pStyle w:val="TableContents"/>
              <w:spacing w:before="0" w:after="283"/>
              <w:jc w:val="right"/>
              <w:rPr/>
            </w:pPr>
            <w:r>
              <w:rPr/>
              <w:t>12,200</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115" w:type="dxa"/>
            <w:tcBorders/>
            <w:shd w:fill="EFF6EA" w:val="clear"/>
            <w:tcMar>
              <w:bottom w:w="0" w:type="dxa"/>
            </w:tcMar>
            <w:vAlign w:val="center"/>
          </w:tcPr>
          <w:p>
            <w:pPr>
              <w:pStyle w:val="TableContents"/>
              <w:spacing w:before="0" w:after="283"/>
              <w:jc w:val="right"/>
              <w:rPr/>
            </w:pPr>
            <w:r>
              <w:rPr/>
              <w:t>3,706,511</w:t>
            </w:r>
          </w:p>
        </w:tc>
      </w:tr>
      <w:tr>
        <w:trPr/>
        <w:tc>
          <w:tcPr>
            <w:tcW w:w="2975" w:type="dxa"/>
            <w:vMerge w:val="continue"/>
            <w:tcBorders>
              <w:bottom w:val="single" w:sz="2" w:space="0" w:color="7CBC3E"/>
            </w:tcBorders>
            <w:shd w:fill="auto" w:val="clear"/>
            <w:vAlign w:val="center"/>
          </w:tcPr>
          <w:p>
            <w:pPr>
              <w:pStyle w:val="Normal"/>
              <w:rPr/>
            </w:pPr>
            <w:r>
              <w:rPr/>
            </w:r>
          </w:p>
        </w:tc>
        <w:tc>
          <w:tcPr>
            <w:tcW w:w="120" w:type="dxa"/>
            <w:tcBorders/>
            <w:shd w:fill="auto" w:val="clear"/>
            <w:tcMar>
              <w:bottom w:w="0" w:type="dxa"/>
            </w:tcMar>
            <w:vAlign w:val="center"/>
          </w:tcPr>
          <w:p>
            <w:pPr>
              <w:pStyle w:val="TableContents"/>
              <w:spacing w:before="0" w:after="283"/>
              <w:jc w:val="right"/>
              <w:rPr/>
            </w:pPr>
            <w:r>
              <w:rPr/>
              <w:t> </w:t>
            </w:r>
          </w:p>
        </w:tc>
        <w:tc>
          <w:tcPr>
            <w:tcW w:w="530" w:type="dxa"/>
            <w:tcBorders/>
            <w:shd w:fill="auto" w:val="clear"/>
            <w:tcMar>
              <w:bottom w:w="0" w:type="dxa"/>
            </w:tcMar>
            <w:vAlign w:val="center"/>
          </w:tcPr>
          <w:p>
            <w:pPr>
              <w:pStyle w:val="TableContents"/>
              <w:spacing w:before="0" w:after="283"/>
              <w:jc w:val="right"/>
              <w:rPr/>
            </w:pPr>
            <w:r>
              <w:rPr/>
              <w:t>2021</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800" w:type="dxa"/>
            <w:tcBorders/>
            <w:shd w:fill="auto" w:val="clear"/>
            <w:tcMar>
              <w:bottom w:w="0" w:type="dxa"/>
            </w:tcMar>
            <w:vAlign w:val="center"/>
          </w:tcPr>
          <w:p>
            <w:pPr>
              <w:pStyle w:val="TableContents"/>
              <w:spacing w:before="0" w:after="283"/>
              <w:jc w:val="right"/>
              <w:rPr/>
            </w:pPr>
            <w:r>
              <w:rPr/>
              <w:t>509,939</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800" w:type="dxa"/>
            <w:tcBorders/>
            <w:shd w:fill="auto" w:val="clear"/>
            <w:tcMar>
              <w:bottom w:w="0" w:type="dxa"/>
            </w:tcM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980" w:type="dxa"/>
            <w:tcBorders/>
            <w:shd w:fill="auto" w:val="clear"/>
            <w:tcMar>
              <w:bottom w:w="0" w:type="dxa"/>
            </w:tcMar>
            <w:vAlign w:val="center"/>
          </w:tcPr>
          <w:p>
            <w:pPr>
              <w:pStyle w:val="TableContents"/>
              <w:spacing w:before="0" w:after="283"/>
              <w:jc w:val="right"/>
              <w:rPr/>
            </w:pPr>
            <w:r>
              <w:rPr/>
              <w:t>1,653,212</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980" w:type="dxa"/>
            <w:tcBorders/>
            <w:shd w:fill="auto" w:val="clear"/>
            <w:tcMar>
              <w:bottom w:w="0" w:type="dxa"/>
            </w:tcMar>
            <w:vAlign w:val="center"/>
          </w:tcPr>
          <w:p>
            <w:pPr>
              <w:pStyle w:val="TableContents"/>
              <w:spacing w:before="0" w:after="283"/>
              <w:jc w:val="right"/>
              <w:rPr/>
            </w:pPr>
            <w:r>
              <w:rPr/>
              <w:t>866,427</w:t>
            </w:r>
          </w:p>
        </w:tc>
        <w:tc>
          <w:tcPr>
            <w:tcW w:w="120" w:type="dxa"/>
            <w:tcBorders/>
            <w:shd w:fill="auto" w:val="clear"/>
            <w:tcMar>
              <w:bottom w:w="0" w:type="dxa"/>
            </w:tcMar>
            <w:vAlign w:val="center"/>
          </w:tcPr>
          <w:p>
            <w:pPr>
              <w:pStyle w:val="TableContents"/>
              <w:spacing w:before="0" w:after="283"/>
              <w:jc w:val="right"/>
              <w:rPr/>
            </w:pPr>
            <w:r>
              <w:rPr/>
              <w:t> </w:t>
            </w:r>
          </w:p>
        </w:tc>
        <w:tc>
          <w:tcPr>
            <w:tcW w:w="638" w:type="dxa"/>
            <w:tcBorders/>
            <w:shd w:fill="auto" w:val="clear"/>
            <w:tcMar>
              <w:bottom w:w="0" w:type="dxa"/>
            </w:tcMar>
            <w:vAlign w:val="center"/>
          </w:tcPr>
          <w:p>
            <w:pPr>
              <w:pStyle w:val="TableContents"/>
              <w:spacing w:before="0" w:after="283"/>
              <w:jc w:val="right"/>
              <w:rPr/>
            </w:pPr>
            <w:r>
              <w:rPr/>
              <w:t> </w:t>
            </w:r>
          </w:p>
        </w:tc>
        <w:tc>
          <w:tcPr>
            <w:tcW w:w="912" w:type="dxa"/>
            <w:tcBorders/>
            <w:shd w:fill="auto" w:val="clear"/>
            <w:tcMar>
              <w:bottom w:w="0" w:type="dxa"/>
            </w:tcMar>
            <w:vAlign w:val="center"/>
          </w:tcPr>
          <w:p>
            <w:pPr>
              <w:pStyle w:val="TableContents"/>
              <w:spacing w:before="0" w:after="283"/>
              <w:jc w:val="right"/>
              <w:rPr/>
            </w:pPr>
            <w:r>
              <w:rPr/>
              <w:t>224,942</w:t>
            </w:r>
          </w:p>
        </w:tc>
        <w:tc>
          <w:tcPr>
            <w:tcW w:w="120" w:type="dxa"/>
            <w:tcBorders/>
            <w:shd w:fill="auto" w:val="clear"/>
            <w:tcMar>
              <w:bottom w:w="0" w:type="dxa"/>
            </w:tcMar>
            <w:vAlign w:val="center"/>
          </w:tcPr>
          <w:p>
            <w:pPr>
              <w:pStyle w:val="TableContents"/>
              <w:spacing w:before="0" w:after="283"/>
              <w:jc w:val="right"/>
              <w:rPr/>
            </w:pPr>
            <w:r>
              <w:rPr/>
              <w:t> </w:t>
            </w:r>
          </w:p>
        </w:tc>
        <w:tc>
          <w:tcPr>
            <w:tcW w:w="656" w:type="dxa"/>
            <w:tcBorders/>
            <w:shd w:fill="auto" w:val="clear"/>
            <w:tcMar>
              <w:bottom w:w="0" w:type="dxa"/>
            </w:tcMar>
            <w:vAlign w:val="center"/>
          </w:tcPr>
          <w:p>
            <w:pPr>
              <w:pStyle w:val="TableContents"/>
              <w:spacing w:before="0" w:after="283"/>
              <w:jc w:val="right"/>
              <w:rPr/>
            </w:pPr>
            <w:r>
              <w:rPr/>
              <w:t> </w:t>
            </w:r>
          </w:p>
        </w:tc>
        <w:tc>
          <w:tcPr>
            <w:tcW w:w="894" w:type="dxa"/>
            <w:tcBorders/>
            <w:shd w:fill="auto" w:val="clear"/>
            <w:tcMar>
              <w:bottom w:w="0" w:type="dxa"/>
            </w:tcMar>
            <w:vAlign w:val="center"/>
          </w:tcPr>
          <w:p>
            <w:pPr>
              <w:pStyle w:val="TableContents"/>
              <w:spacing w:before="0" w:after="283"/>
              <w:jc w:val="right"/>
              <w:rPr/>
            </w:pPr>
            <w:r>
              <w:rPr/>
              <w:t>8,700</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1115" w:type="dxa"/>
            <w:tcBorders/>
            <w:shd w:fill="auto" w:val="clear"/>
            <w:tcMar>
              <w:bottom w:w="0" w:type="dxa"/>
            </w:tcMar>
            <w:vAlign w:val="center"/>
          </w:tcPr>
          <w:p>
            <w:pPr>
              <w:pStyle w:val="TableContents"/>
              <w:spacing w:before="0" w:after="283"/>
              <w:jc w:val="right"/>
              <w:rPr/>
            </w:pPr>
            <w:r>
              <w:rPr/>
              <w:t>3,263,220</w:t>
            </w:r>
          </w:p>
        </w:tc>
      </w:tr>
      <w:tr>
        <w:trPr/>
        <w:tc>
          <w:tcPr>
            <w:tcW w:w="2975" w:type="dxa"/>
            <w:vMerge w:val="continue"/>
            <w:tcBorders>
              <w:bottom w:val="single" w:sz="2" w:space="0" w:color="7CBC3E"/>
            </w:tcBorders>
            <w:shd w:fill="auto" w:val="clear"/>
            <w:vAlign w:val="center"/>
          </w:tcPr>
          <w:p>
            <w:pPr>
              <w:pStyle w:val="Normal"/>
              <w:rPr/>
            </w:pPr>
            <w:r>
              <w:rPr/>
            </w:r>
          </w:p>
        </w:tc>
        <w:tc>
          <w:tcPr>
            <w:tcW w:w="120" w:type="dxa"/>
            <w:tcBorders>
              <w:bottom w:val="single" w:sz="2" w:space="0" w:color="7CBC3E"/>
            </w:tcBorders>
            <w:shd w:fill="auto" w:val="clear"/>
            <w:tcMar>
              <w:bottom w:w="160" w:type="dxa"/>
            </w:tcMar>
            <w:vAlign w:val="center"/>
          </w:tcPr>
          <w:p>
            <w:pPr>
              <w:pStyle w:val="TableContents"/>
              <w:spacing w:before="0" w:after="283"/>
              <w:jc w:val="right"/>
              <w:rPr/>
            </w:pPr>
            <w:r>
              <w:rPr/>
              <w:t> </w:t>
            </w:r>
          </w:p>
        </w:tc>
        <w:tc>
          <w:tcPr>
            <w:tcW w:w="530" w:type="dxa"/>
            <w:tcBorders>
              <w:bottom w:val="single" w:sz="2" w:space="0" w:color="7CBC3E"/>
            </w:tcBorders>
            <w:shd w:fill="EFF6EA" w:val="clear"/>
            <w:tcMar>
              <w:bottom w:w="160" w:type="dxa"/>
            </w:tcMar>
            <w:vAlign w:val="center"/>
          </w:tcPr>
          <w:p>
            <w:pPr>
              <w:pStyle w:val="TableContents"/>
              <w:spacing w:before="0" w:after="283"/>
              <w:jc w:val="right"/>
              <w:rPr/>
            </w:pPr>
            <w:r>
              <w:rPr/>
              <w:t>2020</w:t>
            </w:r>
          </w:p>
        </w:tc>
        <w:tc>
          <w:tcPr>
            <w:tcW w:w="120" w:type="dxa"/>
            <w:tcBorders>
              <w:bottom w:val="single" w:sz="2" w:space="0" w:color="7CBC3E"/>
            </w:tcBorders>
            <w:shd w:fill="EFF6EA" w:val="clear"/>
            <w:tcMar>
              <w:bottom w:w="160" w:type="dxa"/>
            </w:tcMar>
            <w:vAlign w:val="center"/>
          </w:tcPr>
          <w:p>
            <w:pPr>
              <w:pStyle w:val="TableContents"/>
              <w:spacing w:before="0" w:after="283"/>
              <w:jc w:val="right"/>
              <w:rPr/>
            </w:pPr>
            <w:r>
              <w:rPr/>
              <w:t> </w:t>
            </w:r>
          </w:p>
        </w:tc>
        <w:tc>
          <w:tcPr>
            <w:tcW w:w="140" w:type="dxa"/>
            <w:tcBorders>
              <w:bottom w:val="single" w:sz="2" w:space="0" w:color="7CBC3E"/>
            </w:tcBorders>
            <w:shd w:fill="EFF6EA" w:val="clear"/>
            <w:tcMar>
              <w:bottom w:w="160" w:type="dxa"/>
            </w:tcMar>
            <w:vAlign w:val="center"/>
          </w:tcPr>
          <w:p>
            <w:pPr>
              <w:pStyle w:val="TableContents"/>
              <w:spacing w:before="0" w:after="283"/>
              <w:jc w:val="right"/>
              <w:rPr/>
            </w:pPr>
            <w:r>
              <w:rPr/>
              <w:t> </w:t>
            </w:r>
          </w:p>
        </w:tc>
        <w:tc>
          <w:tcPr>
            <w:tcW w:w="800" w:type="dxa"/>
            <w:tcBorders>
              <w:bottom w:val="single" w:sz="2" w:space="0" w:color="7CBC3E"/>
            </w:tcBorders>
            <w:shd w:fill="EFF6EA" w:val="clear"/>
            <w:tcMar>
              <w:bottom w:w="160" w:type="dxa"/>
            </w:tcMar>
            <w:vAlign w:val="center"/>
          </w:tcPr>
          <w:p>
            <w:pPr>
              <w:pStyle w:val="TableContents"/>
              <w:spacing w:before="0" w:after="283"/>
              <w:jc w:val="right"/>
              <w:rPr/>
            </w:pPr>
            <w:r>
              <w:rPr/>
              <w:t>480,063</w:t>
            </w:r>
          </w:p>
        </w:tc>
        <w:tc>
          <w:tcPr>
            <w:tcW w:w="120" w:type="dxa"/>
            <w:tcBorders>
              <w:bottom w:val="single" w:sz="2" w:space="0" w:color="7CBC3E"/>
            </w:tcBorders>
            <w:shd w:fill="EFF6EA" w:val="clear"/>
            <w:tcMar>
              <w:bottom w:w="160" w:type="dxa"/>
            </w:tcMar>
            <w:vAlign w:val="center"/>
          </w:tcPr>
          <w:p>
            <w:pPr>
              <w:pStyle w:val="TableContents"/>
              <w:spacing w:before="0" w:after="283"/>
              <w:jc w:val="right"/>
              <w:rPr/>
            </w:pPr>
            <w:r>
              <w:rPr/>
              <w:t> </w:t>
            </w:r>
          </w:p>
        </w:tc>
        <w:tc>
          <w:tcPr>
            <w:tcW w:w="140" w:type="dxa"/>
            <w:tcBorders>
              <w:bottom w:val="single" w:sz="2" w:space="0" w:color="7CBC3E"/>
            </w:tcBorders>
            <w:shd w:fill="EFF6EA" w:val="clear"/>
            <w:tcMar>
              <w:bottom w:w="160" w:type="dxa"/>
            </w:tcMar>
            <w:vAlign w:val="center"/>
          </w:tcPr>
          <w:p>
            <w:pPr>
              <w:pStyle w:val="TableContents"/>
              <w:spacing w:before="0" w:after="283"/>
              <w:jc w:val="right"/>
              <w:rPr/>
            </w:pPr>
            <w:r>
              <w:rPr/>
              <w:t> </w:t>
            </w:r>
          </w:p>
        </w:tc>
        <w:tc>
          <w:tcPr>
            <w:tcW w:w="800" w:type="dxa"/>
            <w:tcBorders>
              <w:bottom w:val="single" w:sz="2" w:space="0" w:color="7CBC3E"/>
            </w:tcBorders>
            <w:shd w:fill="EFF6EA" w:val="clear"/>
            <w:tcMar>
              <w:bottom w:w="160"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160" w:type="dxa"/>
            </w:tcMar>
            <w:vAlign w:val="center"/>
          </w:tcPr>
          <w:p>
            <w:pPr>
              <w:pStyle w:val="TableContents"/>
              <w:spacing w:before="0" w:after="283"/>
              <w:jc w:val="right"/>
              <w:rPr/>
            </w:pPr>
            <w:r>
              <w:rPr/>
              <w:t> </w:t>
            </w:r>
          </w:p>
        </w:tc>
        <w:tc>
          <w:tcPr>
            <w:tcW w:w="140" w:type="dxa"/>
            <w:tcBorders>
              <w:bottom w:val="single" w:sz="2" w:space="0" w:color="7CBC3E"/>
            </w:tcBorders>
            <w:shd w:fill="EFF6EA" w:val="clear"/>
            <w:tcMar>
              <w:bottom w:w="160" w:type="dxa"/>
            </w:tcMar>
            <w:vAlign w:val="center"/>
          </w:tcPr>
          <w:p>
            <w:pPr>
              <w:pStyle w:val="TableContents"/>
              <w:spacing w:before="0" w:after="283"/>
              <w:jc w:val="right"/>
              <w:rPr/>
            </w:pPr>
            <w:r>
              <w:rPr/>
              <w:t> </w:t>
            </w:r>
          </w:p>
        </w:tc>
        <w:tc>
          <w:tcPr>
            <w:tcW w:w="980" w:type="dxa"/>
            <w:tcBorders>
              <w:bottom w:val="single" w:sz="2" w:space="0" w:color="7CBC3E"/>
            </w:tcBorders>
            <w:shd w:fill="EFF6EA" w:val="clear"/>
            <w:tcMar>
              <w:bottom w:w="160" w:type="dxa"/>
            </w:tcMar>
            <w:vAlign w:val="center"/>
          </w:tcPr>
          <w:p>
            <w:pPr>
              <w:pStyle w:val="TableContents"/>
              <w:spacing w:before="0" w:after="283"/>
              <w:jc w:val="right"/>
              <w:rPr/>
            </w:pPr>
            <w:r>
              <w:rPr/>
              <w:t>723,432</w:t>
            </w:r>
          </w:p>
        </w:tc>
        <w:tc>
          <w:tcPr>
            <w:tcW w:w="120" w:type="dxa"/>
            <w:tcBorders>
              <w:bottom w:val="single" w:sz="2" w:space="0" w:color="7CBC3E"/>
            </w:tcBorders>
            <w:shd w:fill="EFF6EA" w:val="clear"/>
            <w:tcMar>
              <w:bottom w:w="160" w:type="dxa"/>
            </w:tcMar>
            <w:vAlign w:val="center"/>
          </w:tcPr>
          <w:p>
            <w:pPr>
              <w:pStyle w:val="TableContents"/>
              <w:spacing w:before="0" w:after="283"/>
              <w:jc w:val="right"/>
              <w:rPr/>
            </w:pPr>
            <w:r>
              <w:rPr/>
              <w:t> </w:t>
            </w:r>
          </w:p>
        </w:tc>
        <w:tc>
          <w:tcPr>
            <w:tcW w:w="140" w:type="dxa"/>
            <w:tcBorders>
              <w:bottom w:val="single" w:sz="2" w:space="0" w:color="7CBC3E"/>
            </w:tcBorders>
            <w:shd w:fill="EFF6EA" w:val="clear"/>
            <w:tcMar>
              <w:bottom w:w="160" w:type="dxa"/>
            </w:tcMar>
            <w:vAlign w:val="center"/>
          </w:tcPr>
          <w:p>
            <w:pPr>
              <w:pStyle w:val="TableContents"/>
              <w:spacing w:before="0" w:after="283"/>
              <w:jc w:val="right"/>
              <w:rPr/>
            </w:pPr>
            <w:r>
              <w:rPr/>
              <w:t> </w:t>
            </w:r>
          </w:p>
        </w:tc>
        <w:tc>
          <w:tcPr>
            <w:tcW w:w="980" w:type="dxa"/>
            <w:tcBorders>
              <w:bottom w:val="single" w:sz="2" w:space="0" w:color="7CBC3E"/>
            </w:tcBorders>
            <w:shd w:fill="EFF6EA" w:val="clear"/>
            <w:tcMar>
              <w:bottom w:w="160" w:type="dxa"/>
            </w:tcMar>
            <w:vAlign w:val="center"/>
          </w:tcPr>
          <w:p>
            <w:pPr>
              <w:pStyle w:val="TableContents"/>
              <w:spacing w:before="0" w:after="283"/>
              <w:jc w:val="right"/>
              <w:rPr/>
            </w:pPr>
            <w:r>
              <w:rPr/>
              <w:t>707,007</w:t>
            </w:r>
          </w:p>
        </w:tc>
        <w:tc>
          <w:tcPr>
            <w:tcW w:w="120" w:type="dxa"/>
            <w:tcBorders>
              <w:bottom w:val="single" w:sz="2" w:space="0" w:color="7CBC3E"/>
            </w:tcBorders>
            <w:shd w:fill="EFF6EA" w:val="clear"/>
            <w:tcMar>
              <w:bottom w:w="160" w:type="dxa"/>
            </w:tcMar>
            <w:vAlign w:val="center"/>
          </w:tcPr>
          <w:p>
            <w:pPr>
              <w:pStyle w:val="TableContents"/>
              <w:spacing w:before="0" w:after="283"/>
              <w:jc w:val="right"/>
              <w:rPr/>
            </w:pPr>
            <w:r>
              <w:rPr/>
              <w:t> </w:t>
            </w:r>
          </w:p>
        </w:tc>
        <w:tc>
          <w:tcPr>
            <w:tcW w:w="638" w:type="dxa"/>
            <w:tcBorders>
              <w:bottom w:val="single" w:sz="2" w:space="0" w:color="7CBC3E"/>
            </w:tcBorders>
            <w:shd w:fill="EFF6EA" w:val="clear"/>
            <w:tcMar>
              <w:bottom w:w="160" w:type="dxa"/>
            </w:tcMar>
            <w:vAlign w:val="center"/>
          </w:tcPr>
          <w:p>
            <w:pPr>
              <w:pStyle w:val="TableContents"/>
              <w:spacing w:before="0" w:after="283"/>
              <w:jc w:val="right"/>
              <w:rPr/>
            </w:pPr>
            <w:r>
              <w:rPr/>
              <w:t> </w:t>
            </w:r>
          </w:p>
        </w:tc>
        <w:tc>
          <w:tcPr>
            <w:tcW w:w="912" w:type="dxa"/>
            <w:tcBorders>
              <w:bottom w:val="single" w:sz="2" w:space="0" w:color="7CBC3E"/>
            </w:tcBorders>
            <w:shd w:fill="EFF6EA" w:val="clear"/>
            <w:tcMar>
              <w:bottom w:w="160" w:type="dxa"/>
            </w:tcMar>
            <w:vAlign w:val="center"/>
          </w:tcPr>
          <w:p>
            <w:pPr>
              <w:pStyle w:val="TableContents"/>
              <w:spacing w:before="0" w:after="283"/>
              <w:jc w:val="right"/>
              <w:rPr/>
            </w:pPr>
            <w:r>
              <w:rPr/>
              <w:t>267,138</w:t>
            </w:r>
          </w:p>
        </w:tc>
        <w:tc>
          <w:tcPr>
            <w:tcW w:w="120" w:type="dxa"/>
            <w:tcBorders>
              <w:bottom w:val="single" w:sz="2" w:space="0" w:color="7CBC3E"/>
            </w:tcBorders>
            <w:shd w:fill="EFF6EA" w:val="clear"/>
            <w:tcMar>
              <w:bottom w:w="160" w:type="dxa"/>
            </w:tcMar>
            <w:vAlign w:val="center"/>
          </w:tcPr>
          <w:p>
            <w:pPr>
              <w:pStyle w:val="TableContents"/>
              <w:spacing w:before="0" w:after="283"/>
              <w:jc w:val="right"/>
              <w:rPr/>
            </w:pPr>
            <w:r>
              <w:rPr/>
              <w:t> </w:t>
            </w:r>
          </w:p>
        </w:tc>
        <w:tc>
          <w:tcPr>
            <w:tcW w:w="656" w:type="dxa"/>
            <w:tcBorders>
              <w:bottom w:val="single" w:sz="2" w:space="0" w:color="7CBC3E"/>
            </w:tcBorders>
            <w:shd w:fill="EFF6EA" w:val="clear"/>
            <w:tcMar>
              <w:bottom w:w="160" w:type="dxa"/>
            </w:tcMar>
            <w:vAlign w:val="center"/>
          </w:tcPr>
          <w:p>
            <w:pPr>
              <w:pStyle w:val="TableContents"/>
              <w:spacing w:before="0" w:after="283"/>
              <w:jc w:val="right"/>
              <w:rPr/>
            </w:pPr>
            <w:r>
              <w:rPr/>
              <w:t> </w:t>
            </w:r>
          </w:p>
        </w:tc>
        <w:tc>
          <w:tcPr>
            <w:tcW w:w="894" w:type="dxa"/>
            <w:tcBorders>
              <w:bottom w:val="single" w:sz="2" w:space="0" w:color="7CBC3E"/>
            </w:tcBorders>
            <w:shd w:fill="EFF6EA" w:val="clear"/>
            <w:tcMar>
              <w:bottom w:w="160"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160" w:type="dxa"/>
            </w:tcMar>
            <w:vAlign w:val="center"/>
          </w:tcPr>
          <w:p>
            <w:pPr>
              <w:pStyle w:val="TableContents"/>
              <w:spacing w:before="0" w:after="283"/>
              <w:jc w:val="right"/>
              <w:rPr/>
            </w:pPr>
            <w:r>
              <w:rPr/>
              <w:t> </w:t>
            </w:r>
          </w:p>
        </w:tc>
        <w:tc>
          <w:tcPr>
            <w:tcW w:w="140" w:type="dxa"/>
            <w:tcBorders>
              <w:bottom w:val="single" w:sz="2" w:space="0" w:color="7CBC3E"/>
            </w:tcBorders>
            <w:shd w:fill="EFF6EA" w:val="clear"/>
            <w:tcMar>
              <w:bottom w:w="160" w:type="dxa"/>
            </w:tcMar>
            <w:vAlign w:val="center"/>
          </w:tcPr>
          <w:p>
            <w:pPr>
              <w:pStyle w:val="TableContents"/>
              <w:spacing w:before="0" w:after="283"/>
              <w:jc w:val="right"/>
              <w:rPr/>
            </w:pPr>
            <w:r>
              <w:rPr/>
              <w:t> </w:t>
            </w:r>
          </w:p>
        </w:tc>
        <w:tc>
          <w:tcPr>
            <w:tcW w:w="1115" w:type="dxa"/>
            <w:tcBorders>
              <w:bottom w:val="single" w:sz="2" w:space="0" w:color="7CBC3E"/>
            </w:tcBorders>
            <w:shd w:fill="EFF6EA" w:val="clear"/>
            <w:tcMar>
              <w:bottom w:w="160" w:type="dxa"/>
            </w:tcMar>
            <w:vAlign w:val="center"/>
          </w:tcPr>
          <w:p>
            <w:pPr>
              <w:pStyle w:val="TableContents"/>
              <w:spacing w:before="0" w:after="283"/>
              <w:jc w:val="right"/>
              <w:rPr/>
            </w:pPr>
            <w:r>
              <w:rPr/>
              <w:t>2,177,640</w:t>
            </w:r>
          </w:p>
        </w:tc>
      </w:tr>
      <w:tr>
        <w:trPr/>
        <w:tc>
          <w:tcPr>
            <w:tcW w:w="2975" w:type="dxa"/>
            <w:vMerge w:val="restart"/>
            <w:tcBorders>
              <w:bottom w:val="single" w:sz="12" w:space="0" w:color="7CBC3E"/>
            </w:tcBorders>
            <w:shd w:fill="auto" w:val="clear"/>
            <w:vAlign w:val="center"/>
          </w:tcPr>
          <w:p>
            <w:pPr>
              <w:pStyle w:val="TableContents"/>
              <w:ind w:left="60" w:right="0" w:hanging="0"/>
              <w:jc w:val="left"/>
              <w:rPr>
                <w:b/>
              </w:rPr>
            </w:pPr>
            <w:r>
              <w:rPr>
                <w:b/>
              </w:rPr>
              <w:t>Mardi Dier</w:t>
            </w:r>
          </w:p>
          <w:p>
            <w:pPr>
              <w:pStyle w:val="TableContents"/>
              <w:spacing w:before="0" w:after="283"/>
              <w:ind w:left="200" w:right="0" w:hanging="0"/>
              <w:jc w:val="left"/>
              <w:rPr/>
            </w:pPr>
            <w:r>
              <w:rPr/>
              <w:t>Former Chief Financial Officer</w:t>
              <w:br/>
              <w:t>and Executive Vice President</w:t>
            </w:r>
          </w:p>
        </w:tc>
        <w:tc>
          <w:tcPr>
            <w:tcW w:w="120" w:type="dxa"/>
            <w:tcBorders/>
            <w:shd w:fill="auto" w:val="clear"/>
            <w:tcMar>
              <w:bottom w:w="0" w:type="dxa"/>
            </w:tcMar>
            <w:vAlign w:val="center"/>
          </w:tcPr>
          <w:p>
            <w:pPr>
              <w:pStyle w:val="TableContents"/>
              <w:spacing w:before="0" w:after="283"/>
              <w:jc w:val="right"/>
              <w:rPr/>
            </w:pPr>
            <w:r>
              <w:rPr/>
              <w:t> </w:t>
            </w:r>
          </w:p>
        </w:tc>
        <w:tc>
          <w:tcPr>
            <w:tcW w:w="530" w:type="dxa"/>
            <w:tcBorders/>
            <w:shd w:fill="auto" w:val="clear"/>
            <w:tcMar>
              <w:bottom w:w="0" w:type="dxa"/>
            </w:tcMar>
            <w:vAlign w:val="center"/>
          </w:tcPr>
          <w:p>
            <w:pPr>
              <w:pStyle w:val="TableContents"/>
              <w:spacing w:before="0" w:after="283"/>
              <w:jc w:val="right"/>
              <w:rPr/>
            </w:pPr>
            <w:r>
              <w:rPr/>
              <w:t>2022</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800" w:type="dxa"/>
            <w:tcBorders/>
            <w:shd w:fill="auto" w:val="clear"/>
            <w:tcMar>
              <w:bottom w:w="0" w:type="dxa"/>
            </w:tcMar>
            <w:vAlign w:val="center"/>
          </w:tcPr>
          <w:p>
            <w:pPr>
              <w:pStyle w:val="TableContents"/>
              <w:spacing w:before="0" w:after="283"/>
              <w:jc w:val="right"/>
              <w:rPr/>
            </w:pPr>
            <w:r>
              <w:rPr/>
              <w:t>607,346</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800" w:type="dxa"/>
            <w:tcBorders/>
            <w:shd w:fill="auto" w:val="clear"/>
            <w:tcMar>
              <w:bottom w:w="0" w:type="dxa"/>
            </w:tcM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980" w:type="dxa"/>
            <w:tcBorders/>
            <w:shd w:fill="auto" w:val="clear"/>
            <w:tcMar>
              <w:bottom w:w="0" w:type="dxa"/>
            </w:tcMar>
            <w:vAlign w:val="center"/>
          </w:tcPr>
          <w:p>
            <w:pPr>
              <w:pStyle w:val="TableContents"/>
              <w:spacing w:before="0" w:after="283"/>
              <w:jc w:val="right"/>
              <w:rPr/>
            </w:pPr>
            <w:r>
              <w:rPr/>
              <w:t>2,928,368</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980" w:type="dxa"/>
            <w:tcBorders/>
            <w:shd w:fill="auto" w:val="clear"/>
            <w:tcMar>
              <w:bottom w:w="0" w:type="dxa"/>
            </w:tcMar>
            <w:vAlign w:val="center"/>
          </w:tcPr>
          <w:p>
            <w:pPr>
              <w:pStyle w:val="TableContents"/>
              <w:spacing w:before="0" w:after="283"/>
              <w:jc w:val="right"/>
              <w:rPr/>
            </w:pPr>
            <w:r>
              <w:rPr/>
              <w:t>892,550</w:t>
            </w:r>
          </w:p>
        </w:tc>
        <w:tc>
          <w:tcPr>
            <w:tcW w:w="120" w:type="dxa"/>
            <w:tcBorders/>
            <w:shd w:fill="auto" w:val="clear"/>
            <w:tcMar>
              <w:bottom w:w="0" w:type="dxa"/>
            </w:tcMar>
            <w:vAlign w:val="center"/>
          </w:tcPr>
          <w:p>
            <w:pPr>
              <w:pStyle w:val="TableContents"/>
              <w:spacing w:before="0" w:after="283"/>
              <w:jc w:val="right"/>
              <w:rPr/>
            </w:pPr>
            <w:r>
              <w:rPr/>
              <w:t> </w:t>
            </w:r>
          </w:p>
        </w:tc>
        <w:tc>
          <w:tcPr>
            <w:tcW w:w="638" w:type="dxa"/>
            <w:tcBorders/>
            <w:shd w:fill="auto" w:val="clear"/>
            <w:tcMar>
              <w:bottom w:w="0" w:type="dxa"/>
            </w:tcMar>
            <w:vAlign w:val="center"/>
          </w:tcPr>
          <w:p>
            <w:pPr>
              <w:pStyle w:val="TableContents"/>
              <w:spacing w:before="0" w:after="283"/>
              <w:jc w:val="right"/>
              <w:rPr/>
            </w:pPr>
            <w:r>
              <w:rPr/>
              <w:t> </w:t>
            </w:r>
          </w:p>
        </w:tc>
        <w:tc>
          <w:tcPr>
            <w:tcW w:w="912" w:type="dxa"/>
            <w:tcBorders/>
            <w:shd w:fill="auto" w:val="clear"/>
            <w:tcMar>
              <w:bottom w:w="0" w:type="dxa"/>
            </w:tcM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jc w:val="right"/>
              <w:rPr/>
            </w:pPr>
            <w:r>
              <w:rPr/>
              <w:t> </w:t>
            </w:r>
          </w:p>
        </w:tc>
        <w:tc>
          <w:tcPr>
            <w:tcW w:w="656" w:type="dxa"/>
            <w:tcBorders/>
            <w:shd w:fill="auto" w:val="clear"/>
            <w:tcMar>
              <w:bottom w:w="0" w:type="dxa"/>
            </w:tcMar>
            <w:vAlign w:val="center"/>
          </w:tcPr>
          <w:p>
            <w:pPr>
              <w:pStyle w:val="TableContents"/>
              <w:spacing w:before="0" w:after="283"/>
              <w:jc w:val="right"/>
              <w:rPr/>
            </w:pPr>
            <w:r>
              <w:rPr/>
              <w:t> </w:t>
            </w:r>
          </w:p>
        </w:tc>
        <w:tc>
          <w:tcPr>
            <w:tcW w:w="894" w:type="dxa"/>
            <w:tcBorders/>
            <w:shd w:fill="auto" w:val="clear"/>
            <w:tcMar>
              <w:bottom w:w="0" w:type="dxa"/>
            </w:tcMar>
            <w:vAlign w:val="center"/>
          </w:tcPr>
          <w:p>
            <w:pPr>
              <w:pStyle w:val="TableContents"/>
              <w:spacing w:before="0" w:after="283"/>
              <w:jc w:val="right"/>
              <w:rPr/>
            </w:pPr>
            <w:r>
              <w:rPr/>
              <w:t>8,492</w:t>
            </w:r>
          </w:p>
        </w:tc>
        <w:tc>
          <w:tcPr>
            <w:tcW w:w="12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1115" w:type="dxa"/>
            <w:tcBorders/>
            <w:shd w:fill="auto" w:val="clear"/>
            <w:tcMar>
              <w:bottom w:w="0" w:type="dxa"/>
            </w:tcMar>
            <w:vAlign w:val="center"/>
          </w:tcPr>
          <w:p>
            <w:pPr>
              <w:pStyle w:val="TableContents"/>
              <w:spacing w:before="0" w:after="283"/>
              <w:jc w:val="right"/>
              <w:rPr/>
            </w:pPr>
            <w:r>
              <w:rPr/>
              <w:t>4,436,756</w:t>
            </w:r>
          </w:p>
        </w:tc>
      </w:tr>
      <w:tr>
        <w:trPr/>
        <w:tc>
          <w:tcPr>
            <w:tcW w:w="2975" w:type="dxa"/>
            <w:vMerge w:val="continue"/>
            <w:tcBorders>
              <w:bottom w:val="single" w:sz="12" w:space="0" w:color="7CBC3E"/>
            </w:tcBorders>
            <w:shd w:fill="auto" w:val="clear"/>
            <w:vAlign w:val="center"/>
          </w:tcPr>
          <w:p>
            <w:pPr>
              <w:pStyle w:val="Normal"/>
              <w:rPr/>
            </w:pPr>
            <w:r>
              <w:rPr/>
            </w:r>
          </w:p>
        </w:tc>
        <w:tc>
          <w:tcPr>
            <w:tcW w:w="120" w:type="dxa"/>
            <w:tcBorders/>
            <w:shd w:fill="auto" w:val="clear"/>
            <w:tcMar>
              <w:bottom w:w="0" w:type="dxa"/>
            </w:tcMar>
            <w:vAlign w:val="center"/>
          </w:tcPr>
          <w:p>
            <w:pPr>
              <w:pStyle w:val="TableContents"/>
              <w:spacing w:before="0" w:after="283"/>
              <w:jc w:val="right"/>
              <w:rPr/>
            </w:pPr>
            <w:r>
              <w:rPr/>
              <w:t> </w:t>
            </w:r>
          </w:p>
        </w:tc>
        <w:tc>
          <w:tcPr>
            <w:tcW w:w="530" w:type="dxa"/>
            <w:tcBorders/>
            <w:shd w:fill="EFF6EA" w:val="clear"/>
            <w:tcMar>
              <w:bottom w:w="0" w:type="dxa"/>
            </w:tcMar>
            <w:vAlign w:val="center"/>
          </w:tcPr>
          <w:p>
            <w:pPr>
              <w:pStyle w:val="TableContents"/>
              <w:spacing w:before="0" w:after="283"/>
              <w:jc w:val="right"/>
              <w:rPr/>
            </w:pPr>
            <w:r>
              <w:rPr/>
              <w:t>2021</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800" w:type="dxa"/>
            <w:tcBorders/>
            <w:shd w:fill="EFF6EA" w:val="clear"/>
            <w:tcMar>
              <w:bottom w:w="0" w:type="dxa"/>
            </w:tcMar>
            <w:vAlign w:val="center"/>
          </w:tcPr>
          <w:p>
            <w:pPr>
              <w:pStyle w:val="TableContents"/>
              <w:spacing w:before="0" w:after="283"/>
              <w:jc w:val="right"/>
              <w:rPr/>
            </w:pPr>
            <w:r>
              <w:rPr/>
              <w:t>561,539</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800" w:type="dxa"/>
            <w:tcBorders/>
            <w:shd w:fill="EFF6EA" w:val="clear"/>
            <w:tcMar>
              <w:bottom w:w="0" w:type="dxa"/>
            </w:tcMar>
            <w:vAlign w:val="center"/>
          </w:tcPr>
          <w:p>
            <w:pPr>
              <w:pStyle w:val="TableContents"/>
              <w:spacing w:before="0" w:after="283"/>
              <w:jc w:val="right"/>
              <w:rPr/>
            </w:pPr>
            <w:r>
              <w:rPr/>
              <w:t>—</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980" w:type="dxa"/>
            <w:tcBorders/>
            <w:shd w:fill="EFF6EA" w:val="clear"/>
            <w:tcMar>
              <w:bottom w:w="0" w:type="dxa"/>
            </w:tcMar>
            <w:vAlign w:val="center"/>
          </w:tcPr>
          <w:p>
            <w:pPr>
              <w:pStyle w:val="TableContents"/>
              <w:spacing w:before="0" w:after="283"/>
              <w:jc w:val="right"/>
              <w:rPr/>
            </w:pPr>
            <w:r>
              <w:rPr/>
              <w:t>1,653,212</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980" w:type="dxa"/>
            <w:tcBorders/>
            <w:shd w:fill="EFF6EA" w:val="clear"/>
            <w:tcMar>
              <w:bottom w:w="0" w:type="dxa"/>
            </w:tcMar>
            <w:vAlign w:val="center"/>
          </w:tcPr>
          <w:p>
            <w:pPr>
              <w:pStyle w:val="TableContents"/>
              <w:spacing w:before="0" w:after="283"/>
              <w:jc w:val="right"/>
              <w:rPr/>
            </w:pPr>
            <w:r>
              <w:rPr/>
              <w:t>866,427</w:t>
            </w:r>
          </w:p>
        </w:tc>
        <w:tc>
          <w:tcPr>
            <w:tcW w:w="120" w:type="dxa"/>
            <w:tcBorders/>
            <w:shd w:fill="EFF6EA" w:val="clear"/>
            <w:tcMar>
              <w:bottom w:w="0" w:type="dxa"/>
            </w:tcMar>
            <w:vAlign w:val="center"/>
          </w:tcPr>
          <w:p>
            <w:pPr>
              <w:pStyle w:val="TableContents"/>
              <w:spacing w:before="0" w:after="283"/>
              <w:jc w:val="right"/>
              <w:rPr/>
            </w:pPr>
            <w:r>
              <w:rPr/>
              <w:t> </w:t>
            </w:r>
          </w:p>
        </w:tc>
        <w:tc>
          <w:tcPr>
            <w:tcW w:w="638" w:type="dxa"/>
            <w:tcBorders/>
            <w:shd w:fill="EFF6EA" w:val="clear"/>
            <w:tcMar>
              <w:bottom w:w="0" w:type="dxa"/>
            </w:tcMar>
            <w:vAlign w:val="center"/>
          </w:tcPr>
          <w:p>
            <w:pPr>
              <w:pStyle w:val="TableContents"/>
              <w:spacing w:before="0" w:after="283"/>
              <w:jc w:val="right"/>
              <w:rPr/>
            </w:pPr>
            <w:r>
              <w:rPr/>
              <w:t> </w:t>
            </w:r>
          </w:p>
        </w:tc>
        <w:tc>
          <w:tcPr>
            <w:tcW w:w="912" w:type="dxa"/>
            <w:tcBorders/>
            <w:shd w:fill="EFF6EA" w:val="clear"/>
            <w:tcMar>
              <w:bottom w:w="0" w:type="dxa"/>
            </w:tcMar>
            <w:vAlign w:val="center"/>
          </w:tcPr>
          <w:p>
            <w:pPr>
              <w:pStyle w:val="TableContents"/>
              <w:spacing w:before="0" w:after="283"/>
              <w:jc w:val="right"/>
              <w:rPr/>
            </w:pPr>
            <w:r>
              <w:rPr/>
              <w:t>247,523</w:t>
            </w:r>
          </w:p>
        </w:tc>
        <w:tc>
          <w:tcPr>
            <w:tcW w:w="120" w:type="dxa"/>
            <w:tcBorders/>
            <w:shd w:fill="EFF6EA" w:val="clear"/>
            <w:tcMar>
              <w:bottom w:w="0" w:type="dxa"/>
            </w:tcMar>
            <w:vAlign w:val="center"/>
          </w:tcPr>
          <w:p>
            <w:pPr>
              <w:pStyle w:val="TableContents"/>
              <w:spacing w:before="0" w:after="283"/>
              <w:jc w:val="right"/>
              <w:rPr/>
            </w:pPr>
            <w:r>
              <w:rPr/>
              <w:t> </w:t>
            </w:r>
          </w:p>
        </w:tc>
        <w:tc>
          <w:tcPr>
            <w:tcW w:w="656" w:type="dxa"/>
            <w:tcBorders/>
            <w:shd w:fill="EFF6EA" w:val="clear"/>
            <w:tcMar>
              <w:bottom w:w="0" w:type="dxa"/>
            </w:tcMar>
            <w:vAlign w:val="center"/>
          </w:tcPr>
          <w:p>
            <w:pPr>
              <w:pStyle w:val="TableContents"/>
              <w:spacing w:before="0" w:after="283"/>
              <w:jc w:val="right"/>
              <w:rPr/>
            </w:pPr>
            <w:r>
              <w:rPr/>
              <w:t> </w:t>
            </w:r>
          </w:p>
        </w:tc>
        <w:tc>
          <w:tcPr>
            <w:tcW w:w="894" w:type="dxa"/>
            <w:tcBorders/>
            <w:shd w:fill="EFF6EA" w:val="clear"/>
            <w:tcMar>
              <w:bottom w:w="0" w:type="dxa"/>
            </w:tcMar>
            <w:vAlign w:val="center"/>
          </w:tcPr>
          <w:p>
            <w:pPr>
              <w:pStyle w:val="TableContents"/>
              <w:spacing w:before="0" w:after="283"/>
              <w:jc w:val="right"/>
              <w:rPr/>
            </w:pPr>
            <w:r>
              <w:rPr/>
              <w:t>3,173</w:t>
            </w:r>
          </w:p>
        </w:tc>
        <w:tc>
          <w:tcPr>
            <w:tcW w:w="12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115" w:type="dxa"/>
            <w:tcBorders/>
            <w:shd w:fill="EFF6EA" w:val="clear"/>
            <w:tcMar>
              <w:bottom w:w="0" w:type="dxa"/>
            </w:tcMar>
            <w:vAlign w:val="center"/>
          </w:tcPr>
          <w:p>
            <w:pPr>
              <w:pStyle w:val="TableContents"/>
              <w:spacing w:before="0" w:after="283"/>
              <w:jc w:val="right"/>
              <w:rPr/>
            </w:pPr>
            <w:r>
              <w:rPr/>
              <w:t>3,331,874</w:t>
            </w:r>
          </w:p>
        </w:tc>
      </w:tr>
      <w:tr>
        <w:trPr/>
        <w:tc>
          <w:tcPr>
            <w:tcW w:w="2975" w:type="dxa"/>
            <w:vMerge w:val="continue"/>
            <w:tcBorders>
              <w:bottom w:val="single" w:sz="12" w:space="0" w:color="7CBC3E"/>
            </w:tcBorders>
            <w:shd w:fill="auto" w:val="clear"/>
            <w:vAlign w:val="center"/>
          </w:tcPr>
          <w:p>
            <w:pPr>
              <w:pStyle w:val="Normal"/>
              <w:rPr/>
            </w:pPr>
            <w:r>
              <w:rPr/>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530" w:type="dxa"/>
            <w:tcBorders>
              <w:bottom w:val="single" w:sz="12" w:space="0" w:color="7CBC3E"/>
            </w:tcBorders>
            <w:shd w:fill="auto" w:val="clear"/>
            <w:vAlign w:val="center"/>
          </w:tcPr>
          <w:p>
            <w:pPr>
              <w:pStyle w:val="TableContents"/>
              <w:spacing w:before="0" w:after="283"/>
              <w:jc w:val="right"/>
              <w:rPr/>
            </w:pPr>
            <w:r>
              <w:rPr/>
              <w:t>2020</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140" w:type="dxa"/>
            <w:tcBorders>
              <w:bottom w:val="single" w:sz="12" w:space="0" w:color="7CBC3E"/>
            </w:tcBorders>
            <w:shd w:fill="auto" w:val="clear"/>
            <w:vAlign w:val="center"/>
          </w:tcPr>
          <w:p>
            <w:pPr>
              <w:pStyle w:val="TableContents"/>
              <w:spacing w:before="0" w:after="283"/>
              <w:jc w:val="right"/>
              <w:rPr/>
            </w:pPr>
            <w:r>
              <w:rPr/>
              <w:t> </w:t>
            </w:r>
          </w:p>
        </w:tc>
        <w:tc>
          <w:tcPr>
            <w:tcW w:w="800" w:type="dxa"/>
            <w:tcBorders>
              <w:bottom w:val="single" w:sz="12" w:space="0" w:color="7CBC3E"/>
            </w:tcBorders>
            <w:shd w:fill="auto" w:val="clear"/>
            <w:vAlign w:val="center"/>
          </w:tcPr>
          <w:p>
            <w:pPr>
              <w:pStyle w:val="TableContents"/>
              <w:spacing w:before="0" w:after="283"/>
              <w:jc w:val="right"/>
              <w:rPr/>
            </w:pPr>
            <w:r>
              <w:rPr/>
              <w:t>116,346</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140" w:type="dxa"/>
            <w:tcBorders>
              <w:bottom w:val="single" w:sz="12" w:space="0" w:color="7CBC3E"/>
            </w:tcBorders>
            <w:shd w:fill="auto" w:val="clear"/>
            <w:vAlign w:val="center"/>
          </w:tcPr>
          <w:p>
            <w:pPr>
              <w:pStyle w:val="TableContents"/>
              <w:spacing w:before="0" w:after="283"/>
              <w:jc w:val="right"/>
              <w:rPr/>
            </w:pPr>
            <w:r>
              <w:rPr/>
              <w:t> </w:t>
            </w:r>
          </w:p>
        </w:tc>
        <w:tc>
          <w:tcPr>
            <w:tcW w:w="800" w:type="dxa"/>
            <w:tcBorders>
              <w:bottom w:val="single" w:sz="12" w:space="0" w:color="7CBC3E"/>
            </w:tcBorders>
            <w:shd w:fill="auto" w:val="clear"/>
            <w:vAlign w:val="center"/>
          </w:tcPr>
          <w:p>
            <w:pPr>
              <w:pStyle w:val="TableContents"/>
              <w:spacing w:before="0" w:after="283"/>
              <w:jc w:val="right"/>
              <w:rPr/>
            </w:pPr>
            <w:r>
              <w:rPr/>
              <w:t>100,000</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140" w:type="dxa"/>
            <w:tcBorders>
              <w:bottom w:val="single" w:sz="12" w:space="0" w:color="7CBC3E"/>
            </w:tcBorders>
            <w:shd w:fill="auto" w:val="clear"/>
            <w:vAlign w:val="center"/>
          </w:tcPr>
          <w:p>
            <w:pPr>
              <w:pStyle w:val="TableContents"/>
              <w:spacing w:before="0" w:after="283"/>
              <w:jc w:val="right"/>
              <w:rPr/>
            </w:pPr>
            <w:r>
              <w:rPr/>
              <w:t> </w:t>
            </w:r>
          </w:p>
        </w:tc>
        <w:tc>
          <w:tcPr>
            <w:tcW w:w="980" w:type="dxa"/>
            <w:tcBorders>
              <w:bottom w:val="single" w:sz="12" w:space="0" w:color="7CBC3E"/>
            </w:tcBorders>
            <w:shd w:fill="auto" w:val="clear"/>
            <w:vAlign w:val="center"/>
          </w:tcPr>
          <w:p>
            <w:pPr>
              <w:pStyle w:val="TableContents"/>
              <w:spacing w:before="0" w:after="283"/>
              <w:jc w:val="right"/>
              <w:rPr/>
            </w:pPr>
            <w:r>
              <w:rPr/>
              <w:t>3,820,000</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140" w:type="dxa"/>
            <w:tcBorders>
              <w:bottom w:val="single" w:sz="12" w:space="0" w:color="7CBC3E"/>
            </w:tcBorders>
            <w:shd w:fill="auto" w:val="clear"/>
            <w:vAlign w:val="center"/>
          </w:tcPr>
          <w:p>
            <w:pPr>
              <w:pStyle w:val="TableContents"/>
              <w:spacing w:before="0" w:after="283"/>
              <w:jc w:val="right"/>
              <w:rPr/>
            </w:pPr>
            <w:r>
              <w:rPr/>
              <w:t> </w:t>
            </w:r>
          </w:p>
        </w:tc>
        <w:tc>
          <w:tcPr>
            <w:tcW w:w="980" w:type="dxa"/>
            <w:tcBorders>
              <w:bottom w:val="single" w:sz="12" w:space="0" w:color="7CBC3E"/>
            </w:tcBorders>
            <w:shd w:fill="auto" w:val="clear"/>
            <w:vAlign w:val="center"/>
          </w:tcPr>
          <w:p>
            <w:pPr>
              <w:pStyle w:val="TableContents"/>
              <w:spacing w:before="0" w:after="283"/>
              <w:jc w:val="right"/>
              <w:rPr/>
            </w:pPr>
            <w:r>
              <w:rPr/>
              <w:t>2,084,296</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638" w:type="dxa"/>
            <w:tcBorders>
              <w:bottom w:val="single" w:sz="12" w:space="0" w:color="7CBC3E"/>
            </w:tcBorders>
            <w:shd w:fill="auto" w:val="clear"/>
            <w:vAlign w:val="center"/>
          </w:tcPr>
          <w:p>
            <w:pPr>
              <w:pStyle w:val="TableContents"/>
              <w:spacing w:before="0" w:after="283"/>
              <w:jc w:val="right"/>
              <w:rPr/>
            </w:pPr>
            <w:r>
              <w:rPr/>
              <w:t> </w:t>
            </w:r>
          </w:p>
        </w:tc>
        <w:tc>
          <w:tcPr>
            <w:tcW w:w="912" w:type="dxa"/>
            <w:tcBorders>
              <w:bottom w:val="single" w:sz="12" w:space="0" w:color="7CBC3E"/>
            </w:tcBorders>
            <w:shd w:fill="auto" w:val="clear"/>
            <w:vAlign w:val="center"/>
          </w:tcPr>
          <w:p>
            <w:pPr>
              <w:pStyle w:val="TableContents"/>
              <w:spacing w:before="0" w:after="283"/>
              <w:jc w:val="right"/>
              <w:rPr/>
            </w:pPr>
            <w:r>
              <w:rPr/>
              <w:t>—</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656" w:type="dxa"/>
            <w:tcBorders>
              <w:bottom w:val="single" w:sz="12" w:space="0" w:color="7CBC3E"/>
            </w:tcBorders>
            <w:shd w:fill="auto" w:val="clear"/>
            <w:vAlign w:val="center"/>
          </w:tcPr>
          <w:p>
            <w:pPr>
              <w:pStyle w:val="TableContents"/>
              <w:spacing w:before="0" w:after="283"/>
              <w:jc w:val="right"/>
              <w:rPr/>
            </w:pPr>
            <w:r>
              <w:rPr/>
              <w:t> </w:t>
            </w:r>
          </w:p>
        </w:tc>
        <w:tc>
          <w:tcPr>
            <w:tcW w:w="894" w:type="dxa"/>
            <w:tcBorders>
              <w:bottom w:val="single" w:sz="12" w:space="0" w:color="7CBC3E"/>
            </w:tcBorders>
            <w:shd w:fill="auto" w:val="clear"/>
            <w:vAlign w:val="center"/>
          </w:tcPr>
          <w:p>
            <w:pPr>
              <w:pStyle w:val="TableContents"/>
              <w:spacing w:before="0" w:after="283"/>
              <w:jc w:val="right"/>
              <w:rPr/>
            </w:pPr>
            <w:r>
              <w:rPr/>
              <w:t>—</w:t>
            </w:r>
          </w:p>
        </w:tc>
        <w:tc>
          <w:tcPr>
            <w:tcW w:w="120" w:type="dxa"/>
            <w:tcBorders>
              <w:bottom w:val="single" w:sz="12" w:space="0" w:color="7CBC3E"/>
            </w:tcBorders>
            <w:shd w:fill="auto" w:val="clear"/>
            <w:vAlign w:val="center"/>
          </w:tcPr>
          <w:p>
            <w:pPr>
              <w:pStyle w:val="TableContents"/>
              <w:spacing w:before="0" w:after="283"/>
              <w:jc w:val="right"/>
              <w:rPr/>
            </w:pPr>
            <w:r>
              <w:rPr/>
              <w:t> </w:t>
            </w:r>
          </w:p>
        </w:tc>
        <w:tc>
          <w:tcPr>
            <w:tcW w:w="140" w:type="dxa"/>
            <w:tcBorders>
              <w:bottom w:val="single" w:sz="12" w:space="0" w:color="7CBC3E"/>
            </w:tcBorders>
            <w:shd w:fill="auto" w:val="clear"/>
            <w:vAlign w:val="center"/>
          </w:tcPr>
          <w:p>
            <w:pPr>
              <w:pStyle w:val="TableContents"/>
              <w:spacing w:before="0" w:after="283"/>
              <w:jc w:val="right"/>
              <w:rPr/>
            </w:pPr>
            <w:r>
              <w:rPr/>
              <w:t> </w:t>
            </w:r>
          </w:p>
        </w:tc>
        <w:tc>
          <w:tcPr>
            <w:tcW w:w="1115" w:type="dxa"/>
            <w:tcBorders>
              <w:bottom w:val="single" w:sz="12" w:space="0" w:color="7CBC3E"/>
            </w:tcBorders>
            <w:shd w:fill="auto" w:val="clear"/>
            <w:vAlign w:val="center"/>
          </w:tcPr>
          <w:p>
            <w:pPr>
              <w:pStyle w:val="TableContents"/>
              <w:spacing w:before="0" w:after="283"/>
              <w:jc w:val="right"/>
              <w:rPr/>
            </w:pPr>
            <w:r>
              <w:rPr/>
              <w:t>6,120,642</w:t>
            </w:r>
          </w:p>
        </w:tc>
      </w:tr>
    </w:tbl>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283"/>
              <w:rPr/>
            </w:pPr>
            <w:r>
              <w:rPr/>
              <w:t>(1)</w:t>
            </w:r>
          </w:p>
        </w:tc>
        <w:tc>
          <w:tcPr>
            <w:tcW w:w="9969" w:type="dxa"/>
            <w:tcBorders/>
            <w:shd w:fill="auto" w:val="clear"/>
            <w:vAlign w:val="center"/>
          </w:tcPr>
          <w:p>
            <w:pPr>
              <w:pStyle w:val="TableContents"/>
              <w:spacing w:before="0" w:after="283"/>
              <w:jc w:val="both"/>
              <w:rPr/>
            </w:pPr>
            <w:r>
              <w:rPr/>
              <w:t>The amount reported in this column represents a sign-on bonus.</w:t>
            </w:r>
          </w:p>
        </w:tc>
      </w:tr>
      <w:tr>
        <w:trPr/>
        <w:tc>
          <w:tcPr>
            <w:tcW w:w="236" w:type="dxa"/>
            <w:tcBorders/>
            <w:shd w:fill="auto" w:val="clear"/>
            <w:vAlign w:val="center"/>
          </w:tcPr>
          <w:p>
            <w:pPr>
              <w:pStyle w:val="TableContents"/>
              <w:spacing w:before="0" w:after="283"/>
              <w:rPr/>
            </w:pPr>
            <w:r>
              <w:rPr/>
              <w:t>(2)</w:t>
            </w:r>
          </w:p>
        </w:tc>
        <w:tc>
          <w:tcPr>
            <w:tcW w:w="9969" w:type="dxa"/>
            <w:tcBorders/>
            <w:shd w:fill="auto" w:val="clear"/>
            <w:vAlign w:val="center"/>
          </w:tcPr>
          <w:p>
            <w:pPr>
              <w:pStyle w:val="TableContents"/>
              <w:spacing w:before="0" w:after="283"/>
              <w:jc w:val="both"/>
              <w:rPr/>
            </w:pPr>
            <w:r>
              <w:rPr/>
              <w:t>The amounts reported in this column for a fiscal year represent the grant date fair value of the RSUs and PSUs granted to our named executive officers during the fiscal year, as computed in accordance with ASC Topic 718, not including any estimates of forfeitures, and, with respect to the PSUs, assuming the most probable outcome of the performance conditions as of the grant date. The assumptions used in calculating the grant date fair value of the RSUs and PSUs reported in this column are set forth in the notes to our financial statements included in our Annual Report. The amounts reported in this column reflect the accounting cost for these RSUs and PSUs and do not correspond to the actual economic value that may be realized by the named executive officers from the RSUs and the PSUs. The value of the PSUs reported in this column for 2022, assuming achievement of the maximum performance level, was as follows: $7,012,004 for Dr. Kakkis and $1,886,360 for each of Ms. Dier, Dr. Bedrosian, Mr. Harris and Ms. Pinion.</w:t>
            </w:r>
          </w:p>
        </w:tc>
      </w:tr>
      <w:tr>
        <w:trPr/>
        <w:tc>
          <w:tcPr>
            <w:tcW w:w="236" w:type="dxa"/>
            <w:tcBorders/>
            <w:shd w:fill="auto" w:val="clear"/>
            <w:vAlign w:val="center"/>
          </w:tcPr>
          <w:p>
            <w:pPr>
              <w:pStyle w:val="TableContents"/>
              <w:spacing w:before="0" w:after="283"/>
              <w:rPr/>
            </w:pPr>
            <w:r>
              <w:rPr/>
              <w:t>(3)</w:t>
            </w:r>
          </w:p>
        </w:tc>
        <w:tc>
          <w:tcPr>
            <w:tcW w:w="9969" w:type="dxa"/>
            <w:tcBorders/>
            <w:shd w:fill="auto" w:val="clear"/>
            <w:vAlign w:val="center"/>
          </w:tcPr>
          <w:p>
            <w:pPr>
              <w:pStyle w:val="TableContents"/>
              <w:spacing w:before="0" w:after="283"/>
              <w:jc w:val="both"/>
              <w:rPr/>
            </w:pPr>
            <w:r>
              <w:rPr/>
              <w:t>The amounts reported in this column for a fiscal year represent the grant date fair value of the stock options granted to our named executive officers during the fiscal year, as computed in accordance with ASC Topic 718, not including any estimates of forfeitures. The assumptions used in calculating the grant date fair value of the stock options reported in this column are set forth in the notes to our financial statements included in our Annual Report. The amounts reported in this column reflect the accounting cost for these stock options, and do not correspond to the actual economic value that may be received by the named executive officers from the options.</w:t>
            </w:r>
          </w:p>
        </w:tc>
      </w:tr>
      <w:tr>
        <w:trPr/>
        <w:tc>
          <w:tcPr>
            <w:tcW w:w="236" w:type="dxa"/>
            <w:tcBorders/>
            <w:shd w:fill="auto" w:val="clear"/>
            <w:vAlign w:val="center"/>
          </w:tcPr>
          <w:p>
            <w:pPr>
              <w:pStyle w:val="TableContents"/>
              <w:spacing w:before="0" w:after="283"/>
              <w:rPr/>
            </w:pPr>
            <w:r>
              <w:rPr/>
              <w:t>(4)</w:t>
            </w:r>
          </w:p>
        </w:tc>
        <w:tc>
          <w:tcPr>
            <w:tcW w:w="9969" w:type="dxa"/>
            <w:tcBorders/>
            <w:shd w:fill="auto" w:val="clear"/>
            <w:vAlign w:val="center"/>
          </w:tcPr>
          <w:p>
            <w:pPr>
              <w:pStyle w:val="TableContents"/>
              <w:spacing w:before="0" w:after="283"/>
              <w:jc w:val="both"/>
              <w:rPr/>
            </w:pPr>
            <w:r>
              <w:rPr/>
              <w:t>Amounts for a fiscal year represent annual cash bonuses earned in that fiscal year and paid in the subsequent fiscal year based on achievement of performance goals and other factors deemed relevant by our Compensation Committee under our annual incentive program.</w:t>
            </w:r>
          </w:p>
        </w:tc>
      </w:tr>
      <w:tr>
        <w:trPr/>
        <w:tc>
          <w:tcPr>
            <w:tcW w:w="236" w:type="dxa"/>
            <w:tcBorders/>
            <w:shd w:fill="auto" w:val="clear"/>
            <w:vAlign w:val="center"/>
          </w:tcPr>
          <w:p>
            <w:pPr>
              <w:pStyle w:val="TableContents"/>
              <w:spacing w:before="0" w:after="283"/>
              <w:rPr/>
            </w:pPr>
            <w:r>
              <w:rPr/>
              <w:t>(5)</w:t>
            </w:r>
          </w:p>
        </w:tc>
        <w:tc>
          <w:tcPr>
            <w:tcW w:w="9969" w:type="dxa"/>
            <w:tcBorders/>
            <w:shd w:fill="auto" w:val="clear"/>
            <w:vAlign w:val="center"/>
          </w:tcPr>
          <w:p>
            <w:pPr>
              <w:pStyle w:val="TableContents"/>
              <w:spacing w:before="0" w:after="283"/>
              <w:jc w:val="both"/>
              <w:rPr/>
            </w:pPr>
            <w:r>
              <w:rPr/>
              <w:t>Amounts reported in this column for the 2022 fiscal year reflects 401(k) matching contributions.</w:t>
            </w:r>
          </w:p>
        </w:tc>
      </w:tr>
    </w:tbl>
    <w:p>
      <w:pPr>
        <w:pStyle w:val="TextBody"/>
        <w:jc w:val="both"/>
        <w:rPr>
          <w:caps w:val="false"/>
          <w:smallCaps w:val="false"/>
        </w:rPr>
      </w:pPr>
      <w:r>
        <w:rPr>
          <w:caps w:val="false"/>
          <w:smallCaps w:val="false"/>
        </w:rPr>
        <w:t> </w:t>
      </w:r>
    </w:p>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Narrative Disclosure to Summary Compensation Table</w:t>
      </w:r>
    </w:p>
    <w:p>
      <w:pPr>
        <w:pStyle w:val="TextBody"/>
        <w:jc w:val="both"/>
        <w:rPr>
          <w:caps w:val="false"/>
          <w:smallCaps w:val="false"/>
        </w:rPr>
      </w:pPr>
      <w:r>
        <w:rPr>
          <w:caps w:val="false"/>
          <w:smallCaps w:val="false"/>
        </w:rPr>
        <w:t> </w:t>
      </w:r>
    </w:p>
    <w:p>
      <w:pPr>
        <w:pStyle w:val="Heading5"/>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Employment Arrangements with Our Named Executive Officers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Dr. Kakkis, our Chief Executive Officer, is party to an employment agreement with us that provides for base salary, an annual bonus opportunity and participation in our employee benefit plans, subject to the terms of those plans. Pursuant to the terms of the employment agreement, the employment of Dr. Kakkis is at will; we may terminate his employment at any time, without advance notice, for any reason or for no reason at all, and Dr. Kakkis may terminate his employment at any time, upon four weeks’ prior written notice, for any reason or for no reason at all.</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of our other named executive officers is party to an offer letter with us that provides for base salary, an annual bonus opportunity, and an initial grant of equity. They are eligible to participate in our employee benefit plans, subject to the terms of those plans. Pursuant to the terms of the offer letters, their employment is at will and may be terminated either by us or by them, with or without advance notice, for any reason or for no reason at all.</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of these employment arrangements and offer letters also contain provisions that provide for certain payments and benefits in the event of an involuntary termination of employment. In addition, the named executive officers may be entitled to accelerated vesting of their outstanding and unvested awards in certain circumstances. In September 2022, each of the employment agreements and offer letters were amended in an effort to align severance benefits among our executive team. The information below describes certain compensation that may become due and payable as a result of certain events as reflected in the amended arrangements.</w:t>
      </w:r>
    </w:p>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58</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5"/>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Involuntary Termination of Employment</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Pursuant to their employment arrangements or offer letters, each named executive officer is eligible to receive certain payments and benefits in the event of certain qualifying terminations, including termination of his or her employment by us without “cause” (as defined below) or resignation of his or her employment with “good reason” or because of a “constructive termination” (each, as defined below). Certain benefits are enhanced in the event the qualifying termination occurs within a specified period of time (12 months for Dr. Kakkis, 24 months for Dr. Bedrosian, and 18 months for Mr. Harris and Mr. Pinion) after the consummation of a “covered transaction” (as defined below), which we refer to as the covered transaction protection period. Upon the timely execution of a general release of claims, each named executive officer is eligible to receive the following payments and benefits: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if Dr. Kakkis is terminated by us other than for cause (and not as a result of death or disability) or he resigns for good reason, he will be entitled to receive (i) the sum of 24 months of his base salary and his target bonus for the year in which the termination occurs (or, if such termination occurs within the covered transaction protection period, the sum of 24 months of his base salary and 2x his target bonus), (ii) reimbursement for monthly COBRA premiums for the 24-month period following his termination, (iii) if such termination occurs within the covered transaction protection period, accelerated vesting of any unvested equity-based compensation;</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if Dr. Bedrosian, Mr. Harris or Mr. Pinion is terminated by us without cause (and not as a result of death or disability) or upon a resignation due to a constructive termination, the executive will be entitled to the following severance benefits: (i) extension of the exercise period applicable to any options to purchase our stock held by the executive at the time of termination until 12 months from the date of such termination (or, if earlier, until the expiration of the term of the option set forth in the applicable option award agreement), (ii) the sum of 12 months of the executive’s base salary and the executive’s target bonus for the year in which the termination occurs (or, if such termination occurs within the covered transaction period, the sum of 18 months of the executive’s base salary and 1.5x the executive’s target bonus), (iii) reimbursement for monthly COBRA premiums for the 12-month period following the executive’s termination (or, if such termination occurs within the covered transaction protection period, for the 18-month period following the executive’s termination), (iv) for Dr. Bedrosian only, acceleration of any unvested equity-based compensation that would have vested in the 12-month period following such termination, (v) if such termination occurs within the covered transaction period, accelerated vesting of any unvested equity-based compensation, and (vi) if such termination occurs within the covered transaction period, extension of the exercise period applicable to any outstanding options held by the executive until 12 months from the date of such termination (or, if earlier, until the expiration of the term of the option set forth in the applicable option award agreement). </w:t>
            </w:r>
          </w:p>
        </w:tc>
      </w:tr>
    </w:tbl>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59</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5"/>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Definitions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purposes of Dr. Kakkis’ employment agreement, “cause” means his: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commission of a felony or any crime involving dishonesty, breach of trust, or physical harm to any person;</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willful engagement in conduct that is in bad faith and materially injurious to us, including but not limited to misappropriation of trade secrets, fraud, or embezzlement;</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material breach of his employment agreement that is not cured within 10 days after written notice to him from us; or</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willful refusal to implement or follow a lawful policy or directive of ours, which breach is not cured within 10 days after written notice to him from us.</w:t>
            </w:r>
          </w:p>
        </w:tc>
      </w:tr>
    </w:tbl>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purposes of each of the offer letters with Mr. Harris and Mr. Pinion, “cause” means the named executive officer’s: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gross negligence in carrying out, or material failure to carry out, his or her duties for us (including, without limitation, failure to cooperate in any Company investigation), after notice from the Board and a reasonable opportunity to cure (if deemed curable);</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breach of his or her fiduciary duties to us, after notice from the Board and a reasonable opportunity to cure (if deemed curable);</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conviction of, or plea of guilty or no contest to, any felony;</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act of fraud or embezzlement with respect to his or her obligations to us or otherwise relating to our business;</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material violation of any of our policies;</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material breach of any agreement entered into with us; or</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unauthorized use or disclosure of confidential information or trade secrets of ours or of our affiliates.</w:t>
            </w:r>
          </w:p>
        </w:tc>
      </w:tr>
    </w:tbl>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purposes of the offer letter with Dr. Bedrosian, “cause” means her:</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commission of a felony or any crime involving dishonesty, breach of trust, or physical harm to any person;</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willful engagement in conduct that is in bad faith and materially injurious to us, including but not limited to misappropriation of trade secrets, fraud, or embezzlement;</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material breach of any agreement with us that is not cured within 10 days of written notice by us to her; or</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willful refusal to implement or follow a lawful policy or directive of ours, which breach is not cured within 10 days after written notice by us to her.</w:t>
            </w:r>
          </w:p>
        </w:tc>
      </w:tr>
    </w:tbl>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purposes of Dr. Kakkis’ employment agreement, “good reason” means any of the following events without his consent, subject to standard notice and cure requirements: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a change in his position with us that materially reduces his level of responsibility;</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a material reduction in his base salary, except for reductions that are comparable to reductions generally applicable to similarly situated executives of ours; or</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a relocation of his principal place of employment by more than 50 miles.</w:t>
            </w:r>
          </w:p>
        </w:tc>
      </w:tr>
    </w:tbl>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purposes of each of the offer letters with Mr. Harris and Mr. Pinion, “constructive termination” means the occurrence of any of the following events without the named executive officer’s consent, subject to standard notice and cure requirements: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a material reduction or change in the executive’s job duties, responsibilities and requirements from the executive’s job duties, responsibilities and requirements immediately prior to such reduction or change, taking into account the differences in job title and duties that are normally occasioned by reason of an acquisition of one company by another;</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a material reduction of the executive’s base salary (other than an equal, across-the-board reduction in the compensation of all similarly-situated employees of ours or the surviving entity that is approved by the Board); or</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a requirement that the executive relocate to a principal office that increases his or her one-way commute by more than 50 miles relative to the executive’s immediately preceding principal office.</w:t>
            </w:r>
          </w:p>
        </w:tc>
      </w:tr>
    </w:tbl>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purposes of the offer letter with Dr. Bedrosian, “constructive termination” means the occurrence of any of the following events without her consent, subject to standard notice and cure requirements: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a material reduction or change in her job duties, responsibilities, authority or requirements from her job duties, responsibilities, authority or requirements immediately prior to such reduction or change;</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a material reduction of her base salary (other than an equal, across-the-board reduction in the compensation of all similarly-situated employees of ours or the surviving entity that is approved by the Board);</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a requirement that she relocate to a principal office that increases her one-way commute by more than 50 miles relative to her immediately preceding principal office; or</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pPr>
            <w:r>
              <w:rPr/>
              <w:t>a material breach of her offer letter agreement or any other agreement between her and us.</w:t>
            </w:r>
          </w:p>
        </w:tc>
      </w:tr>
    </w:tbl>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60</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5"/>
        <w:jc w:val="both"/>
        <w:rPr>
          <w:rFonts w:ascii="Arial;Helvetica;Sans-Serif" w:hAnsi="Arial;Helvetica;Sans-Serif"/>
          <w:b/>
          <w:i w:val="false"/>
          <w:caps w:val="false"/>
          <w:smallCaps w:val="false"/>
          <w:sz w:val="20"/>
        </w:rPr>
      </w:pPr>
      <w:bookmarkStart w:id="103" w:name="lrarea096"/>
      <w:bookmarkStart w:id="104" w:name="lrareb006"/>
      <w:bookmarkEnd w:id="103"/>
      <w:bookmarkEnd w:id="104"/>
      <w:r>
        <w:rPr>
          <w:rFonts w:ascii="Arial;Helvetica;Sans-Serif" w:hAnsi="Arial;Helvetica;Sans-Serif"/>
          <w:b/>
          <w:i w:val="false"/>
          <w:caps w:val="false"/>
          <w:smallCaps w:val="false"/>
          <w:sz w:val="20"/>
        </w:rPr>
        <w:t>Grants of Plan-Based Awards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certain information regarding grants of plan-based awards to the named executive officers during fiscal 2022.</w:t>
      </w:r>
    </w:p>
    <w:p>
      <w:pPr>
        <w:pStyle w:val="TextBody"/>
        <w:jc w:val="both"/>
        <w:rPr>
          <w:caps w:val="false"/>
          <w:smallCaps w:val="false"/>
        </w:rPr>
      </w:pPr>
      <w:r>
        <w:rPr>
          <w:caps w:val="false"/>
          <w:smallCaps w:val="false"/>
        </w:rPr>
        <w:t> </w:t>
      </w:r>
    </w:p>
    <w:tbl>
      <w:tblPr>
        <w:tblW w:w="14040" w:type="dxa"/>
        <w:jc w:val="left"/>
        <w:tblInd w:w="0" w:type="dxa"/>
        <w:tblCellMar>
          <w:top w:w="0" w:type="dxa"/>
          <w:left w:w="0" w:type="dxa"/>
          <w:bottom w:w="0" w:type="dxa"/>
          <w:right w:w="0" w:type="dxa"/>
        </w:tblCellMar>
      </w:tblPr>
      <w:tblGrid>
        <w:gridCol w:w="1805"/>
        <w:gridCol w:w="120"/>
        <w:gridCol w:w="1175"/>
        <w:gridCol w:w="120"/>
        <w:gridCol w:w="1070"/>
        <w:gridCol w:w="120"/>
        <w:gridCol w:w="800"/>
        <w:gridCol w:w="120"/>
        <w:gridCol w:w="1070"/>
        <w:gridCol w:w="120"/>
        <w:gridCol w:w="1070"/>
        <w:gridCol w:w="120"/>
        <w:gridCol w:w="710"/>
        <w:gridCol w:w="120"/>
        <w:gridCol w:w="1070"/>
        <w:gridCol w:w="120"/>
        <w:gridCol w:w="905"/>
        <w:gridCol w:w="120"/>
        <w:gridCol w:w="1175"/>
        <w:gridCol w:w="120"/>
        <w:gridCol w:w="875"/>
        <w:gridCol w:w="120"/>
        <w:gridCol w:w="995"/>
      </w:tblGrid>
      <w:tr>
        <w:trPr/>
        <w:tc>
          <w:tcPr>
            <w:tcW w:w="1805" w:type="dxa"/>
            <w:tcBorders/>
            <w:shd w:fill="auto" w:val="clear"/>
            <w:vAlign w:val="center"/>
          </w:tcPr>
          <w:p>
            <w:pPr>
              <w:pStyle w:val="TableContents"/>
              <w:spacing w:before="0" w:after="283"/>
              <w:jc w:val="left"/>
              <w:rPr/>
            </w:pPr>
            <w:r>
              <w:rPr/>
              <w:t> </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jc w:val="right"/>
              <w:rPr/>
            </w:pPr>
            <w:r>
              <w:rPr/>
              <w:t>  </w:t>
            </w:r>
          </w:p>
        </w:tc>
        <w:tc>
          <w:tcPr>
            <w:tcW w:w="3180" w:type="dxa"/>
            <w:gridSpan w:val="5"/>
            <w:tcBorders>
              <w:bottom w:val="single" w:sz="12" w:space="0" w:color="7CBC3E"/>
            </w:tcBorders>
            <w:shd w:fill="auto" w:val="clear"/>
            <w:tcMar>
              <w:bottom w:w="28" w:type="dxa"/>
            </w:tcMar>
            <w:vAlign w:val="center"/>
          </w:tcPr>
          <w:p>
            <w:pPr>
              <w:pStyle w:val="TableContents"/>
              <w:spacing w:before="0" w:after="283"/>
              <w:jc w:val="center"/>
              <w:rPr>
                <w:b/>
              </w:rPr>
            </w:pPr>
            <w:r>
              <w:rPr>
                <w:b/>
              </w:rPr>
              <w:t>Estimated Future Payouts Under</w:t>
              <w:br/>
              <w:t>Non-Equity Incentive Plan Awards</w:t>
            </w:r>
            <w:r>
              <w:rPr>
                <w:b/>
                <w:position w:val="8"/>
                <w:sz w:val="19"/>
              </w:rPr>
              <w:t>(1)</w:t>
            </w:r>
          </w:p>
        </w:tc>
        <w:tc>
          <w:tcPr>
            <w:tcW w:w="120" w:type="dxa"/>
            <w:tcBorders/>
            <w:shd w:fill="auto" w:val="clear"/>
            <w:vAlign w:val="center"/>
          </w:tcPr>
          <w:p>
            <w:pPr>
              <w:pStyle w:val="TableContents"/>
              <w:spacing w:before="0" w:after="283"/>
              <w:jc w:val="right"/>
              <w:rPr/>
            </w:pPr>
            <w:r>
              <w:rPr/>
              <w:t>  </w:t>
            </w:r>
          </w:p>
        </w:tc>
        <w:tc>
          <w:tcPr>
            <w:tcW w:w="3090" w:type="dxa"/>
            <w:gridSpan w:val="5"/>
            <w:tcBorders>
              <w:bottom w:val="single" w:sz="12" w:space="0" w:color="7CBC3E"/>
            </w:tcBorders>
            <w:shd w:fill="auto" w:val="clear"/>
            <w:tcMar>
              <w:bottom w:w="28" w:type="dxa"/>
            </w:tcMar>
            <w:vAlign w:val="center"/>
          </w:tcPr>
          <w:p>
            <w:pPr>
              <w:pStyle w:val="TableContents"/>
              <w:spacing w:before="0" w:after="283"/>
              <w:jc w:val="center"/>
              <w:rPr>
                <w:b/>
              </w:rPr>
            </w:pPr>
            <w:r>
              <w:rPr>
                <w:b/>
              </w:rPr>
              <w:t>Estimated Future Payouts Under</w:t>
              <w:br/>
              <w:t>Equity Incentive Plan Awards</w:t>
            </w:r>
            <w:r>
              <w:rPr>
                <w:b/>
                <w:position w:val="8"/>
                <w:sz w:val="19"/>
              </w:rPr>
              <w:t>(2)</w:t>
            </w:r>
          </w:p>
        </w:tc>
        <w:tc>
          <w:tcPr>
            <w:tcW w:w="120" w:type="dxa"/>
            <w:tcBorders/>
            <w:shd w:fill="auto" w:val="clear"/>
            <w:vAlign w:val="center"/>
          </w:tcPr>
          <w:p>
            <w:pPr>
              <w:pStyle w:val="TableContents"/>
              <w:spacing w:before="0" w:after="283"/>
              <w:jc w:val="right"/>
              <w:rPr/>
            </w:pPr>
            <w:r>
              <w:rPr/>
              <w:t>  </w:t>
            </w:r>
          </w:p>
        </w:tc>
        <w:tc>
          <w:tcPr>
            <w:tcW w:w="905" w:type="dxa"/>
            <w:vMerge w:val="restart"/>
            <w:tcBorders>
              <w:bottom w:val="single" w:sz="12" w:space="0" w:color="7CBC3E"/>
            </w:tcBorders>
            <w:shd w:fill="auto" w:val="clear"/>
            <w:tcMar>
              <w:bottom w:w="28" w:type="dxa"/>
            </w:tcMar>
            <w:vAlign w:val="center"/>
          </w:tcPr>
          <w:p>
            <w:pPr>
              <w:pStyle w:val="TableContents"/>
              <w:spacing w:before="0" w:after="283"/>
              <w:jc w:val="right"/>
              <w:rPr>
                <w:b/>
              </w:rPr>
            </w:pPr>
            <w:r>
              <w:rPr>
                <w:b/>
              </w:rPr>
              <w:t>Stock</w:t>
              <w:br/>
              <w:t>Awards:</w:t>
              <w:br/>
              <w:t>Number</w:t>
              <w:br/>
              <w:t>of Shares</w:t>
              <w:br/>
              <w:t>of Stock</w:t>
              <w:br/>
              <w:t>or Units</w:t>
              <w:br/>
              <w:t>Granted</w:t>
              <w:br/>
              <w:t>(#)</w:t>
            </w:r>
            <w:r>
              <w:rPr>
                <w:b/>
                <w:position w:val="8"/>
                <w:sz w:val="19"/>
              </w:rPr>
              <w:t>(3)</w:t>
            </w:r>
          </w:p>
        </w:tc>
        <w:tc>
          <w:tcPr>
            <w:tcW w:w="120" w:type="dxa"/>
            <w:tcBorders/>
            <w:shd w:fill="auto" w:val="clear"/>
            <w:vAlign w:val="center"/>
          </w:tcPr>
          <w:p>
            <w:pPr>
              <w:pStyle w:val="TableContents"/>
              <w:spacing w:before="0" w:after="283"/>
              <w:jc w:val="right"/>
              <w:rPr/>
            </w:pPr>
            <w:r>
              <w:rPr/>
              <w:t>  </w:t>
            </w:r>
          </w:p>
        </w:tc>
        <w:tc>
          <w:tcPr>
            <w:tcW w:w="1175" w:type="dxa"/>
            <w:vMerge w:val="restart"/>
            <w:tcBorders>
              <w:bottom w:val="single" w:sz="12" w:space="0" w:color="7CBC3E"/>
            </w:tcBorders>
            <w:shd w:fill="auto" w:val="clear"/>
            <w:tcMar>
              <w:bottom w:w="28" w:type="dxa"/>
            </w:tcMar>
            <w:vAlign w:val="center"/>
          </w:tcPr>
          <w:p>
            <w:pPr>
              <w:pStyle w:val="TableContents"/>
              <w:spacing w:before="0" w:after="283"/>
              <w:jc w:val="right"/>
              <w:rPr>
                <w:b/>
              </w:rPr>
            </w:pPr>
            <w:r>
              <w:rPr>
                <w:b/>
              </w:rPr>
              <w:t>Option</w:t>
              <w:br/>
              <w:t>Awards:</w:t>
              <w:br/>
              <w:t>Number of</w:t>
              <w:br/>
              <w:t>Securities</w:t>
              <w:br/>
              <w:t>Underlying</w:t>
              <w:br/>
              <w:t>Options</w:t>
              <w:br/>
              <w:t>Granted</w:t>
              <w:br/>
              <w:t>(#)</w:t>
            </w:r>
          </w:p>
        </w:tc>
        <w:tc>
          <w:tcPr>
            <w:tcW w:w="120" w:type="dxa"/>
            <w:tcBorders/>
            <w:shd w:fill="auto" w:val="clear"/>
            <w:vAlign w:val="center"/>
          </w:tcPr>
          <w:p>
            <w:pPr>
              <w:pStyle w:val="TableContents"/>
              <w:spacing w:before="0" w:after="283"/>
              <w:jc w:val="right"/>
              <w:rPr/>
            </w:pPr>
            <w:r>
              <w:rPr/>
              <w:t>  </w:t>
            </w:r>
          </w:p>
        </w:tc>
        <w:tc>
          <w:tcPr>
            <w:tcW w:w="875" w:type="dxa"/>
            <w:vMerge w:val="restart"/>
            <w:tcBorders>
              <w:bottom w:val="single" w:sz="12" w:space="0" w:color="7CBC3E"/>
            </w:tcBorders>
            <w:shd w:fill="auto" w:val="clear"/>
            <w:tcMar>
              <w:bottom w:w="28" w:type="dxa"/>
            </w:tcMar>
            <w:vAlign w:val="center"/>
          </w:tcPr>
          <w:p>
            <w:pPr>
              <w:pStyle w:val="TableContents"/>
              <w:spacing w:before="0" w:after="283"/>
              <w:jc w:val="right"/>
              <w:rPr>
                <w:b/>
              </w:rPr>
            </w:pPr>
            <w:r>
              <w:rPr>
                <w:b/>
              </w:rPr>
              <w:t>Exercise</w:t>
              <w:br/>
              <w:t>Price of</w:t>
              <w:br/>
              <w:t>Option</w:t>
              <w:br/>
              <w:t>Awards</w:t>
              <w:br/>
              <w:t>($/Share)</w:t>
            </w:r>
          </w:p>
        </w:tc>
        <w:tc>
          <w:tcPr>
            <w:tcW w:w="120" w:type="dxa"/>
            <w:tcBorders/>
            <w:shd w:fill="auto" w:val="clear"/>
            <w:vAlign w:val="center"/>
          </w:tcPr>
          <w:p>
            <w:pPr>
              <w:pStyle w:val="TableContents"/>
              <w:spacing w:before="0" w:after="283"/>
              <w:jc w:val="right"/>
              <w:rPr/>
            </w:pPr>
            <w:r>
              <w:rPr/>
              <w:t>  </w:t>
            </w:r>
          </w:p>
        </w:tc>
        <w:tc>
          <w:tcPr>
            <w:tcW w:w="995" w:type="dxa"/>
            <w:vMerge w:val="restart"/>
            <w:tcBorders>
              <w:bottom w:val="single" w:sz="12" w:space="0" w:color="7CBC3E"/>
            </w:tcBorders>
            <w:shd w:fill="auto" w:val="clear"/>
            <w:tcMar>
              <w:bottom w:w="28" w:type="dxa"/>
            </w:tcMar>
            <w:vAlign w:val="center"/>
          </w:tcPr>
          <w:p>
            <w:pPr>
              <w:pStyle w:val="TableContents"/>
              <w:spacing w:before="0" w:after="283"/>
              <w:jc w:val="right"/>
              <w:rPr>
                <w:b/>
              </w:rPr>
            </w:pPr>
            <w:r>
              <w:rPr>
                <w:b/>
              </w:rPr>
              <w:t>Grant Date</w:t>
              <w:br/>
              <w:t>Fair Value</w:t>
              <w:br/>
              <w:t>of Stock</w:t>
              <w:br/>
              <w:t>and Option</w:t>
              <w:br/>
              <w:t>Awards</w:t>
              <w:br/>
              <w:t>($)</w:t>
            </w:r>
            <w:r>
              <w:rPr>
                <w:b/>
                <w:position w:val="8"/>
                <w:sz w:val="19"/>
              </w:rPr>
              <w:t>(4)</w:t>
            </w:r>
          </w:p>
        </w:tc>
      </w:tr>
      <w:tr>
        <w:trPr/>
        <w:tc>
          <w:tcPr>
            <w:tcW w:w="1805" w:type="dxa"/>
            <w:tcBorders>
              <w:bottom w:val="single" w:sz="12" w:space="0" w:color="7CBC3E"/>
            </w:tcBorders>
            <w:shd w:fill="auto" w:val="clear"/>
            <w:tcMar>
              <w:bottom w:w="28" w:type="dxa"/>
            </w:tcMar>
            <w:vAlign w:val="center"/>
          </w:tcPr>
          <w:p>
            <w:pPr>
              <w:pStyle w:val="TableContents"/>
              <w:spacing w:before="0" w:after="283"/>
              <w:jc w:val="left"/>
              <w:rPr>
                <w:b/>
              </w:rPr>
            </w:pPr>
            <w:r>
              <w:rPr>
                <w:b/>
              </w:rPr>
              <w:t>Name</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175" w:type="dxa"/>
            <w:tcBorders>
              <w:bottom w:val="single" w:sz="12" w:space="0" w:color="7CBC3E"/>
            </w:tcBorders>
            <w:shd w:fill="auto" w:val="clear"/>
            <w:tcMar>
              <w:bottom w:w="28" w:type="dxa"/>
            </w:tcMar>
            <w:vAlign w:val="center"/>
          </w:tcPr>
          <w:p>
            <w:pPr>
              <w:pStyle w:val="TableContents"/>
              <w:spacing w:before="0" w:after="283"/>
              <w:jc w:val="right"/>
              <w:rPr>
                <w:b/>
              </w:rPr>
            </w:pPr>
            <w:r>
              <w:rPr>
                <w:b/>
              </w:rPr>
              <w:t>Grant Date</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070" w:type="dxa"/>
            <w:tcBorders>
              <w:bottom w:val="single" w:sz="12" w:space="0" w:color="7CBC3E"/>
            </w:tcBorders>
            <w:shd w:fill="auto" w:val="clear"/>
            <w:tcMar>
              <w:bottom w:w="28" w:type="dxa"/>
            </w:tcMar>
            <w:vAlign w:val="center"/>
          </w:tcPr>
          <w:p>
            <w:pPr>
              <w:pStyle w:val="TableContents"/>
              <w:spacing w:before="0" w:after="283"/>
              <w:jc w:val="right"/>
              <w:rPr>
                <w:b/>
              </w:rPr>
            </w:pPr>
            <w:r>
              <w:rPr>
                <w:b/>
              </w:rPr>
              <w:t>Threshold</w:t>
              <w:b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800" w:type="dxa"/>
            <w:tcBorders>
              <w:bottom w:val="single" w:sz="12" w:space="0" w:color="7CBC3E"/>
            </w:tcBorders>
            <w:shd w:fill="auto" w:val="clear"/>
            <w:tcMar>
              <w:bottom w:w="28" w:type="dxa"/>
            </w:tcMar>
            <w:vAlign w:val="center"/>
          </w:tcPr>
          <w:p>
            <w:pPr>
              <w:pStyle w:val="TableContents"/>
              <w:spacing w:before="0" w:after="283"/>
              <w:jc w:val="right"/>
              <w:rPr>
                <w:b/>
              </w:rPr>
            </w:pPr>
            <w:r>
              <w:rPr>
                <w:b/>
              </w:rPr>
              <w:t>Target</w:t>
              <w:b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070" w:type="dxa"/>
            <w:tcBorders>
              <w:bottom w:val="single" w:sz="12" w:space="0" w:color="7CBC3E"/>
            </w:tcBorders>
            <w:shd w:fill="auto" w:val="clear"/>
            <w:tcMar>
              <w:bottom w:w="28" w:type="dxa"/>
            </w:tcMar>
            <w:vAlign w:val="center"/>
          </w:tcPr>
          <w:p>
            <w:pPr>
              <w:pStyle w:val="TableContents"/>
              <w:spacing w:before="0" w:after="283"/>
              <w:jc w:val="right"/>
              <w:rPr>
                <w:b/>
              </w:rPr>
            </w:pPr>
            <w:r>
              <w:rPr>
                <w:b/>
              </w:rPr>
              <w:t>Maximum</w:t>
              <w:b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070" w:type="dxa"/>
            <w:tcBorders>
              <w:bottom w:val="single" w:sz="12" w:space="0" w:color="7CBC3E"/>
            </w:tcBorders>
            <w:shd w:fill="auto" w:val="clear"/>
            <w:tcMar>
              <w:bottom w:w="28" w:type="dxa"/>
            </w:tcMar>
            <w:vAlign w:val="center"/>
          </w:tcPr>
          <w:p>
            <w:pPr>
              <w:pStyle w:val="TableContents"/>
              <w:spacing w:before="0" w:after="283"/>
              <w:jc w:val="right"/>
              <w:rPr>
                <w:b/>
              </w:rPr>
            </w:pPr>
            <w:r>
              <w:rPr>
                <w:b/>
              </w:rPr>
              <w:t>Threshold</w:t>
              <w:b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710" w:type="dxa"/>
            <w:tcBorders>
              <w:bottom w:val="single" w:sz="12" w:space="0" w:color="7CBC3E"/>
            </w:tcBorders>
            <w:shd w:fill="auto" w:val="clear"/>
            <w:tcMar>
              <w:bottom w:w="28" w:type="dxa"/>
            </w:tcMar>
            <w:vAlign w:val="center"/>
          </w:tcPr>
          <w:p>
            <w:pPr>
              <w:pStyle w:val="TableContents"/>
              <w:spacing w:before="0" w:after="283"/>
              <w:jc w:val="right"/>
              <w:rPr>
                <w:b/>
              </w:rPr>
            </w:pPr>
            <w:r>
              <w:rPr>
                <w:b/>
              </w:rPr>
              <w:t>Target</w:t>
              <w:b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070" w:type="dxa"/>
            <w:tcBorders>
              <w:bottom w:val="single" w:sz="12" w:space="0" w:color="7CBC3E"/>
            </w:tcBorders>
            <w:shd w:fill="auto" w:val="clear"/>
            <w:tcMar>
              <w:bottom w:w="28" w:type="dxa"/>
            </w:tcMar>
            <w:vAlign w:val="center"/>
          </w:tcPr>
          <w:p>
            <w:pPr>
              <w:pStyle w:val="TableContents"/>
              <w:spacing w:before="0" w:after="283"/>
              <w:jc w:val="right"/>
              <w:rPr>
                <w:b/>
              </w:rPr>
            </w:pPr>
            <w:r>
              <w:rPr>
                <w:b/>
              </w:rPr>
              <w:t>Maximum</w:t>
              <w:b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905" w:type="dxa"/>
            <w:vMerge w:val="continue"/>
            <w:tcBorders>
              <w:bottom w:val="single" w:sz="12" w:space="0" w:color="7CBC3E"/>
            </w:tcBorders>
            <w:shd w:fill="auto" w:val="clear"/>
            <w:tcMar>
              <w:bottom w:w="28" w:type="dxa"/>
            </w:tcMar>
            <w:vAlign w:val="center"/>
          </w:tcPr>
          <w:p>
            <w:pPr>
              <w:pStyle w:val="Normal"/>
              <w:rPr/>
            </w:pPr>
            <w:r>
              <w:rPr/>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175" w:type="dxa"/>
            <w:vMerge w:val="continue"/>
            <w:tcBorders>
              <w:bottom w:val="single" w:sz="12" w:space="0" w:color="7CBC3E"/>
            </w:tcBorders>
            <w:shd w:fill="auto" w:val="clear"/>
            <w:tcMar>
              <w:bottom w:w="28" w:type="dxa"/>
            </w:tcMar>
            <w:vAlign w:val="center"/>
          </w:tcPr>
          <w:p>
            <w:pPr>
              <w:pStyle w:val="Normal"/>
              <w:rPr/>
            </w:pPr>
            <w:r>
              <w:rPr/>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875" w:type="dxa"/>
            <w:vMerge w:val="continue"/>
            <w:tcBorders>
              <w:bottom w:val="single" w:sz="12" w:space="0" w:color="7CBC3E"/>
            </w:tcBorders>
            <w:shd w:fill="auto" w:val="clear"/>
            <w:tcMar>
              <w:bottom w:w="28" w:type="dxa"/>
            </w:tcMar>
            <w:vAlign w:val="center"/>
          </w:tcPr>
          <w:p>
            <w:pPr>
              <w:pStyle w:val="Normal"/>
              <w:rPr/>
            </w:pPr>
            <w:r>
              <w:rPr/>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995" w:type="dxa"/>
            <w:vMerge w:val="continue"/>
            <w:tcBorders>
              <w:bottom w:val="single" w:sz="12" w:space="0" w:color="7CBC3E"/>
            </w:tcBorders>
            <w:shd w:fill="auto" w:val="clear"/>
            <w:tcMar>
              <w:bottom w:w="28" w:type="dxa"/>
            </w:tcMar>
            <w:vAlign w:val="center"/>
          </w:tcPr>
          <w:p>
            <w:pPr>
              <w:pStyle w:val="Normal"/>
              <w:rPr/>
            </w:pPr>
            <w:r>
              <w:rPr/>
            </w:r>
          </w:p>
        </w:tc>
      </w:tr>
      <w:tr>
        <w:trPr/>
        <w:tc>
          <w:tcPr>
            <w:tcW w:w="1805" w:type="dxa"/>
            <w:vMerge w:val="restart"/>
            <w:tcBorders>
              <w:bottom w:val="single" w:sz="2" w:space="0" w:color="7CBC3E"/>
            </w:tcBorders>
            <w:shd w:fill="auto" w:val="clear"/>
            <w:tcMar>
              <w:bottom w:w="28" w:type="dxa"/>
            </w:tcMar>
            <w:vAlign w:val="center"/>
          </w:tcPr>
          <w:p>
            <w:pPr>
              <w:pStyle w:val="TableContents"/>
              <w:spacing w:before="0" w:after="283"/>
              <w:jc w:val="left"/>
              <w:rPr>
                <w:b/>
              </w:rPr>
            </w:pPr>
            <w:r>
              <w:rPr>
                <w:b/>
              </w:rPr>
              <w:t>Emil D. Kakkis,</w:t>
              <w:br/>
              <w:t>M.D., Ph.D.</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300,000</w:t>
            </w:r>
          </w:p>
        </w:tc>
        <w:tc>
          <w:tcPr>
            <w:tcW w:w="120" w:type="dxa"/>
            <w:tcBorders/>
            <w:shd w:fill="auto" w:val="clear"/>
            <w:vAlign w:val="center"/>
          </w:tcPr>
          <w:p>
            <w:pPr>
              <w:pStyle w:val="TableContents"/>
              <w:spacing w:before="0" w:after="283"/>
              <w:jc w:val="right"/>
              <w:rPr/>
            </w:pPr>
            <w:r>
              <w:rPr/>
              <w:t> </w:t>
            </w:r>
          </w:p>
        </w:tc>
        <w:tc>
          <w:tcPr>
            <w:tcW w:w="800" w:type="dxa"/>
            <w:tcBorders/>
            <w:shd w:fill="auto" w:val="clear"/>
            <w:vAlign w:val="center"/>
          </w:tcPr>
          <w:p>
            <w:pPr>
              <w:pStyle w:val="TableContents"/>
              <w:spacing w:before="0" w:after="283"/>
              <w:jc w:val="right"/>
              <w:rPr/>
            </w:pPr>
            <w:r>
              <w:rPr/>
              <w:t>600,000</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900,000</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71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0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95" w:type="dxa"/>
            <w:tcBorders/>
            <w:shd w:fill="auto" w:val="clear"/>
            <w:vAlign w:val="center"/>
          </w:tcPr>
          <w:p>
            <w:pPr>
              <w:pStyle w:val="TableContents"/>
              <w:spacing w:before="0" w:after="283"/>
              <w:jc w:val="right"/>
              <w:rPr/>
            </w:pPr>
            <w:r>
              <w:rPr/>
              <w:t>—</w:t>
            </w:r>
          </w:p>
        </w:tc>
      </w:tr>
      <w:tr>
        <w:trPr/>
        <w:tc>
          <w:tcPr>
            <w:tcW w:w="1805" w:type="dxa"/>
            <w:vMerge w:val="continue"/>
            <w:tcBorders>
              <w:bottom w:val="single" w:sz="2" w:space="0" w:color="7CBC3E"/>
            </w:tcBorders>
            <w:shd w:fill="auto" w:val="clear"/>
            <w:tcMar>
              <w:bottom w:w="28" w:type="dxa"/>
            </w:tcMar>
            <w:vAlign w:val="center"/>
          </w:tcPr>
          <w:p>
            <w:pPr>
              <w:pStyle w:val="Normal"/>
              <w:rPr/>
            </w:pPr>
            <w:r>
              <w:rPr/>
            </w:r>
          </w:p>
        </w:tc>
        <w:tc>
          <w:tcPr>
            <w:tcW w:w="120" w:type="dxa"/>
            <w:tcBorders/>
            <w:shd w:fill="auto" w:val="clear"/>
            <w:vAlign w:val="center"/>
          </w:tcPr>
          <w:p>
            <w:pPr>
              <w:pStyle w:val="TableContents"/>
              <w:spacing w:before="0" w:after="283"/>
              <w:jc w:val="left"/>
              <w:rPr/>
            </w:pPr>
            <w:r>
              <w:rPr/>
              <w:t> </w:t>
            </w:r>
          </w:p>
        </w:tc>
        <w:tc>
          <w:tcPr>
            <w:tcW w:w="1175" w:type="dxa"/>
            <w:tcBorders/>
            <w:shd w:fill="EFF6EA" w:val="clear"/>
            <w:vAlign w:val="center"/>
          </w:tcPr>
          <w:p>
            <w:pPr>
              <w:pStyle w:val="TableContents"/>
              <w:spacing w:before="0" w:after="283"/>
              <w:jc w:val="right"/>
              <w:rPr/>
            </w:pPr>
            <w:r>
              <w:rPr/>
              <w:t>3/1/2022</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80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71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90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175" w:type="dxa"/>
            <w:tcBorders/>
            <w:shd w:fill="EFF6EA" w:val="clear"/>
            <w:vAlign w:val="center"/>
          </w:tcPr>
          <w:p>
            <w:pPr>
              <w:pStyle w:val="TableContents"/>
              <w:spacing w:before="0" w:after="283"/>
              <w:jc w:val="right"/>
              <w:rPr/>
            </w:pPr>
            <w:r>
              <w:rPr/>
              <w:t>92,360</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67.37</w:t>
            </w:r>
          </w:p>
        </w:tc>
        <w:tc>
          <w:tcPr>
            <w:tcW w:w="120" w:type="dxa"/>
            <w:tcBorders/>
            <w:shd w:fill="EFF6EA" w:val="clear"/>
            <w:vAlign w:val="center"/>
          </w:tcPr>
          <w:p>
            <w:pPr>
              <w:pStyle w:val="TableContents"/>
              <w:spacing w:before="0" w:after="283"/>
              <w:jc w:val="right"/>
              <w:rPr/>
            </w:pPr>
            <w:r>
              <w:rPr/>
              <w:t> </w:t>
            </w:r>
          </w:p>
        </w:tc>
        <w:tc>
          <w:tcPr>
            <w:tcW w:w="995" w:type="dxa"/>
            <w:tcBorders/>
            <w:shd w:fill="EFF6EA" w:val="clear"/>
            <w:vAlign w:val="center"/>
          </w:tcPr>
          <w:p>
            <w:pPr>
              <w:pStyle w:val="TableContents"/>
              <w:spacing w:before="0" w:after="283"/>
              <w:jc w:val="right"/>
              <w:rPr/>
            </w:pPr>
            <w:r>
              <w:rPr/>
              <w:t>3,310,681</w:t>
            </w:r>
          </w:p>
        </w:tc>
      </w:tr>
      <w:tr>
        <w:trPr/>
        <w:tc>
          <w:tcPr>
            <w:tcW w:w="1805" w:type="dxa"/>
            <w:vMerge w:val="continue"/>
            <w:tcBorders>
              <w:bottom w:val="single" w:sz="2" w:space="0" w:color="7CBC3E"/>
            </w:tcBorders>
            <w:shd w:fill="auto" w:val="clear"/>
            <w:tcMar>
              <w:bottom w:w="28" w:type="dxa"/>
            </w:tcMar>
            <w:vAlign w:val="center"/>
          </w:tcPr>
          <w:p>
            <w:pPr>
              <w:pStyle w:val="Normal"/>
              <w:rPr/>
            </w:pPr>
            <w:r>
              <w:rPr/>
            </w:r>
          </w:p>
        </w:tc>
        <w:tc>
          <w:tcPr>
            <w:tcW w:w="12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pPr>
            <w:r>
              <w:rPr/>
              <w:t>3/1/2022</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0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71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05" w:type="dxa"/>
            <w:tcBorders/>
            <w:shd w:fill="auto" w:val="clear"/>
            <w:vAlign w:val="center"/>
          </w:tcPr>
          <w:p>
            <w:pPr>
              <w:pStyle w:val="TableContents"/>
              <w:spacing w:before="0" w:after="283"/>
              <w:jc w:val="right"/>
              <w:rPr/>
            </w:pPr>
            <w:r>
              <w:rPr/>
              <w:t>52,041</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95" w:type="dxa"/>
            <w:tcBorders/>
            <w:shd w:fill="auto" w:val="clear"/>
            <w:vAlign w:val="center"/>
          </w:tcPr>
          <w:p>
            <w:pPr>
              <w:pStyle w:val="TableContents"/>
              <w:spacing w:before="0" w:after="283"/>
              <w:jc w:val="right"/>
              <w:rPr/>
            </w:pPr>
            <w:r>
              <w:rPr/>
              <w:t>3,506,002</w:t>
            </w:r>
          </w:p>
        </w:tc>
      </w:tr>
      <w:tr>
        <w:trPr/>
        <w:tc>
          <w:tcPr>
            <w:tcW w:w="1805" w:type="dxa"/>
            <w:vMerge w:val="continue"/>
            <w:tcBorders>
              <w:bottom w:val="single" w:sz="2" w:space="0" w:color="7CBC3E"/>
            </w:tcBorders>
            <w:shd w:fill="auto" w:val="clear"/>
            <w:tcMar>
              <w:bottom w:w="28" w:type="dxa"/>
            </w:tcMar>
            <w:vAlign w:val="center"/>
          </w:tcPr>
          <w:p>
            <w:pPr>
              <w:pStyle w:val="Normal"/>
              <w:rPr/>
            </w:pPr>
            <w:r>
              <w:rPr/>
            </w:r>
          </w:p>
        </w:tc>
        <w:tc>
          <w:tcPr>
            <w:tcW w:w="120" w:type="dxa"/>
            <w:tcBorders>
              <w:bottom w:val="single" w:sz="2" w:space="0" w:color="7CBC3E"/>
            </w:tcBorders>
            <w:shd w:fill="auto" w:val="clear"/>
            <w:tcMar>
              <w:bottom w:w="28" w:type="dxa"/>
            </w:tcMar>
            <w:vAlign w:val="center"/>
          </w:tcPr>
          <w:p>
            <w:pPr>
              <w:pStyle w:val="TableContents"/>
              <w:spacing w:before="0" w:after="283"/>
              <w:jc w:val="left"/>
              <w:rPr/>
            </w:pPr>
            <w:r>
              <w:rPr/>
              <w:t> </w:t>
            </w:r>
          </w:p>
        </w:tc>
        <w:tc>
          <w:tcPr>
            <w:tcW w:w="1175" w:type="dxa"/>
            <w:tcBorders>
              <w:bottom w:val="single" w:sz="2" w:space="0" w:color="7CBC3E"/>
            </w:tcBorders>
            <w:shd w:fill="EFF6EA" w:val="clear"/>
            <w:tcMar>
              <w:bottom w:w="28" w:type="dxa"/>
            </w:tcMar>
            <w:vAlign w:val="center"/>
          </w:tcPr>
          <w:p>
            <w:pPr>
              <w:pStyle w:val="TableContents"/>
              <w:spacing w:before="0" w:after="283"/>
              <w:jc w:val="right"/>
              <w:rPr/>
            </w:pPr>
            <w:r>
              <w:rPr/>
              <w:t>3/1/2022</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80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23,418</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710" w:type="dxa"/>
            <w:tcBorders>
              <w:bottom w:val="single" w:sz="2" w:space="0" w:color="7CBC3E"/>
            </w:tcBorders>
            <w:shd w:fill="EFF6EA" w:val="clear"/>
            <w:tcMar>
              <w:bottom w:w="28" w:type="dxa"/>
            </w:tcMar>
            <w:vAlign w:val="center"/>
          </w:tcPr>
          <w:p>
            <w:pPr>
              <w:pStyle w:val="TableContents"/>
              <w:spacing w:before="0" w:after="283"/>
              <w:jc w:val="right"/>
              <w:rPr/>
            </w:pPr>
            <w:r>
              <w:rPr/>
              <w:t>52,041</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104,082</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90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17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87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995" w:type="dxa"/>
            <w:tcBorders>
              <w:bottom w:val="single" w:sz="2" w:space="0" w:color="7CBC3E"/>
            </w:tcBorders>
            <w:shd w:fill="EFF6EA" w:val="clear"/>
            <w:tcMar>
              <w:bottom w:w="28" w:type="dxa"/>
            </w:tcMar>
            <w:vAlign w:val="center"/>
          </w:tcPr>
          <w:p>
            <w:pPr>
              <w:pStyle w:val="TableContents"/>
              <w:spacing w:before="0" w:after="283"/>
              <w:jc w:val="right"/>
              <w:rPr/>
            </w:pPr>
            <w:r>
              <w:rPr/>
              <w:t>3,957,293</w:t>
            </w:r>
          </w:p>
        </w:tc>
      </w:tr>
      <w:tr>
        <w:trPr/>
        <w:tc>
          <w:tcPr>
            <w:tcW w:w="1805" w:type="dxa"/>
            <w:vMerge w:val="restart"/>
            <w:tcBorders>
              <w:bottom w:val="single" w:sz="2" w:space="0" w:color="7CBC3E"/>
            </w:tcBorders>
            <w:shd w:fill="auto" w:val="clear"/>
            <w:tcMar>
              <w:bottom w:w="28" w:type="dxa"/>
            </w:tcMar>
            <w:vAlign w:val="center"/>
          </w:tcPr>
          <w:p>
            <w:pPr>
              <w:pStyle w:val="TableContents"/>
              <w:spacing w:before="0" w:after="283"/>
              <w:jc w:val="left"/>
              <w:rPr>
                <w:b/>
              </w:rPr>
            </w:pPr>
            <w:r>
              <w:rPr>
                <w:b/>
              </w:rPr>
              <w:t>Camille L.</w:t>
              <w:br/>
              <w:t>Bedrosian, M.D.</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150,000</w:t>
            </w:r>
          </w:p>
        </w:tc>
        <w:tc>
          <w:tcPr>
            <w:tcW w:w="120" w:type="dxa"/>
            <w:tcBorders/>
            <w:shd w:fill="auto" w:val="clear"/>
            <w:vAlign w:val="center"/>
          </w:tcPr>
          <w:p>
            <w:pPr>
              <w:pStyle w:val="TableContents"/>
              <w:spacing w:before="0" w:after="283"/>
              <w:jc w:val="right"/>
              <w:rPr/>
            </w:pPr>
            <w:r>
              <w:rPr/>
              <w:t> </w:t>
            </w:r>
          </w:p>
        </w:tc>
        <w:tc>
          <w:tcPr>
            <w:tcW w:w="800" w:type="dxa"/>
            <w:tcBorders/>
            <w:shd w:fill="auto" w:val="clear"/>
            <w:vAlign w:val="center"/>
          </w:tcPr>
          <w:p>
            <w:pPr>
              <w:pStyle w:val="TableContents"/>
              <w:spacing w:before="0" w:after="283"/>
              <w:jc w:val="right"/>
              <w:rPr/>
            </w:pPr>
            <w:r>
              <w:rPr/>
              <w:t>300,000</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427,500</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71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0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95" w:type="dxa"/>
            <w:tcBorders/>
            <w:shd w:fill="auto" w:val="clear"/>
            <w:vAlign w:val="center"/>
          </w:tcPr>
          <w:p>
            <w:pPr>
              <w:pStyle w:val="TableContents"/>
              <w:spacing w:before="0" w:after="283"/>
              <w:jc w:val="right"/>
              <w:rPr/>
            </w:pPr>
            <w:r>
              <w:rPr/>
              <w:t>—</w:t>
            </w:r>
          </w:p>
        </w:tc>
      </w:tr>
      <w:tr>
        <w:trPr/>
        <w:tc>
          <w:tcPr>
            <w:tcW w:w="1805" w:type="dxa"/>
            <w:vMerge w:val="continue"/>
            <w:tcBorders>
              <w:bottom w:val="single" w:sz="2" w:space="0" w:color="7CBC3E"/>
            </w:tcBorders>
            <w:shd w:fill="auto" w:val="clear"/>
            <w:tcMar>
              <w:bottom w:w="28" w:type="dxa"/>
            </w:tcMar>
            <w:vAlign w:val="center"/>
          </w:tcPr>
          <w:p>
            <w:pPr>
              <w:pStyle w:val="Normal"/>
              <w:rPr/>
            </w:pPr>
            <w:r>
              <w:rPr/>
            </w:r>
          </w:p>
        </w:tc>
        <w:tc>
          <w:tcPr>
            <w:tcW w:w="120" w:type="dxa"/>
            <w:tcBorders/>
            <w:shd w:fill="auto" w:val="clear"/>
            <w:vAlign w:val="center"/>
          </w:tcPr>
          <w:p>
            <w:pPr>
              <w:pStyle w:val="TableContents"/>
              <w:spacing w:before="0" w:after="283"/>
              <w:jc w:val="left"/>
              <w:rPr/>
            </w:pPr>
            <w:r>
              <w:rPr/>
              <w:t> </w:t>
            </w:r>
          </w:p>
        </w:tc>
        <w:tc>
          <w:tcPr>
            <w:tcW w:w="1175" w:type="dxa"/>
            <w:tcBorders/>
            <w:shd w:fill="EFF6EA" w:val="clear"/>
            <w:vAlign w:val="center"/>
          </w:tcPr>
          <w:p>
            <w:pPr>
              <w:pStyle w:val="TableContents"/>
              <w:spacing w:before="0" w:after="283"/>
              <w:jc w:val="right"/>
              <w:rPr/>
            </w:pPr>
            <w:r>
              <w:rPr/>
              <w:t>3/1/2022</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80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71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90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175" w:type="dxa"/>
            <w:tcBorders/>
            <w:shd w:fill="EFF6EA" w:val="clear"/>
            <w:vAlign w:val="center"/>
          </w:tcPr>
          <w:p>
            <w:pPr>
              <w:pStyle w:val="TableContents"/>
              <w:spacing w:before="0" w:after="283"/>
              <w:jc w:val="right"/>
              <w:rPr/>
            </w:pPr>
            <w:r>
              <w:rPr/>
              <w:t>24,900</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67.37</w:t>
            </w:r>
          </w:p>
        </w:tc>
        <w:tc>
          <w:tcPr>
            <w:tcW w:w="120" w:type="dxa"/>
            <w:tcBorders/>
            <w:shd w:fill="EFF6EA" w:val="clear"/>
            <w:vAlign w:val="center"/>
          </w:tcPr>
          <w:p>
            <w:pPr>
              <w:pStyle w:val="TableContents"/>
              <w:spacing w:before="0" w:after="283"/>
              <w:jc w:val="right"/>
              <w:rPr/>
            </w:pPr>
            <w:r>
              <w:rPr/>
              <w:t> </w:t>
            </w:r>
          </w:p>
        </w:tc>
        <w:tc>
          <w:tcPr>
            <w:tcW w:w="995" w:type="dxa"/>
            <w:tcBorders/>
            <w:shd w:fill="EFF6EA" w:val="clear"/>
            <w:vAlign w:val="center"/>
          </w:tcPr>
          <w:p>
            <w:pPr>
              <w:pStyle w:val="TableContents"/>
              <w:spacing w:before="0" w:after="283"/>
              <w:jc w:val="right"/>
              <w:rPr/>
            </w:pPr>
            <w:r>
              <w:rPr/>
              <w:t>892,550</w:t>
            </w:r>
          </w:p>
        </w:tc>
      </w:tr>
      <w:tr>
        <w:trPr/>
        <w:tc>
          <w:tcPr>
            <w:tcW w:w="1805" w:type="dxa"/>
            <w:vMerge w:val="continue"/>
            <w:tcBorders>
              <w:bottom w:val="single" w:sz="2" w:space="0" w:color="7CBC3E"/>
            </w:tcBorders>
            <w:shd w:fill="auto" w:val="clear"/>
            <w:tcMar>
              <w:bottom w:w="28" w:type="dxa"/>
            </w:tcMar>
            <w:vAlign w:val="center"/>
          </w:tcPr>
          <w:p>
            <w:pPr>
              <w:pStyle w:val="Normal"/>
              <w:rPr/>
            </w:pPr>
            <w:r>
              <w:rPr/>
            </w:r>
          </w:p>
        </w:tc>
        <w:tc>
          <w:tcPr>
            <w:tcW w:w="12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pPr>
            <w:r>
              <w:rPr/>
              <w:t>3/1/2022</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0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71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05" w:type="dxa"/>
            <w:tcBorders/>
            <w:shd w:fill="auto" w:val="clear"/>
            <w:vAlign w:val="center"/>
          </w:tcPr>
          <w:p>
            <w:pPr>
              <w:pStyle w:val="TableContents"/>
              <w:spacing w:before="0" w:after="283"/>
              <w:jc w:val="right"/>
              <w:rPr/>
            </w:pPr>
            <w:r>
              <w:rPr/>
              <w:t>14,000</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95" w:type="dxa"/>
            <w:tcBorders/>
            <w:shd w:fill="auto" w:val="clear"/>
            <w:vAlign w:val="center"/>
          </w:tcPr>
          <w:p>
            <w:pPr>
              <w:pStyle w:val="TableContents"/>
              <w:spacing w:before="0" w:after="283"/>
              <w:jc w:val="right"/>
              <w:rPr/>
            </w:pPr>
            <w:r>
              <w:rPr/>
              <w:t>943,180</w:t>
            </w:r>
          </w:p>
        </w:tc>
      </w:tr>
      <w:tr>
        <w:trPr/>
        <w:tc>
          <w:tcPr>
            <w:tcW w:w="1805" w:type="dxa"/>
            <w:vMerge w:val="continue"/>
            <w:tcBorders>
              <w:bottom w:val="single" w:sz="2" w:space="0" w:color="7CBC3E"/>
            </w:tcBorders>
            <w:shd w:fill="auto" w:val="clear"/>
            <w:tcMar>
              <w:bottom w:w="28" w:type="dxa"/>
            </w:tcMar>
            <w:vAlign w:val="center"/>
          </w:tcPr>
          <w:p>
            <w:pPr>
              <w:pStyle w:val="Normal"/>
              <w:rPr/>
            </w:pPr>
            <w:r>
              <w:rPr/>
            </w:r>
          </w:p>
        </w:tc>
        <w:tc>
          <w:tcPr>
            <w:tcW w:w="120" w:type="dxa"/>
            <w:tcBorders>
              <w:bottom w:val="single" w:sz="2" w:space="0" w:color="7CBC3E"/>
            </w:tcBorders>
            <w:shd w:fill="auto" w:val="clear"/>
            <w:tcMar>
              <w:bottom w:w="28" w:type="dxa"/>
            </w:tcMar>
            <w:vAlign w:val="center"/>
          </w:tcPr>
          <w:p>
            <w:pPr>
              <w:pStyle w:val="TableContents"/>
              <w:spacing w:before="0" w:after="283"/>
              <w:jc w:val="left"/>
              <w:rPr/>
            </w:pPr>
            <w:r>
              <w:rPr/>
              <w:t> </w:t>
            </w:r>
          </w:p>
        </w:tc>
        <w:tc>
          <w:tcPr>
            <w:tcW w:w="1175" w:type="dxa"/>
            <w:tcBorders>
              <w:bottom w:val="single" w:sz="2" w:space="0" w:color="7CBC3E"/>
            </w:tcBorders>
            <w:shd w:fill="EFF6EA" w:val="clear"/>
            <w:tcMar>
              <w:bottom w:w="28" w:type="dxa"/>
            </w:tcMar>
            <w:vAlign w:val="center"/>
          </w:tcPr>
          <w:p>
            <w:pPr>
              <w:pStyle w:val="TableContents"/>
              <w:spacing w:before="0" w:after="283"/>
              <w:jc w:val="right"/>
              <w:rPr/>
            </w:pPr>
            <w:r>
              <w:rPr/>
              <w:t>3/1/2022</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80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6,300</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710" w:type="dxa"/>
            <w:tcBorders>
              <w:bottom w:val="single" w:sz="2" w:space="0" w:color="7CBC3E"/>
            </w:tcBorders>
            <w:shd w:fill="EFF6EA" w:val="clear"/>
            <w:tcMar>
              <w:bottom w:w="28" w:type="dxa"/>
            </w:tcMar>
            <w:vAlign w:val="center"/>
          </w:tcPr>
          <w:p>
            <w:pPr>
              <w:pStyle w:val="TableContents"/>
              <w:spacing w:before="0" w:after="283"/>
              <w:jc w:val="right"/>
              <w:rPr/>
            </w:pPr>
            <w:r>
              <w:rPr/>
              <w:t>14,000</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28,000</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90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17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87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995" w:type="dxa"/>
            <w:tcBorders>
              <w:bottom w:val="single" w:sz="2" w:space="0" w:color="7CBC3E"/>
            </w:tcBorders>
            <w:shd w:fill="EFF6EA" w:val="clear"/>
            <w:tcMar>
              <w:bottom w:w="28" w:type="dxa"/>
            </w:tcMar>
            <w:vAlign w:val="center"/>
          </w:tcPr>
          <w:p>
            <w:pPr>
              <w:pStyle w:val="TableContents"/>
              <w:spacing w:before="0" w:after="283"/>
              <w:jc w:val="right"/>
              <w:rPr/>
            </w:pPr>
            <w:r>
              <w:rPr/>
              <w:t>1,064,588</w:t>
            </w:r>
          </w:p>
        </w:tc>
      </w:tr>
      <w:tr>
        <w:trPr/>
        <w:tc>
          <w:tcPr>
            <w:tcW w:w="1805" w:type="dxa"/>
            <w:tcBorders/>
            <w:shd w:fill="auto" w:val="clear"/>
            <w:vAlign w:val="center"/>
          </w:tcPr>
          <w:p>
            <w:pPr>
              <w:pStyle w:val="TableContents"/>
              <w:spacing w:before="0" w:after="283"/>
              <w:jc w:val="left"/>
              <w:rPr>
                <w:b/>
              </w:rPr>
            </w:pPr>
            <w:r>
              <w:rPr>
                <w:b/>
              </w:rPr>
              <w:t>Erik Harris</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142,325</w:t>
            </w:r>
          </w:p>
        </w:tc>
        <w:tc>
          <w:tcPr>
            <w:tcW w:w="120" w:type="dxa"/>
            <w:tcBorders/>
            <w:shd w:fill="auto" w:val="clear"/>
            <w:vAlign w:val="center"/>
          </w:tcPr>
          <w:p>
            <w:pPr>
              <w:pStyle w:val="TableContents"/>
              <w:spacing w:before="0" w:after="283"/>
              <w:jc w:val="right"/>
              <w:rPr/>
            </w:pPr>
            <w:r>
              <w:rPr/>
              <w:t> </w:t>
            </w:r>
          </w:p>
        </w:tc>
        <w:tc>
          <w:tcPr>
            <w:tcW w:w="800" w:type="dxa"/>
            <w:tcBorders/>
            <w:shd w:fill="auto" w:val="clear"/>
            <w:vAlign w:val="center"/>
          </w:tcPr>
          <w:p>
            <w:pPr>
              <w:pStyle w:val="TableContents"/>
              <w:spacing w:before="0" w:after="283"/>
              <w:jc w:val="right"/>
              <w:rPr/>
            </w:pPr>
            <w:r>
              <w:rPr/>
              <w:t>284,650</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405,626</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71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0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95" w:type="dxa"/>
            <w:tcBorders/>
            <w:shd w:fill="auto" w:val="clear"/>
            <w:vAlign w:val="center"/>
          </w:tcPr>
          <w:p>
            <w:pPr>
              <w:pStyle w:val="TableContents"/>
              <w:spacing w:before="0" w:after="283"/>
              <w:jc w:val="right"/>
              <w:rPr/>
            </w:pPr>
            <w:r>
              <w:rPr/>
              <w:t>—</w:t>
            </w:r>
          </w:p>
        </w:tc>
      </w:tr>
      <w:tr>
        <w:trPr/>
        <w:tc>
          <w:tcPr>
            <w:tcW w:w="1805" w:type="dxa"/>
            <w:tcBorders/>
            <w:shd w:fill="auto" w:val="clear"/>
            <w:vAlign w:val="center"/>
          </w:tcPr>
          <w:p>
            <w:pPr>
              <w:pStyle w:val="TableContents"/>
              <w:spacing w:before="0" w:after="283"/>
              <w:jc w:val="left"/>
              <w:rPr/>
            </w:pPr>
            <w:r>
              <w:rPr/>
              <w:t> </w:t>
            </w:r>
          </w:p>
        </w:tc>
        <w:tc>
          <w:tcPr>
            <w:tcW w:w="120" w:type="dxa"/>
            <w:tcBorders/>
            <w:shd w:fill="auto" w:val="clear"/>
            <w:vAlign w:val="center"/>
          </w:tcPr>
          <w:p>
            <w:pPr>
              <w:pStyle w:val="TableContents"/>
              <w:spacing w:before="0" w:after="283"/>
              <w:jc w:val="right"/>
              <w:rPr/>
            </w:pPr>
            <w:r>
              <w:rPr/>
              <w:t> </w:t>
            </w:r>
          </w:p>
        </w:tc>
        <w:tc>
          <w:tcPr>
            <w:tcW w:w="1175" w:type="dxa"/>
            <w:tcBorders/>
            <w:shd w:fill="EFF6EA" w:val="clear"/>
            <w:vAlign w:val="center"/>
          </w:tcPr>
          <w:p>
            <w:pPr>
              <w:pStyle w:val="TableContents"/>
              <w:spacing w:before="0" w:after="283"/>
              <w:jc w:val="right"/>
              <w:rPr/>
            </w:pPr>
            <w:r>
              <w:rPr/>
              <w:t>3/1/2022</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80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71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90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175" w:type="dxa"/>
            <w:tcBorders/>
            <w:shd w:fill="EFF6EA" w:val="clear"/>
            <w:vAlign w:val="center"/>
          </w:tcPr>
          <w:p>
            <w:pPr>
              <w:pStyle w:val="TableContents"/>
              <w:spacing w:before="0" w:after="283"/>
              <w:jc w:val="right"/>
              <w:rPr/>
            </w:pPr>
            <w:r>
              <w:rPr/>
              <w:t>24,900</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67.37</w:t>
            </w:r>
          </w:p>
        </w:tc>
        <w:tc>
          <w:tcPr>
            <w:tcW w:w="120" w:type="dxa"/>
            <w:tcBorders/>
            <w:shd w:fill="EFF6EA" w:val="clear"/>
            <w:vAlign w:val="center"/>
          </w:tcPr>
          <w:p>
            <w:pPr>
              <w:pStyle w:val="TableContents"/>
              <w:spacing w:before="0" w:after="283"/>
              <w:jc w:val="right"/>
              <w:rPr/>
            </w:pPr>
            <w:r>
              <w:rPr/>
              <w:t> </w:t>
            </w:r>
          </w:p>
        </w:tc>
        <w:tc>
          <w:tcPr>
            <w:tcW w:w="995" w:type="dxa"/>
            <w:tcBorders/>
            <w:shd w:fill="EFF6EA" w:val="clear"/>
            <w:vAlign w:val="center"/>
          </w:tcPr>
          <w:p>
            <w:pPr>
              <w:pStyle w:val="TableContents"/>
              <w:spacing w:before="0" w:after="283"/>
              <w:jc w:val="right"/>
              <w:rPr/>
            </w:pPr>
            <w:r>
              <w:rPr/>
              <w:t>892,550</w:t>
            </w:r>
          </w:p>
        </w:tc>
      </w:tr>
      <w:tr>
        <w:trPr/>
        <w:tc>
          <w:tcPr>
            <w:tcW w:w="1805" w:type="dxa"/>
            <w:tcBorders/>
            <w:shd w:fill="auto" w:val="clear"/>
            <w:vAlign w:val="center"/>
          </w:tcPr>
          <w:p>
            <w:pPr>
              <w:pStyle w:val="TableContents"/>
              <w:spacing w:before="0" w:after="283"/>
              <w:jc w:val="left"/>
              <w:rPr/>
            </w:pPr>
            <w:r>
              <w:rPr/>
              <w:t> </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3/1/2022</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0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71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05" w:type="dxa"/>
            <w:tcBorders/>
            <w:shd w:fill="auto" w:val="clear"/>
            <w:vAlign w:val="center"/>
          </w:tcPr>
          <w:p>
            <w:pPr>
              <w:pStyle w:val="TableContents"/>
              <w:spacing w:before="0" w:after="283"/>
              <w:jc w:val="right"/>
              <w:rPr/>
            </w:pPr>
            <w:r>
              <w:rPr/>
              <w:t>14,000</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95" w:type="dxa"/>
            <w:tcBorders/>
            <w:shd w:fill="auto" w:val="clear"/>
            <w:vAlign w:val="center"/>
          </w:tcPr>
          <w:p>
            <w:pPr>
              <w:pStyle w:val="TableContents"/>
              <w:spacing w:before="0" w:after="283"/>
              <w:jc w:val="right"/>
              <w:rPr/>
            </w:pPr>
            <w:r>
              <w:rPr/>
              <w:t>943,180</w:t>
            </w:r>
          </w:p>
        </w:tc>
      </w:tr>
      <w:tr>
        <w:trPr/>
        <w:tc>
          <w:tcPr>
            <w:tcW w:w="1805" w:type="dxa"/>
            <w:tcBorders>
              <w:bottom w:val="single" w:sz="2" w:space="0" w:color="7CBC3E"/>
            </w:tcBorders>
            <w:shd w:fill="auto" w:val="clear"/>
            <w:tcMar>
              <w:bottom w:w="28" w:type="dxa"/>
            </w:tcMar>
            <w:vAlign w:val="center"/>
          </w:tcPr>
          <w:p>
            <w:pPr>
              <w:pStyle w:val="TableContents"/>
              <w:spacing w:before="0" w:after="283"/>
              <w:jc w:val="left"/>
              <w:rPr/>
            </w:pPr>
            <w:r>
              <w:rPr/>
              <w:t> </w:t>
            </w:r>
          </w:p>
        </w:tc>
        <w:tc>
          <w:tcPr>
            <w:tcW w:w="120" w:type="dxa"/>
            <w:tcBorders>
              <w:bottom w:val="single" w:sz="2" w:space="0" w:color="7CBC3E"/>
            </w:tcBorders>
            <w:shd w:fill="auto" w:val="clear"/>
            <w:tcMar>
              <w:bottom w:w="28" w:type="dxa"/>
            </w:tcMar>
            <w:vAlign w:val="center"/>
          </w:tcPr>
          <w:p>
            <w:pPr>
              <w:pStyle w:val="TableContents"/>
              <w:spacing w:before="0" w:after="283"/>
              <w:jc w:val="right"/>
              <w:rPr/>
            </w:pPr>
            <w:r>
              <w:rPr/>
              <w:t> </w:t>
            </w:r>
          </w:p>
        </w:tc>
        <w:tc>
          <w:tcPr>
            <w:tcW w:w="1175" w:type="dxa"/>
            <w:tcBorders>
              <w:bottom w:val="single" w:sz="2" w:space="0" w:color="7CBC3E"/>
            </w:tcBorders>
            <w:shd w:fill="EFF6EA" w:val="clear"/>
            <w:tcMar>
              <w:bottom w:w="28" w:type="dxa"/>
            </w:tcMar>
            <w:vAlign w:val="center"/>
          </w:tcPr>
          <w:p>
            <w:pPr>
              <w:pStyle w:val="TableContents"/>
              <w:spacing w:before="0" w:after="283"/>
              <w:jc w:val="right"/>
              <w:rPr/>
            </w:pPr>
            <w:r>
              <w:rPr/>
              <w:t>3/1/2022</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80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6,300</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710" w:type="dxa"/>
            <w:tcBorders>
              <w:bottom w:val="single" w:sz="2" w:space="0" w:color="7CBC3E"/>
            </w:tcBorders>
            <w:shd w:fill="EFF6EA" w:val="clear"/>
            <w:tcMar>
              <w:bottom w:w="28" w:type="dxa"/>
            </w:tcMar>
            <w:vAlign w:val="center"/>
          </w:tcPr>
          <w:p>
            <w:pPr>
              <w:pStyle w:val="TableContents"/>
              <w:spacing w:before="0" w:after="283"/>
              <w:jc w:val="right"/>
              <w:rPr/>
            </w:pPr>
            <w:r>
              <w:rPr/>
              <w:t>14,000</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28,000</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90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17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87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995" w:type="dxa"/>
            <w:tcBorders>
              <w:bottom w:val="single" w:sz="2" w:space="0" w:color="7CBC3E"/>
            </w:tcBorders>
            <w:shd w:fill="EFF6EA" w:val="clear"/>
            <w:tcMar>
              <w:bottom w:w="28" w:type="dxa"/>
            </w:tcMar>
            <w:vAlign w:val="center"/>
          </w:tcPr>
          <w:p>
            <w:pPr>
              <w:pStyle w:val="TableContents"/>
              <w:spacing w:before="0" w:after="283"/>
              <w:jc w:val="right"/>
              <w:rPr/>
            </w:pPr>
            <w:r>
              <w:rPr/>
              <w:t>1,064,588</w:t>
            </w:r>
          </w:p>
        </w:tc>
      </w:tr>
      <w:tr>
        <w:trPr/>
        <w:tc>
          <w:tcPr>
            <w:tcW w:w="1805" w:type="dxa"/>
            <w:tcBorders/>
            <w:shd w:fill="auto" w:val="clear"/>
            <w:vAlign w:val="center"/>
          </w:tcPr>
          <w:p>
            <w:pPr>
              <w:pStyle w:val="TableContents"/>
              <w:spacing w:before="0" w:after="283"/>
              <w:jc w:val="left"/>
              <w:rPr>
                <w:b/>
              </w:rPr>
            </w:pPr>
            <w:r>
              <w:rPr>
                <w:b/>
              </w:rPr>
              <w:t>John R. Pinion II</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134,025</w:t>
            </w:r>
          </w:p>
        </w:tc>
        <w:tc>
          <w:tcPr>
            <w:tcW w:w="120" w:type="dxa"/>
            <w:tcBorders/>
            <w:shd w:fill="auto" w:val="clear"/>
            <w:vAlign w:val="center"/>
          </w:tcPr>
          <w:p>
            <w:pPr>
              <w:pStyle w:val="TableContents"/>
              <w:spacing w:before="0" w:after="283"/>
              <w:jc w:val="right"/>
              <w:rPr/>
            </w:pPr>
            <w:r>
              <w:rPr/>
              <w:t> </w:t>
            </w:r>
          </w:p>
        </w:tc>
        <w:tc>
          <w:tcPr>
            <w:tcW w:w="800" w:type="dxa"/>
            <w:tcBorders/>
            <w:shd w:fill="auto" w:val="clear"/>
            <w:vAlign w:val="center"/>
          </w:tcPr>
          <w:p>
            <w:pPr>
              <w:pStyle w:val="TableContents"/>
              <w:spacing w:before="0" w:after="283"/>
              <w:jc w:val="right"/>
              <w:rPr/>
            </w:pPr>
            <w:r>
              <w:rPr/>
              <w:t>268,050</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381,971</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71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0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95" w:type="dxa"/>
            <w:tcBorders/>
            <w:shd w:fill="auto" w:val="clear"/>
            <w:vAlign w:val="center"/>
          </w:tcPr>
          <w:p>
            <w:pPr>
              <w:pStyle w:val="TableContents"/>
              <w:spacing w:before="0" w:after="283"/>
              <w:jc w:val="right"/>
              <w:rPr/>
            </w:pPr>
            <w:r>
              <w:rPr/>
              <w:t>—</w:t>
            </w:r>
          </w:p>
        </w:tc>
      </w:tr>
      <w:tr>
        <w:trPr/>
        <w:tc>
          <w:tcPr>
            <w:tcW w:w="1805" w:type="dxa"/>
            <w:tcBorders/>
            <w:shd w:fill="auto" w:val="clear"/>
            <w:vAlign w:val="center"/>
          </w:tcPr>
          <w:p>
            <w:pPr>
              <w:pStyle w:val="TableContents"/>
              <w:spacing w:before="0" w:after="283"/>
              <w:jc w:val="left"/>
              <w:rPr/>
            </w:pPr>
            <w:r>
              <w:rPr/>
              <w:t> </w:t>
            </w:r>
          </w:p>
        </w:tc>
        <w:tc>
          <w:tcPr>
            <w:tcW w:w="120" w:type="dxa"/>
            <w:tcBorders/>
            <w:shd w:fill="auto" w:val="clear"/>
            <w:vAlign w:val="center"/>
          </w:tcPr>
          <w:p>
            <w:pPr>
              <w:pStyle w:val="TableContents"/>
              <w:spacing w:before="0" w:after="283"/>
              <w:jc w:val="right"/>
              <w:rPr/>
            </w:pPr>
            <w:r>
              <w:rPr/>
              <w:t> </w:t>
            </w:r>
          </w:p>
        </w:tc>
        <w:tc>
          <w:tcPr>
            <w:tcW w:w="1175" w:type="dxa"/>
            <w:tcBorders/>
            <w:shd w:fill="EFF6EA" w:val="clear"/>
            <w:vAlign w:val="center"/>
          </w:tcPr>
          <w:p>
            <w:pPr>
              <w:pStyle w:val="TableContents"/>
              <w:spacing w:before="0" w:after="283"/>
              <w:jc w:val="right"/>
              <w:rPr/>
            </w:pPr>
            <w:r>
              <w:rPr/>
              <w:t>3/1/2022</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80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71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90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175" w:type="dxa"/>
            <w:tcBorders/>
            <w:shd w:fill="EFF6EA" w:val="clear"/>
            <w:vAlign w:val="center"/>
          </w:tcPr>
          <w:p>
            <w:pPr>
              <w:pStyle w:val="TableContents"/>
              <w:spacing w:before="0" w:after="283"/>
              <w:jc w:val="right"/>
              <w:rPr/>
            </w:pPr>
            <w:r>
              <w:rPr/>
              <w:t>24,900</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67.37</w:t>
            </w:r>
          </w:p>
        </w:tc>
        <w:tc>
          <w:tcPr>
            <w:tcW w:w="120" w:type="dxa"/>
            <w:tcBorders/>
            <w:shd w:fill="EFF6EA" w:val="clear"/>
            <w:vAlign w:val="center"/>
          </w:tcPr>
          <w:p>
            <w:pPr>
              <w:pStyle w:val="TableContents"/>
              <w:spacing w:before="0" w:after="283"/>
              <w:jc w:val="right"/>
              <w:rPr/>
            </w:pPr>
            <w:r>
              <w:rPr/>
              <w:t> </w:t>
            </w:r>
          </w:p>
        </w:tc>
        <w:tc>
          <w:tcPr>
            <w:tcW w:w="995" w:type="dxa"/>
            <w:tcBorders/>
            <w:shd w:fill="EFF6EA" w:val="clear"/>
            <w:vAlign w:val="center"/>
          </w:tcPr>
          <w:p>
            <w:pPr>
              <w:pStyle w:val="TableContents"/>
              <w:spacing w:before="0" w:after="283"/>
              <w:jc w:val="right"/>
              <w:rPr/>
            </w:pPr>
            <w:r>
              <w:rPr/>
              <w:t>892,550</w:t>
            </w:r>
          </w:p>
        </w:tc>
      </w:tr>
      <w:tr>
        <w:trPr/>
        <w:tc>
          <w:tcPr>
            <w:tcW w:w="1805" w:type="dxa"/>
            <w:tcBorders/>
            <w:shd w:fill="auto" w:val="clear"/>
            <w:vAlign w:val="center"/>
          </w:tcPr>
          <w:p>
            <w:pPr>
              <w:pStyle w:val="TableContents"/>
              <w:spacing w:before="0" w:after="283"/>
              <w:jc w:val="left"/>
              <w:rPr/>
            </w:pPr>
            <w:r>
              <w:rPr/>
              <w:t> </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3/1/2022</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0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71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05" w:type="dxa"/>
            <w:tcBorders/>
            <w:shd w:fill="auto" w:val="clear"/>
            <w:vAlign w:val="center"/>
          </w:tcPr>
          <w:p>
            <w:pPr>
              <w:pStyle w:val="TableContents"/>
              <w:spacing w:before="0" w:after="283"/>
              <w:jc w:val="right"/>
              <w:rPr/>
            </w:pPr>
            <w:r>
              <w:rPr/>
              <w:t>14,000</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95" w:type="dxa"/>
            <w:tcBorders/>
            <w:shd w:fill="auto" w:val="clear"/>
            <w:vAlign w:val="center"/>
          </w:tcPr>
          <w:p>
            <w:pPr>
              <w:pStyle w:val="TableContents"/>
              <w:spacing w:before="0" w:after="283"/>
              <w:jc w:val="right"/>
              <w:rPr/>
            </w:pPr>
            <w:r>
              <w:rPr/>
              <w:t>943,180</w:t>
            </w:r>
          </w:p>
        </w:tc>
      </w:tr>
      <w:tr>
        <w:trPr/>
        <w:tc>
          <w:tcPr>
            <w:tcW w:w="1805" w:type="dxa"/>
            <w:tcBorders>
              <w:bottom w:val="single" w:sz="2" w:space="0" w:color="7CBC3E"/>
            </w:tcBorders>
            <w:shd w:fill="auto" w:val="clear"/>
            <w:tcMar>
              <w:bottom w:w="28" w:type="dxa"/>
            </w:tcMar>
            <w:vAlign w:val="center"/>
          </w:tcPr>
          <w:p>
            <w:pPr>
              <w:pStyle w:val="TableContents"/>
              <w:spacing w:before="0" w:after="283"/>
              <w:jc w:val="left"/>
              <w:rPr/>
            </w:pPr>
            <w:r>
              <w:rPr/>
              <w:t> </w:t>
            </w:r>
          </w:p>
        </w:tc>
        <w:tc>
          <w:tcPr>
            <w:tcW w:w="120" w:type="dxa"/>
            <w:tcBorders>
              <w:bottom w:val="single" w:sz="2" w:space="0" w:color="7CBC3E"/>
            </w:tcBorders>
            <w:shd w:fill="auto" w:val="clear"/>
            <w:tcMar>
              <w:bottom w:w="28" w:type="dxa"/>
            </w:tcMar>
            <w:vAlign w:val="center"/>
          </w:tcPr>
          <w:p>
            <w:pPr>
              <w:pStyle w:val="TableContents"/>
              <w:spacing w:before="0" w:after="283"/>
              <w:jc w:val="right"/>
              <w:rPr/>
            </w:pPr>
            <w:r>
              <w:rPr/>
              <w:t> </w:t>
            </w:r>
          </w:p>
        </w:tc>
        <w:tc>
          <w:tcPr>
            <w:tcW w:w="1175" w:type="dxa"/>
            <w:tcBorders>
              <w:bottom w:val="single" w:sz="2" w:space="0" w:color="7CBC3E"/>
            </w:tcBorders>
            <w:shd w:fill="EFF6EA" w:val="clear"/>
            <w:tcMar>
              <w:bottom w:w="28" w:type="dxa"/>
            </w:tcMar>
            <w:vAlign w:val="center"/>
          </w:tcPr>
          <w:p>
            <w:pPr>
              <w:pStyle w:val="TableContents"/>
              <w:spacing w:before="0" w:after="283"/>
              <w:jc w:val="right"/>
              <w:rPr/>
            </w:pPr>
            <w:r>
              <w:rPr/>
              <w:t>3/1/2022</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80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6,300</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710" w:type="dxa"/>
            <w:tcBorders>
              <w:bottom w:val="single" w:sz="2" w:space="0" w:color="7CBC3E"/>
            </w:tcBorders>
            <w:shd w:fill="EFF6EA" w:val="clear"/>
            <w:tcMar>
              <w:bottom w:w="28" w:type="dxa"/>
            </w:tcMar>
            <w:vAlign w:val="center"/>
          </w:tcPr>
          <w:p>
            <w:pPr>
              <w:pStyle w:val="TableContents"/>
              <w:spacing w:before="0" w:after="283"/>
              <w:jc w:val="right"/>
              <w:rPr/>
            </w:pPr>
            <w:r>
              <w:rPr/>
              <w:t>14,000</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70" w:type="dxa"/>
            <w:tcBorders>
              <w:bottom w:val="single" w:sz="2" w:space="0" w:color="7CBC3E"/>
            </w:tcBorders>
            <w:shd w:fill="EFF6EA" w:val="clear"/>
            <w:tcMar>
              <w:bottom w:w="28" w:type="dxa"/>
            </w:tcMar>
            <w:vAlign w:val="center"/>
          </w:tcPr>
          <w:p>
            <w:pPr>
              <w:pStyle w:val="TableContents"/>
              <w:spacing w:before="0" w:after="283"/>
              <w:jc w:val="right"/>
              <w:rPr/>
            </w:pPr>
            <w:r>
              <w:rPr/>
              <w:t>28,000</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90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17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87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995" w:type="dxa"/>
            <w:tcBorders>
              <w:bottom w:val="single" w:sz="2" w:space="0" w:color="7CBC3E"/>
            </w:tcBorders>
            <w:shd w:fill="EFF6EA" w:val="clear"/>
            <w:tcMar>
              <w:bottom w:w="28" w:type="dxa"/>
            </w:tcMar>
            <w:vAlign w:val="center"/>
          </w:tcPr>
          <w:p>
            <w:pPr>
              <w:pStyle w:val="TableContents"/>
              <w:spacing w:before="0" w:after="283"/>
              <w:jc w:val="right"/>
              <w:rPr/>
            </w:pPr>
            <w:r>
              <w:rPr/>
              <w:t>1,064,588</w:t>
            </w:r>
          </w:p>
        </w:tc>
      </w:tr>
      <w:tr>
        <w:trPr/>
        <w:tc>
          <w:tcPr>
            <w:tcW w:w="1805" w:type="dxa"/>
            <w:tcBorders/>
            <w:shd w:fill="auto" w:val="clear"/>
            <w:vAlign w:val="center"/>
          </w:tcPr>
          <w:p>
            <w:pPr>
              <w:pStyle w:val="TableContents"/>
              <w:spacing w:before="0" w:after="283"/>
              <w:jc w:val="left"/>
              <w:rPr>
                <w:b/>
              </w:rPr>
            </w:pPr>
            <w:r>
              <w:rPr>
                <w:b/>
              </w:rPr>
              <w:t>Mardi C. Dier</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147,500</w:t>
            </w:r>
          </w:p>
        </w:tc>
        <w:tc>
          <w:tcPr>
            <w:tcW w:w="120" w:type="dxa"/>
            <w:tcBorders/>
            <w:shd w:fill="auto" w:val="clear"/>
            <w:vAlign w:val="center"/>
          </w:tcPr>
          <w:p>
            <w:pPr>
              <w:pStyle w:val="TableContents"/>
              <w:spacing w:before="0" w:after="283"/>
              <w:jc w:val="right"/>
              <w:rPr/>
            </w:pPr>
            <w:r>
              <w:rPr/>
              <w:t> </w:t>
            </w:r>
          </w:p>
        </w:tc>
        <w:tc>
          <w:tcPr>
            <w:tcW w:w="800" w:type="dxa"/>
            <w:tcBorders/>
            <w:shd w:fill="auto" w:val="clear"/>
            <w:vAlign w:val="center"/>
          </w:tcPr>
          <w:p>
            <w:pPr>
              <w:pStyle w:val="TableContents"/>
              <w:spacing w:before="0" w:after="283"/>
              <w:jc w:val="right"/>
              <w:rPr/>
            </w:pPr>
            <w:r>
              <w:rPr/>
              <w:t>295,000</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420.375</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71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0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95" w:type="dxa"/>
            <w:tcBorders/>
            <w:shd w:fill="auto" w:val="clear"/>
            <w:vAlign w:val="center"/>
          </w:tcPr>
          <w:p>
            <w:pPr>
              <w:pStyle w:val="TableContents"/>
              <w:spacing w:before="0" w:after="283"/>
              <w:jc w:val="right"/>
              <w:rPr/>
            </w:pPr>
            <w:r>
              <w:rPr/>
              <w:t>—</w:t>
            </w:r>
          </w:p>
        </w:tc>
      </w:tr>
      <w:tr>
        <w:trPr/>
        <w:tc>
          <w:tcPr>
            <w:tcW w:w="1805" w:type="dxa"/>
            <w:tcBorders/>
            <w:shd w:fill="auto" w:val="clear"/>
            <w:vAlign w:val="center"/>
          </w:tcPr>
          <w:p>
            <w:pPr>
              <w:pStyle w:val="TableContents"/>
              <w:spacing w:before="0" w:after="283"/>
              <w:jc w:val="left"/>
              <w:rPr/>
            </w:pPr>
            <w:r>
              <w:rPr/>
              <w:t> </w:t>
            </w:r>
          </w:p>
        </w:tc>
        <w:tc>
          <w:tcPr>
            <w:tcW w:w="120" w:type="dxa"/>
            <w:tcBorders/>
            <w:shd w:fill="auto" w:val="clear"/>
            <w:vAlign w:val="center"/>
          </w:tcPr>
          <w:p>
            <w:pPr>
              <w:pStyle w:val="TableContents"/>
              <w:spacing w:before="0" w:after="283"/>
              <w:jc w:val="right"/>
              <w:rPr/>
            </w:pPr>
            <w:r>
              <w:rPr/>
              <w:t> </w:t>
            </w:r>
          </w:p>
        </w:tc>
        <w:tc>
          <w:tcPr>
            <w:tcW w:w="1175" w:type="dxa"/>
            <w:tcBorders/>
            <w:shd w:fill="EFF6EA" w:val="clear"/>
            <w:vAlign w:val="center"/>
          </w:tcPr>
          <w:p>
            <w:pPr>
              <w:pStyle w:val="TableContents"/>
              <w:spacing w:before="0" w:after="283"/>
              <w:jc w:val="right"/>
              <w:rPr/>
            </w:pPr>
            <w:r>
              <w:rPr/>
              <w:t>3/1/2022</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80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71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90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175" w:type="dxa"/>
            <w:tcBorders/>
            <w:shd w:fill="EFF6EA" w:val="clear"/>
            <w:vAlign w:val="center"/>
          </w:tcPr>
          <w:p>
            <w:pPr>
              <w:pStyle w:val="TableContents"/>
              <w:spacing w:before="0" w:after="283"/>
              <w:jc w:val="right"/>
              <w:rPr/>
            </w:pPr>
            <w:r>
              <w:rPr/>
              <w:t>24,900</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67.37</w:t>
            </w:r>
          </w:p>
        </w:tc>
        <w:tc>
          <w:tcPr>
            <w:tcW w:w="120" w:type="dxa"/>
            <w:tcBorders/>
            <w:shd w:fill="EFF6EA" w:val="clear"/>
            <w:vAlign w:val="center"/>
          </w:tcPr>
          <w:p>
            <w:pPr>
              <w:pStyle w:val="TableContents"/>
              <w:spacing w:before="0" w:after="283"/>
              <w:jc w:val="right"/>
              <w:rPr/>
            </w:pPr>
            <w:r>
              <w:rPr/>
              <w:t> </w:t>
            </w:r>
          </w:p>
        </w:tc>
        <w:tc>
          <w:tcPr>
            <w:tcW w:w="995" w:type="dxa"/>
            <w:tcBorders/>
            <w:shd w:fill="EFF6EA" w:val="clear"/>
            <w:vAlign w:val="center"/>
          </w:tcPr>
          <w:p>
            <w:pPr>
              <w:pStyle w:val="TableContents"/>
              <w:spacing w:before="0" w:after="283"/>
              <w:jc w:val="right"/>
              <w:rPr/>
            </w:pPr>
            <w:r>
              <w:rPr/>
              <w:t>892,550</w:t>
            </w:r>
          </w:p>
        </w:tc>
      </w:tr>
      <w:tr>
        <w:trPr/>
        <w:tc>
          <w:tcPr>
            <w:tcW w:w="1805" w:type="dxa"/>
            <w:tcBorders/>
            <w:shd w:fill="auto" w:val="clear"/>
            <w:vAlign w:val="center"/>
          </w:tcPr>
          <w:p>
            <w:pPr>
              <w:pStyle w:val="TableContents"/>
              <w:spacing w:before="0" w:after="283"/>
              <w:jc w:val="left"/>
              <w:rPr/>
            </w:pPr>
            <w:r>
              <w:rPr/>
              <w:t> </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3/1/2022</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0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71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07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05" w:type="dxa"/>
            <w:tcBorders/>
            <w:shd w:fill="auto" w:val="clear"/>
            <w:vAlign w:val="center"/>
          </w:tcPr>
          <w:p>
            <w:pPr>
              <w:pStyle w:val="TableContents"/>
              <w:spacing w:before="0" w:after="283"/>
              <w:jc w:val="right"/>
              <w:rPr/>
            </w:pPr>
            <w:r>
              <w:rPr/>
              <w:t>14,000</w:t>
            </w:r>
          </w:p>
        </w:tc>
        <w:tc>
          <w:tcPr>
            <w:tcW w:w="120" w:type="dxa"/>
            <w:tcBorders/>
            <w:shd w:fill="auto" w:val="clear"/>
            <w:vAlign w:val="center"/>
          </w:tcPr>
          <w:p>
            <w:pPr>
              <w:pStyle w:val="TableContents"/>
              <w:spacing w:before="0" w:after="283"/>
              <w:jc w:val="right"/>
              <w:rPr/>
            </w:pPr>
            <w:r>
              <w:rPr/>
              <w:t> </w:t>
            </w:r>
          </w:p>
        </w:tc>
        <w:tc>
          <w:tcPr>
            <w:tcW w:w="11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995" w:type="dxa"/>
            <w:tcBorders/>
            <w:shd w:fill="auto" w:val="clear"/>
            <w:vAlign w:val="center"/>
          </w:tcPr>
          <w:p>
            <w:pPr>
              <w:pStyle w:val="TableContents"/>
              <w:spacing w:before="0" w:after="283"/>
              <w:jc w:val="right"/>
              <w:rPr/>
            </w:pPr>
            <w:r>
              <w:rPr/>
              <w:t>943,180</w:t>
            </w:r>
          </w:p>
        </w:tc>
      </w:tr>
      <w:tr>
        <w:trPr/>
        <w:tc>
          <w:tcPr>
            <w:tcW w:w="1805" w:type="dxa"/>
            <w:tcBorders/>
            <w:shd w:fill="auto" w:val="clear"/>
            <w:vAlign w:val="center"/>
          </w:tcPr>
          <w:p>
            <w:pPr>
              <w:pStyle w:val="TableContents"/>
              <w:spacing w:before="0" w:after="283"/>
              <w:jc w:val="left"/>
              <w:rPr/>
            </w:pPr>
            <w:r>
              <w:rPr/>
              <w:t> </w:t>
            </w:r>
          </w:p>
        </w:tc>
        <w:tc>
          <w:tcPr>
            <w:tcW w:w="120" w:type="dxa"/>
            <w:tcBorders/>
            <w:shd w:fill="auto" w:val="clear"/>
            <w:vAlign w:val="center"/>
          </w:tcPr>
          <w:p>
            <w:pPr>
              <w:pStyle w:val="TableContents"/>
              <w:spacing w:before="0" w:after="283"/>
              <w:jc w:val="right"/>
              <w:rPr/>
            </w:pPr>
            <w:r>
              <w:rPr/>
              <w:t> </w:t>
            </w:r>
          </w:p>
        </w:tc>
        <w:tc>
          <w:tcPr>
            <w:tcW w:w="1175" w:type="dxa"/>
            <w:tcBorders/>
            <w:shd w:fill="EFF6EA" w:val="clear"/>
            <w:vAlign w:val="center"/>
          </w:tcPr>
          <w:p>
            <w:pPr>
              <w:pStyle w:val="TableContents"/>
              <w:spacing w:before="0" w:after="283"/>
              <w:jc w:val="right"/>
              <w:rPr/>
            </w:pPr>
            <w:r>
              <w:rPr/>
              <w:t>3/1/2022</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80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6,300</w:t>
            </w:r>
          </w:p>
        </w:tc>
        <w:tc>
          <w:tcPr>
            <w:tcW w:w="120" w:type="dxa"/>
            <w:tcBorders/>
            <w:shd w:fill="EFF6EA" w:val="clear"/>
            <w:vAlign w:val="center"/>
          </w:tcPr>
          <w:p>
            <w:pPr>
              <w:pStyle w:val="TableContents"/>
              <w:spacing w:before="0" w:after="283"/>
              <w:jc w:val="right"/>
              <w:rPr/>
            </w:pPr>
            <w:r>
              <w:rPr/>
              <w:t> </w:t>
            </w:r>
          </w:p>
        </w:tc>
        <w:tc>
          <w:tcPr>
            <w:tcW w:w="710" w:type="dxa"/>
            <w:tcBorders/>
            <w:shd w:fill="EFF6EA" w:val="clear"/>
            <w:vAlign w:val="center"/>
          </w:tcPr>
          <w:p>
            <w:pPr>
              <w:pStyle w:val="TableContents"/>
              <w:spacing w:before="0" w:after="283"/>
              <w:jc w:val="right"/>
              <w:rPr/>
            </w:pPr>
            <w:r>
              <w:rPr/>
              <w:t>14,000</w:t>
            </w:r>
          </w:p>
        </w:tc>
        <w:tc>
          <w:tcPr>
            <w:tcW w:w="120" w:type="dxa"/>
            <w:tcBorders/>
            <w:shd w:fill="EFF6EA" w:val="clear"/>
            <w:vAlign w:val="center"/>
          </w:tcPr>
          <w:p>
            <w:pPr>
              <w:pStyle w:val="TableContents"/>
              <w:spacing w:before="0" w:after="283"/>
              <w:jc w:val="right"/>
              <w:rPr/>
            </w:pPr>
            <w:r>
              <w:rPr/>
              <w:t> </w:t>
            </w:r>
          </w:p>
        </w:tc>
        <w:tc>
          <w:tcPr>
            <w:tcW w:w="1070" w:type="dxa"/>
            <w:tcBorders/>
            <w:shd w:fill="EFF6EA" w:val="clear"/>
            <w:vAlign w:val="center"/>
          </w:tcPr>
          <w:p>
            <w:pPr>
              <w:pStyle w:val="TableContents"/>
              <w:spacing w:before="0" w:after="283"/>
              <w:jc w:val="right"/>
              <w:rPr/>
            </w:pPr>
            <w:r>
              <w:rPr/>
              <w:t>28,000</w:t>
            </w:r>
          </w:p>
        </w:tc>
        <w:tc>
          <w:tcPr>
            <w:tcW w:w="120" w:type="dxa"/>
            <w:tcBorders/>
            <w:shd w:fill="EFF6EA" w:val="clear"/>
            <w:vAlign w:val="center"/>
          </w:tcPr>
          <w:p>
            <w:pPr>
              <w:pStyle w:val="TableContents"/>
              <w:spacing w:before="0" w:after="283"/>
              <w:jc w:val="right"/>
              <w:rPr/>
            </w:pPr>
            <w:r>
              <w:rPr/>
              <w:t> </w:t>
            </w:r>
          </w:p>
        </w:tc>
        <w:tc>
          <w:tcPr>
            <w:tcW w:w="90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17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995" w:type="dxa"/>
            <w:tcBorders/>
            <w:shd w:fill="EFF6EA" w:val="clear"/>
            <w:vAlign w:val="center"/>
          </w:tcPr>
          <w:p>
            <w:pPr>
              <w:pStyle w:val="TableContents"/>
              <w:spacing w:before="0" w:after="283"/>
              <w:jc w:val="right"/>
              <w:rPr/>
            </w:pPr>
            <w:r>
              <w:rPr/>
              <w:t>1,064,588</w:t>
            </w:r>
          </w:p>
        </w:tc>
      </w:tr>
      <w:tr>
        <w:trPr/>
        <w:tc>
          <w:tcPr>
            <w:tcW w:w="1805" w:type="dxa"/>
            <w:tcBorders>
              <w:bottom w:val="single" w:sz="12" w:space="0" w:color="7CBC3E"/>
            </w:tcBorders>
            <w:shd w:fill="auto" w:val="clear"/>
            <w:tcMar>
              <w:bottom w:w="28" w:type="dxa"/>
            </w:tcMar>
            <w:vAlign w:val="center"/>
          </w:tcPr>
          <w:p>
            <w:pPr>
              <w:pStyle w:val="TableContents"/>
              <w:spacing w:before="0" w:after="283"/>
              <w:jc w:val="left"/>
              <w:rPr/>
            </w:pPr>
            <w:r>
              <w:rPr/>
              <w:t> </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175" w:type="dxa"/>
            <w:tcBorders>
              <w:bottom w:val="single" w:sz="12" w:space="0" w:color="7CBC3E"/>
            </w:tcBorders>
            <w:shd w:fill="auto" w:val="clear"/>
            <w:tcMar>
              <w:bottom w:w="28" w:type="dxa"/>
            </w:tcMar>
            <w:vAlign w:val="center"/>
          </w:tcPr>
          <w:p>
            <w:pPr>
              <w:pStyle w:val="TableContents"/>
              <w:spacing w:before="0" w:after="283"/>
              <w:jc w:val="right"/>
              <w:rPr/>
            </w:pPr>
            <w:r>
              <w:rPr/>
              <w:t>9/16/2022</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070"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800"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070"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070"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710"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070"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905" w:type="dxa"/>
            <w:tcBorders>
              <w:bottom w:val="single" w:sz="12" w:space="0" w:color="7CBC3E"/>
            </w:tcBorders>
            <w:shd w:fill="auto" w:val="clear"/>
            <w:tcMar>
              <w:bottom w:w="28" w:type="dxa"/>
            </w:tcMar>
            <w:vAlign w:val="center"/>
          </w:tcPr>
          <w:p>
            <w:pPr>
              <w:pStyle w:val="TableContents"/>
              <w:spacing w:before="0" w:after="283"/>
              <w:jc w:val="right"/>
              <w:rPr/>
            </w:pPr>
            <w:r>
              <w:rPr/>
              <w:t>20,000</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175"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875"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995" w:type="dxa"/>
            <w:tcBorders>
              <w:bottom w:val="single" w:sz="12" w:space="0" w:color="7CBC3E"/>
            </w:tcBorders>
            <w:shd w:fill="auto" w:val="clear"/>
            <w:tcMar>
              <w:bottom w:w="28" w:type="dxa"/>
            </w:tcMar>
            <w:vAlign w:val="center"/>
          </w:tcPr>
          <w:p>
            <w:pPr>
              <w:pStyle w:val="TableContents"/>
              <w:spacing w:before="0" w:after="283"/>
              <w:jc w:val="right"/>
              <w:rPr/>
            </w:pPr>
            <w:r>
              <w:rPr/>
              <w:t>920,600</w:t>
            </w:r>
          </w:p>
        </w:tc>
      </w:tr>
    </w:tbl>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283"/>
              <w:rPr/>
            </w:pPr>
            <w:r>
              <w:rPr/>
              <w:t>(1)</w:t>
            </w:r>
          </w:p>
        </w:tc>
        <w:tc>
          <w:tcPr>
            <w:tcW w:w="9971" w:type="dxa"/>
            <w:tcBorders/>
            <w:shd w:fill="auto" w:val="clear"/>
            <w:vAlign w:val="center"/>
          </w:tcPr>
          <w:p>
            <w:pPr>
              <w:pStyle w:val="TableContents"/>
              <w:spacing w:before="0" w:after="283"/>
              <w:jc w:val="both"/>
              <w:rPr/>
            </w:pPr>
            <w:r>
              <w:rPr/>
              <w:t>The amounts in these columns represent the threshold, target and maximum amount of each named executive officer’s cash payments under our 2022 annual incentive program as established by the Board and described in “Compensation Discussion and Analysis” above. Actual payments made for fiscal 2022 are provided in the Summary Compensation Table.</w:t>
            </w:r>
          </w:p>
        </w:tc>
      </w:tr>
      <w:tr>
        <w:trPr/>
        <w:tc>
          <w:tcPr>
            <w:tcW w:w="234" w:type="dxa"/>
            <w:tcBorders/>
            <w:shd w:fill="auto" w:val="clear"/>
            <w:vAlign w:val="center"/>
          </w:tcPr>
          <w:p>
            <w:pPr>
              <w:pStyle w:val="TableContents"/>
              <w:spacing w:before="0" w:after="283"/>
              <w:rPr/>
            </w:pPr>
            <w:r>
              <w:rPr/>
              <w:t>(2)</w:t>
            </w:r>
          </w:p>
        </w:tc>
        <w:tc>
          <w:tcPr>
            <w:tcW w:w="9971" w:type="dxa"/>
            <w:tcBorders/>
            <w:shd w:fill="auto" w:val="clear"/>
            <w:vAlign w:val="center"/>
          </w:tcPr>
          <w:p>
            <w:pPr>
              <w:pStyle w:val="TableContents"/>
              <w:spacing w:before="0" w:after="283"/>
              <w:jc w:val="both"/>
              <w:rPr/>
            </w:pPr>
            <w:r>
              <w:rPr/>
              <w:t>The amounts in these columns represent the threshold, target and maximum level of achievement for the 2022 PSUs granted under our 2014 Incentive Plan. 80% of the PSU awards will vest upon achievement of the revenue based-targets during the period beginning January 1, 2022 and ending December 31, 2023, with all of the earned revenue-based PSUs vesting on the later of (i) the date in which our Compensation Committee certifies such achievement and (ii) March 1, 2024. 20% of the PSU awards will vest upon achievement of relative TSR performance during the period beginning January 1, 2022 and ending December 31, 2024, with all of the earned relative TSR-based PSUs vesting on the later of (A) the date in which our Compensation Committee certifies such achievement and (B) March 1, 2025. With respect to the revenue portion of the PSUs, 50% of such portion of the PSUs would be earned upon achievement of the threshold level, 100% of such portion of the PSUs would be earned upon achievement of the target level and 200% of such portion of the PSUs subject to the award would be earned upon achievement of the maximum level. With respect to the TSR portion of the PSUs, 25% of such portion of the PSUs would be earned upon achievement of the threshold level, 100% of such portion of the PSUs would be earned upon achievement of the target level and 200% of such portion of the PSUs subject to the award would be earned upon achievement of the maximum level.</w:t>
            </w:r>
          </w:p>
        </w:tc>
      </w:tr>
      <w:tr>
        <w:trPr/>
        <w:tc>
          <w:tcPr>
            <w:tcW w:w="234" w:type="dxa"/>
            <w:tcBorders/>
            <w:shd w:fill="auto" w:val="clear"/>
            <w:vAlign w:val="center"/>
          </w:tcPr>
          <w:p>
            <w:pPr>
              <w:pStyle w:val="TableContents"/>
              <w:spacing w:before="0" w:after="283"/>
              <w:rPr/>
            </w:pPr>
            <w:r>
              <w:rPr/>
              <w:t>(3)</w:t>
            </w:r>
          </w:p>
        </w:tc>
        <w:tc>
          <w:tcPr>
            <w:tcW w:w="9971" w:type="dxa"/>
            <w:tcBorders/>
            <w:shd w:fill="auto" w:val="clear"/>
            <w:vAlign w:val="center"/>
          </w:tcPr>
          <w:p>
            <w:pPr>
              <w:pStyle w:val="TableContents"/>
              <w:spacing w:before="0" w:after="283"/>
              <w:jc w:val="both"/>
              <w:rPr/>
            </w:pPr>
            <w:r>
              <w:rPr/>
              <w:t>The amount represents the RSUs granted under our 2014 Incentive Plan during 2022.</w:t>
            </w:r>
          </w:p>
        </w:tc>
      </w:tr>
      <w:tr>
        <w:trPr/>
        <w:tc>
          <w:tcPr>
            <w:tcW w:w="234" w:type="dxa"/>
            <w:tcBorders/>
            <w:shd w:fill="auto" w:val="clear"/>
            <w:vAlign w:val="center"/>
          </w:tcPr>
          <w:p>
            <w:pPr>
              <w:pStyle w:val="TableContents"/>
              <w:spacing w:before="0" w:after="283"/>
              <w:rPr/>
            </w:pPr>
            <w:r>
              <w:rPr/>
              <w:t>(4)</w:t>
            </w:r>
          </w:p>
        </w:tc>
        <w:tc>
          <w:tcPr>
            <w:tcW w:w="9971" w:type="dxa"/>
            <w:tcBorders/>
            <w:shd w:fill="auto" w:val="clear"/>
            <w:vAlign w:val="center"/>
          </w:tcPr>
          <w:p>
            <w:pPr>
              <w:pStyle w:val="TableContents"/>
              <w:spacing w:before="0" w:after="283"/>
              <w:jc w:val="both"/>
              <w:rPr/>
            </w:pPr>
            <w:r>
              <w:rPr/>
              <w:t>This column reflects the aggregate grant date fair value of equity awards granted in 2022 as computed in accordance with ASC Topic 718, not including any estimates of forfeitures. The assumptions used in calculating the grant date fair value of the stock and option awards reported in this column are set forth in Note 12 to our financial statements included in our Annual Report for fiscal 2022.</w:t>
            </w:r>
          </w:p>
        </w:tc>
      </w:tr>
    </w:tbl>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61</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jc w:val="both"/>
        <w:rPr>
          <w:rFonts w:ascii="Arial;Helvetica;Sans-Serif" w:hAnsi="Arial;Helvetica;Sans-Serif"/>
          <w:b/>
          <w:i w:val="false"/>
          <w:caps w:val="false"/>
          <w:smallCaps w:val="false"/>
          <w:sz w:val="28"/>
        </w:rPr>
      </w:pPr>
      <w:bookmarkStart w:id="105" w:name="lrarea097"/>
      <w:bookmarkStart w:id="106" w:name="lrareb007"/>
      <w:bookmarkEnd w:id="105"/>
      <w:bookmarkEnd w:id="106"/>
      <w:r>
        <w:rPr>
          <w:rFonts w:ascii="Arial;Helvetica;Sans-Serif" w:hAnsi="Arial;Helvetica;Sans-Serif"/>
          <w:b/>
          <w:i w:val="false"/>
          <w:caps w:val="false"/>
          <w:smallCaps w:val="false"/>
          <w:sz w:val="28"/>
        </w:rPr>
        <w:t>Outstanding Equity Awards at December 31, 2022</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information concerning the outstanding equity awards held by each of the named executive officers as of December 31, 2022.</w:t>
      </w:r>
    </w:p>
    <w:p>
      <w:pPr>
        <w:pStyle w:val="TextBody"/>
        <w:jc w:val="both"/>
        <w:rPr>
          <w:caps w:val="false"/>
          <w:smallCaps w:val="false"/>
        </w:rPr>
      </w:pPr>
      <w:r>
        <w:rPr>
          <w:caps w:val="false"/>
          <w:smallCaps w:val="false"/>
        </w:rPr>
        <w:t> </w:t>
      </w:r>
    </w:p>
    <w:tbl>
      <w:tblPr>
        <w:tblW w:w="12170" w:type="dxa"/>
        <w:jc w:val="left"/>
        <w:tblInd w:w="0" w:type="dxa"/>
        <w:tblCellMar>
          <w:top w:w="0" w:type="dxa"/>
          <w:left w:w="0" w:type="dxa"/>
          <w:bottom w:w="0" w:type="dxa"/>
          <w:right w:w="0" w:type="dxa"/>
        </w:tblCellMar>
      </w:tblPr>
      <w:tblGrid>
        <w:gridCol w:w="1805"/>
        <w:gridCol w:w="120"/>
        <w:gridCol w:w="635"/>
        <w:gridCol w:w="120"/>
        <w:gridCol w:w="1265"/>
        <w:gridCol w:w="120"/>
        <w:gridCol w:w="1445"/>
        <w:gridCol w:w="120"/>
        <w:gridCol w:w="875"/>
        <w:gridCol w:w="120"/>
        <w:gridCol w:w="1115"/>
        <w:gridCol w:w="120"/>
        <w:gridCol w:w="875"/>
        <w:gridCol w:w="120"/>
        <w:gridCol w:w="980"/>
        <w:gridCol w:w="120"/>
        <w:gridCol w:w="1040"/>
        <w:gridCol w:w="120"/>
        <w:gridCol w:w="1055"/>
      </w:tblGrid>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jc w:val="right"/>
              <w:rPr/>
            </w:pPr>
            <w:r>
              <w:rPr/>
              <w:t> </w:t>
            </w:r>
          </w:p>
        </w:tc>
        <w:tc>
          <w:tcPr>
            <w:tcW w:w="5060" w:type="dxa"/>
            <w:gridSpan w:val="7"/>
            <w:tcBorders>
              <w:bottom w:val="single" w:sz="12" w:space="0" w:color="7CBC3E"/>
            </w:tcBorders>
            <w:shd w:fill="auto" w:val="clear"/>
            <w:tcMar>
              <w:bottom w:w="28" w:type="dxa"/>
            </w:tcMar>
            <w:vAlign w:val="center"/>
          </w:tcPr>
          <w:p>
            <w:pPr>
              <w:pStyle w:val="TableContents"/>
              <w:spacing w:before="0" w:after="283"/>
              <w:jc w:val="center"/>
              <w:rPr>
                <w:b/>
              </w:rPr>
            </w:pPr>
            <w:r>
              <w:rPr>
                <w:b/>
              </w:rPr>
              <w:t>Option Awards</w:t>
            </w:r>
            <w:r>
              <w:rPr>
                <w:b/>
                <w:position w:val="8"/>
                <w:sz w:val="19"/>
              </w:rPr>
              <w:t>(1)</w:t>
            </w:r>
          </w:p>
        </w:tc>
        <w:tc>
          <w:tcPr>
            <w:tcW w:w="120" w:type="dxa"/>
            <w:tcBorders/>
            <w:shd w:fill="auto" w:val="clear"/>
            <w:vAlign w:val="center"/>
          </w:tcPr>
          <w:p>
            <w:pPr>
              <w:pStyle w:val="TableContents"/>
              <w:spacing w:before="0" w:after="283"/>
              <w:jc w:val="right"/>
              <w:rPr/>
            </w:pPr>
            <w:r>
              <w:rPr/>
              <w:t> </w:t>
            </w:r>
          </w:p>
        </w:tc>
        <w:tc>
          <w:tcPr>
            <w:tcW w:w="4310" w:type="dxa"/>
            <w:gridSpan w:val="7"/>
            <w:tcBorders>
              <w:bottom w:val="single" w:sz="12" w:space="0" w:color="7CBC3E"/>
            </w:tcBorders>
            <w:shd w:fill="auto" w:val="clear"/>
            <w:tcMar>
              <w:bottom w:w="28" w:type="dxa"/>
            </w:tcMar>
            <w:vAlign w:val="center"/>
          </w:tcPr>
          <w:p>
            <w:pPr>
              <w:pStyle w:val="TableContents"/>
              <w:spacing w:before="0" w:after="283"/>
              <w:jc w:val="center"/>
              <w:rPr>
                <w:b/>
              </w:rPr>
            </w:pPr>
            <w:r>
              <w:rPr>
                <w:b/>
              </w:rPr>
              <w:t>Stock Awards</w:t>
            </w:r>
          </w:p>
        </w:tc>
      </w:tr>
      <w:tr>
        <w:trPr/>
        <w:tc>
          <w:tcPr>
            <w:tcW w:w="1805" w:type="dxa"/>
            <w:tcBorders>
              <w:bottom w:val="single" w:sz="12" w:space="0" w:color="7CBC3E"/>
            </w:tcBorders>
            <w:shd w:fill="FFFFFF" w:val="clear"/>
            <w:tcMar>
              <w:bottom w:w="28" w:type="dxa"/>
            </w:tcMar>
            <w:vAlign w:val="center"/>
          </w:tcPr>
          <w:p>
            <w:pPr>
              <w:pStyle w:val="TableContents"/>
              <w:spacing w:before="0" w:after="283"/>
              <w:jc w:val="left"/>
              <w:rPr>
                <w:b/>
              </w:rPr>
            </w:pPr>
            <w:r>
              <w:rPr>
                <w:b/>
              </w:rPr>
              <w:t>Name</w:t>
            </w:r>
          </w:p>
        </w:tc>
        <w:tc>
          <w:tcPr>
            <w:tcW w:w="120" w:type="dxa"/>
            <w:tcBorders>
              <w:bottom w:val="single" w:sz="12" w:space="0" w:color="7CBC3E"/>
            </w:tcBorders>
            <w:shd w:fill="FFFFFF" w:val="clear"/>
            <w:tcMar>
              <w:bottom w:w="28" w:type="dxa"/>
            </w:tcMar>
            <w:vAlign w:val="center"/>
          </w:tcPr>
          <w:p>
            <w:pPr>
              <w:pStyle w:val="TableContents"/>
              <w:spacing w:before="0" w:after="283"/>
              <w:jc w:val="right"/>
              <w:rPr/>
            </w:pPr>
            <w:r>
              <w:rPr/>
              <w:t>  </w:t>
            </w:r>
          </w:p>
        </w:tc>
        <w:tc>
          <w:tcPr>
            <w:tcW w:w="635" w:type="dxa"/>
            <w:tcBorders>
              <w:bottom w:val="single" w:sz="12" w:space="0" w:color="7CBC3E"/>
            </w:tcBorders>
            <w:shd w:fill="auto" w:val="clear"/>
            <w:tcMar>
              <w:bottom w:w="28" w:type="dxa"/>
            </w:tcMar>
            <w:vAlign w:val="center"/>
          </w:tcPr>
          <w:p>
            <w:pPr>
              <w:pStyle w:val="TableContents"/>
              <w:spacing w:before="0" w:after="283"/>
              <w:jc w:val="right"/>
              <w:rPr>
                <w:b/>
              </w:rPr>
            </w:pPr>
            <w:r>
              <w:rPr>
                <w:b/>
              </w:rPr>
              <w:t>Grant Date</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265" w:type="dxa"/>
            <w:tcBorders>
              <w:bottom w:val="single" w:sz="12" w:space="0" w:color="7CBC3E"/>
            </w:tcBorders>
            <w:shd w:fill="auto" w:val="clear"/>
            <w:tcMar>
              <w:bottom w:w="28" w:type="dxa"/>
            </w:tcMar>
            <w:vAlign w:val="center"/>
          </w:tcPr>
          <w:p>
            <w:pPr>
              <w:pStyle w:val="TableContents"/>
              <w:spacing w:before="0" w:after="283"/>
              <w:jc w:val="right"/>
              <w:rPr>
                <w:b/>
              </w:rPr>
            </w:pPr>
            <w:r>
              <w:rPr>
                <w:b/>
              </w:rPr>
              <w:t>Number of</w:t>
              <w:br/>
              <w:t>Securities</w:t>
              <w:br/>
              <w:t>Underlying</w:t>
              <w:br/>
              <w:t>Unexercised</w:t>
              <w:br/>
              <w:t>Options (#)</w:t>
              <w:br/>
              <w:t>Exercisable</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445" w:type="dxa"/>
            <w:tcBorders>
              <w:bottom w:val="single" w:sz="12" w:space="0" w:color="7CBC3E"/>
            </w:tcBorders>
            <w:shd w:fill="auto" w:val="clear"/>
            <w:tcMar>
              <w:bottom w:w="28" w:type="dxa"/>
            </w:tcMar>
            <w:vAlign w:val="center"/>
          </w:tcPr>
          <w:p>
            <w:pPr>
              <w:pStyle w:val="TableContents"/>
              <w:spacing w:before="0" w:after="283"/>
              <w:jc w:val="right"/>
              <w:rPr>
                <w:b/>
              </w:rPr>
            </w:pPr>
            <w:r>
              <w:rPr>
                <w:b/>
              </w:rPr>
              <w:t>Number of</w:t>
              <w:br/>
              <w:t>Securities</w:t>
              <w:br/>
              <w:t>Underlying</w:t>
              <w:br/>
              <w:t>Unexercised</w:t>
              <w:br/>
              <w:t>Options (#)</w:t>
              <w:br/>
              <w:t>Unexercisable</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875" w:type="dxa"/>
            <w:tcBorders>
              <w:bottom w:val="single" w:sz="12" w:space="0" w:color="7CBC3E"/>
            </w:tcBorders>
            <w:shd w:fill="auto" w:val="clear"/>
            <w:tcMar>
              <w:bottom w:w="28" w:type="dxa"/>
            </w:tcMar>
            <w:vAlign w:val="center"/>
          </w:tcPr>
          <w:p>
            <w:pPr>
              <w:pStyle w:val="TableContents"/>
              <w:spacing w:before="0" w:after="283"/>
              <w:jc w:val="right"/>
              <w:rPr>
                <w:b/>
              </w:rPr>
            </w:pPr>
            <w:r>
              <w:rPr>
                <w:b/>
              </w:rPr>
              <w:t>Option</w:t>
              <w:br/>
              <w:t>Exercise</w:t>
              <w:br/>
              <w:t>Price</w:t>
              <w:b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115" w:type="dxa"/>
            <w:tcBorders>
              <w:bottom w:val="single" w:sz="12" w:space="0" w:color="7CBC3E"/>
            </w:tcBorders>
            <w:shd w:fill="auto" w:val="clear"/>
            <w:tcMar>
              <w:bottom w:w="28" w:type="dxa"/>
            </w:tcMar>
            <w:vAlign w:val="center"/>
          </w:tcPr>
          <w:p>
            <w:pPr>
              <w:pStyle w:val="TableContents"/>
              <w:spacing w:before="0" w:after="283"/>
              <w:jc w:val="right"/>
              <w:rPr>
                <w:b/>
              </w:rPr>
            </w:pPr>
            <w:r>
              <w:rPr>
                <w:b/>
              </w:rPr>
              <w:t>Option</w:t>
              <w:br/>
              <w:t>Expiration</w:t>
              <w:br/>
              <w:t>Date</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875" w:type="dxa"/>
            <w:tcBorders>
              <w:bottom w:val="single" w:sz="12" w:space="0" w:color="7CBC3E"/>
            </w:tcBorders>
            <w:shd w:fill="auto" w:val="clear"/>
            <w:tcMar>
              <w:bottom w:w="28" w:type="dxa"/>
            </w:tcMar>
            <w:vAlign w:val="center"/>
          </w:tcPr>
          <w:p>
            <w:pPr>
              <w:pStyle w:val="TableContents"/>
              <w:spacing w:before="0" w:after="283"/>
              <w:jc w:val="right"/>
              <w:rPr>
                <w:b/>
              </w:rPr>
            </w:pPr>
            <w:r>
              <w:rPr>
                <w:b/>
              </w:rPr>
              <w:t>Number of</w:t>
              <w:br/>
              <w:t>Shares or</w:t>
              <w:br/>
              <w:t>Units of Stock</w:t>
              <w:br/>
              <w:t>That Have</w:t>
              <w:br/>
              <w:t>Not Vested</w:t>
              <w:br/>
              <w:t>(#)</w:t>
            </w:r>
            <w:r>
              <w:rPr>
                <w:b/>
                <w:position w:val="8"/>
                <w:sz w:val="19"/>
              </w:rPr>
              <w:t>(2)</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980" w:type="dxa"/>
            <w:tcBorders>
              <w:bottom w:val="single" w:sz="12" w:space="0" w:color="7CBC3E"/>
            </w:tcBorders>
            <w:shd w:fill="auto" w:val="clear"/>
            <w:tcMar>
              <w:bottom w:w="28" w:type="dxa"/>
            </w:tcMar>
            <w:vAlign w:val="center"/>
          </w:tcPr>
          <w:p>
            <w:pPr>
              <w:pStyle w:val="TableContents"/>
              <w:spacing w:before="0" w:after="283"/>
              <w:jc w:val="right"/>
              <w:rPr>
                <w:b/>
              </w:rPr>
            </w:pPr>
            <w:r>
              <w:rPr>
                <w:b/>
              </w:rPr>
              <w:t>Market</w:t>
              <w:br/>
              <w:t>Value of</w:t>
              <w:br/>
              <w:t>Shares or</w:t>
              <w:br/>
              <w:t>Units of</w:t>
              <w:br/>
              <w:t>Stock That</w:t>
              <w:br/>
              <w:t>Have Not</w:t>
              <w:br/>
              <w:t>Vested</w:t>
              <w:br/>
              <w:t>($)</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040" w:type="dxa"/>
            <w:tcBorders>
              <w:bottom w:val="single" w:sz="12" w:space="0" w:color="7CBC3E"/>
            </w:tcBorders>
            <w:shd w:fill="auto" w:val="clear"/>
            <w:tcMar>
              <w:bottom w:w="28" w:type="dxa"/>
            </w:tcMar>
            <w:vAlign w:val="center"/>
          </w:tcPr>
          <w:p>
            <w:pPr>
              <w:pStyle w:val="TableContents"/>
              <w:spacing w:before="0" w:after="283"/>
              <w:jc w:val="right"/>
              <w:rPr>
                <w:b/>
              </w:rPr>
            </w:pPr>
            <w:r>
              <w:rPr>
                <w:b/>
              </w:rPr>
              <w:t>Equity Incentive</w:t>
              <w:br/>
              <w:t>Plan Awards:</w:t>
              <w:br/>
              <w:t>Number of</w:t>
              <w:br/>
              <w:t>Unearned Shares,</w:t>
              <w:br/>
              <w:t>Units or Other</w:t>
              <w:br/>
              <w:t>Rights That Have</w:t>
              <w:br/>
              <w:t>Not Vested</w:t>
              <w:br/>
              <w:t>(#)</w:t>
            </w:r>
            <w:r>
              <w:rPr>
                <w:b/>
                <w:position w:val="8"/>
                <w:sz w:val="19"/>
              </w:rPr>
              <w:t>(3)</w:t>
            </w:r>
          </w:p>
        </w:tc>
        <w:tc>
          <w:tcPr>
            <w:tcW w:w="12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055" w:type="dxa"/>
            <w:tcBorders>
              <w:bottom w:val="single" w:sz="12" w:space="0" w:color="7CBC3E"/>
            </w:tcBorders>
            <w:shd w:fill="auto" w:val="clear"/>
            <w:tcMar>
              <w:bottom w:w="28" w:type="dxa"/>
            </w:tcMar>
            <w:vAlign w:val="center"/>
          </w:tcPr>
          <w:p>
            <w:pPr>
              <w:pStyle w:val="TableContents"/>
              <w:spacing w:before="0" w:after="283"/>
              <w:jc w:val="right"/>
              <w:rPr>
                <w:b/>
              </w:rPr>
            </w:pPr>
            <w:r>
              <w:rPr>
                <w:b/>
              </w:rPr>
              <w:t>Equity Incentive Plan</w:t>
              <w:br/>
              <w:t>Awards: Market</w:t>
              <w:br/>
              <w:t>or Payout Value of</w:t>
              <w:br/>
              <w:t>Unearned Shares,</w:t>
              <w:br/>
              <w:t>Units or Other Rights</w:t>
              <w:br/>
              <w:t>That Have Not</w:t>
              <w:br/>
              <w:t>Vested</w:t>
              <w:br/>
              <w:t>($)</w:t>
            </w:r>
          </w:p>
        </w:tc>
      </w:tr>
      <w:tr>
        <w:trPr/>
        <w:tc>
          <w:tcPr>
            <w:tcW w:w="1805" w:type="dxa"/>
            <w:vMerge w:val="restart"/>
            <w:tcBorders/>
            <w:shd w:fill="FFFFFF" w:val="clear"/>
            <w:vAlign w:val="center"/>
          </w:tcPr>
          <w:p>
            <w:pPr>
              <w:pStyle w:val="TableContents"/>
              <w:spacing w:before="0" w:after="283"/>
              <w:jc w:val="left"/>
              <w:rPr>
                <w:b/>
              </w:rPr>
            </w:pPr>
            <w:r>
              <w:rPr>
                <w:b/>
              </w:rPr>
              <w:t>Emil D. Kakkis,</w:t>
              <w:br/>
              <w:t>M.D., Ph.D.</w:t>
            </w:r>
          </w:p>
        </w:tc>
        <w:tc>
          <w:tcPr>
            <w:tcW w:w="120" w:type="dxa"/>
            <w:tcBorders/>
            <w:shd w:fill="FFFFFF" w:val="clear"/>
            <w:vAlign w:val="center"/>
          </w:tcPr>
          <w:p>
            <w:pPr>
              <w:pStyle w:val="TableContents"/>
              <w:spacing w:before="0" w:after="283"/>
              <w:jc w:val="right"/>
              <w:rPr/>
            </w:pPr>
            <w:r>
              <w:rPr/>
              <w:t> </w:t>
            </w:r>
          </w:p>
        </w:tc>
        <w:tc>
          <w:tcPr>
            <w:tcW w:w="635" w:type="dxa"/>
            <w:tcBorders/>
            <w:shd w:fill="auto" w:val="clear"/>
            <w:vAlign w:val="center"/>
          </w:tcPr>
          <w:p>
            <w:pPr>
              <w:pStyle w:val="TableContents"/>
              <w:spacing w:before="0" w:after="283"/>
              <w:jc w:val="right"/>
              <w:rPr/>
            </w:pPr>
            <w:r>
              <w:rPr/>
              <w:t>3/1/2022</w:t>
            </w:r>
          </w:p>
        </w:tc>
        <w:tc>
          <w:tcPr>
            <w:tcW w:w="120" w:type="dxa"/>
            <w:tcBorders/>
            <w:shd w:fill="auto" w:val="clear"/>
            <w:vAlign w:val="center"/>
          </w:tcPr>
          <w:p>
            <w:pPr>
              <w:pStyle w:val="TableContents"/>
              <w:spacing w:before="0" w:after="283"/>
              <w:jc w:val="right"/>
              <w:rPr/>
            </w:pPr>
            <w:r>
              <w:rPr/>
              <w:t> </w:t>
            </w:r>
          </w:p>
        </w:tc>
        <w:tc>
          <w:tcPr>
            <w:tcW w:w="1265"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jc w:val="right"/>
              <w:rPr/>
            </w:pPr>
            <w:r>
              <w:rPr/>
              <w:t> </w:t>
            </w:r>
          </w:p>
        </w:tc>
        <w:tc>
          <w:tcPr>
            <w:tcW w:w="1445" w:type="dxa"/>
            <w:tcBorders/>
            <w:shd w:fill="auto" w:val="clear"/>
            <w:vAlign w:val="center"/>
          </w:tcPr>
          <w:p>
            <w:pPr>
              <w:pStyle w:val="TableContents"/>
              <w:spacing w:before="0" w:after="283"/>
              <w:jc w:val="right"/>
              <w:rPr/>
            </w:pPr>
            <w:r>
              <w:rPr/>
              <w:t>92,360</w:t>
            </w:r>
          </w:p>
        </w:tc>
        <w:tc>
          <w:tcPr>
            <w:tcW w:w="12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pPr>
            <w:r>
              <w:rPr/>
              <w:t>67.37</w:t>
            </w:r>
          </w:p>
        </w:tc>
        <w:tc>
          <w:tcPr>
            <w:tcW w:w="120" w:type="dxa"/>
            <w:tcBorders/>
            <w:shd w:fill="auto" w:val="clear"/>
            <w:vAlign w:val="center"/>
          </w:tcPr>
          <w:p>
            <w:pPr>
              <w:pStyle w:val="TableContents"/>
              <w:spacing w:before="0" w:after="283"/>
              <w:jc w:val="right"/>
              <w:rPr/>
            </w:pPr>
            <w:r>
              <w:rPr/>
              <w:t> </w:t>
            </w:r>
          </w:p>
        </w:tc>
        <w:tc>
          <w:tcPr>
            <w:tcW w:w="1115" w:type="dxa"/>
            <w:tcBorders/>
            <w:shd w:fill="auto" w:val="clear"/>
            <w:vAlign w:val="center"/>
          </w:tcPr>
          <w:p>
            <w:pPr>
              <w:pStyle w:val="TableContents"/>
              <w:spacing w:before="0" w:after="283"/>
              <w:jc w:val="right"/>
              <w:rPr/>
            </w:pPr>
            <w:r>
              <w:rPr/>
              <w:t>3/1/2032</w:t>
            </w:r>
          </w:p>
        </w:tc>
        <w:tc>
          <w:tcPr>
            <w:tcW w:w="120" w:type="dxa"/>
            <w:tcBorders/>
            <w:shd w:fill="auto" w:val="clear"/>
            <w:vAlign w:val="center"/>
          </w:tcPr>
          <w:p>
            <w:pPr>
              <w:pStyle w:val="TableContents"/>
              <w:spacing w:before="0" w:after="283"/>
              <w:jc w:val="right"/>
              <w:rPr/>
            </w:pPr>
            <w:r>
              <w:rPr/>
              <w:t> </w:t>
            </w:r>
          </w:p>
        </w:tc>
        <w:tc>
          <w:tcPr>
            <w:tcW w:w="875" w:type="dxa"/>
            <w:tcBorders/>
            <w:shd w:fill="auto" w:val="clear"/>
            <w:vAlign w:val="center"/>
          </w:tcPr>
          <w:p>
            <w:pPr>
              <w:pStyle w:val="TableContents"/>
              <w:spacing w:before="0" w:after="283"/>
              <w:jc w:val="right"/>
              <w:rPr/>
            </w:pPr>
            <w:r>
              <w:rPr/>
              <w:t>52,041</w:t>
            </w:r>
          </w:p>
        </w:tc>
        <w:tc>
          <w:tcPr>
            <w:tcW w:w="120" w:type="dxa"/>
            <w:tcBorders/>
            <w:shd w:fill="auto" w:val="clear"/>
            <w:vAlign w:val="center"/>
          </w:tcPr>
          <w:p>
            <w:pPr>
              <w:pStyle w:val="TableContents"/>
              <w:spacing w:before="0" w:after="283"/>
              <w:jc w:val="right"/>
              <w:rPr/>
            </w:pPr>
            <w:r>
              <w:rPr/>
              <w:t> </w:t>
            </w:r>
          </w:p>
        </w:tc>
        <w:tc>
          <w:tcPr>
            <w:tcW w:w="980" w:type="dxa"/>
            <w:tcBorders/>
            <w:shd w:fill="auto" w:val="clear"/>
            <w:vAlign w:val="center"/>
          </w:tcPr>
          <w:p>
            <w:pPr>
              <w:pStyle w:val="TableContents"/>
              <w:spacing w:before="0" w:after="283"/>
              <w:jc w:val="right"/>
              <w:rPr/>
            </w:pPr>
            <w:r>
              <w:rPr/>
              <w:t>2,411,060</w:t>
            </w:r>
          </w:p>
        </w:tc>
        <w:tc>
          <w:tcPr>
            <w:tcW w:w="120" w:type="dxa"/>
            <w:tcBorders/>
            <w:shd w:fill="auto" w:val="clear"/>
            <w:vAlign w:val="center"/>
          </w:tcPr>
          <w:p>
            <w:pPr>
              <w:pStyle w:val="TableContents"/>
              <w:spacing w:before="0" w:after="283"/>
              <w:jc w:val="right"/>
              <w:rPr/>
            </w:pPr>
            <w:r>
              <w:rPr/>
              <w:t> </w:t>
            </w:r>
          </w:p>
        </w:tc>
        <w:tc>
          <w:tcPr>
            <w:tcW w:w="1040" w:type="dxa"/>
            <w:tcBorders/>
            <w:shd w:fill="auto" w:val="clear"/>
            <w:vAlign w:val="center"/>
          </w:tcPr>
          <w:p>
            <w:pPr>
              <w:pStyle w:val="TableContents"/>
              <w:spacing w:before="0" w:after="283"/>
              <w:jc w:val="right"/>
              <w:rPr/>
            </w:pPr>
            <w:r>
              <w:rPr/>
              <w:t>52,041</w:t>
            </w:r>
          </w:p>
        </w:tc>
        <w:tc>
          <w:tcPr>
            <w:tcW w:w="120" w:type="dxa"/>
            <w:tcBorders/>
            <w:shd w:fill="auto" w:val="clear"/>
            <w:vAlign w:val="center"/>
          </w:tcPr>
          <w:p>
            <w:pPr>
              <w:pStyle w:val="TableContents"/>
              <w:spacing w:before="0" w:after="283"/>
              <w:jc w:val="right"/>
              <w:rPr/>
            </w:pPr>
            <w:r>
              <w:rPr/>
              <w:t> </w:t>
            </w:r>
          </w:p>
        </w:tc>
        <w:tc>
          <w:tcPr>
            <w:tcW w:w="1055" w:type="dxa"/>
            <w:tcBorders/>
            <w:shd w:fill="auto" w:val="clear"/>
            <w:vAlign w:val="center"/>
          </w:tcPr>
          <w:p>
            <w:pPr>
              <w:pStyle w:val="TableContents"/>
              <w:spacing w:before="0" w:after="283"/>
              <w:jc w:val="right"/>
              <w:rPr/>
            </w:pPr>
            <w:r>
              <w:rPr/>
              <w:t>2,411,060</w:t>
            </w:r>
          </w:p>
        </w:tc>
      </w:tr>
      <w:tr>
        <w:trPr/>
        <w:tc>
          <w:tcPr>
            <w:tcW w:w="1805" w:type="dxa"/>
            <w:vMerge w:val="continue"/>
            <w:tcBorders/>
            <w:shd w:fill="FFFFFF" w:val="clear"/>
            <w:vAlign w:val="center"/>
          </w:tcPr>
          <w:p>
            <w:pPr>
              <w:pStyle w:val="Normal"/>
              <w:rPr/>
            </w:pPr>
            <w:r>
              <w:rPr/>
            </w:r>
          </w:p>
        </w:tc>
        <w:tc>
          <w:tcPr>
            <w:tcW w:w="120" w:type="dxa"/>
            <w:tcBorders/>
            <w:shd w:fill="FFFFFF" w:val="clear"/>
            <w:vAlign w:val="center"/>
          </w:tcPr>
          <w:p>
            <w:pPr>
              <w:pStyle w:val="TableContents"/>
              <w:spacing w:before="0" w:after="283"/>
              <w:jc w:val="right"/>
              <w:rPr/>
            </w:pPr>
            <w:r>
              <w:rPr/>
              <w:t> </w:t>
            </w:r>
          </w:p>
        </w:tc>
        <w:tc>
          <w:tcPr>
            <w:tcW w:w="635" w:type="dxa"/>
            <w:tcBorders/>
            <w:shd w:fill="EFF6EA" w:val="clear"/>
            <w:vAlign w:val="center"/>
          </w:tcPr>
          <w:p>
            <w:pPr>
              <w:pStyle w:val="TableContents"/>
              <w:spacing w:before="0" w:after="283"/>
              <w:jc w:val="right"/>
              <w:rPr/>
            </w:pPr>
            <w:r>
              <w:rPr/>
              <w:t>3/1/2021</w:t>
            </w:r>
          </w:p>
        </w:tc>
        <w:tc>
          <w:tcPr>
            <w:tcW w:w="120" w:type="dxa"/>
            <w:tcBorders/>
            <w:shd w:fill="EFF6EA" w:val="clear"/>
            <w:vAlign w:val="center"/>
          </w:tcPr>
          <w:p>
            <w:pPr>
              <w:pStyle w:val="TableContents"/>
              <w:spacing w:before="0" w:after="283"/>
              <w:jc w:val="right"/>
              <w:rPr/>
            </w:pPr>
            <w:r>
              <w:rPr/>
              <w:t> </w:t>
            </w:r>
          </w:p>
        </w:tc>
        <w:tc>
          <w:tcPr>
            <w:tcW w:w="1265" w:type="dxa"/>
            <w:tcBorders/>
            <w:shd w:fill="EFF6EA" w:val="clear"/>
            <w:vAlign w:val="center"/>
          </w:tcPr>
          <w:p>
            <w:pPr>
              <w:pStyle w:val="TableContents"/>
              <w:spacing w:before="0" w:after="283"/>
              <w:jc w:val="right"/>
              <w:rPr/>
            </w:pPr>
            <w:r>
              <w:rPr/>
              <w:t>15,750</w:t>
            </w:r>
          </w:p>
        </w:tc>
        <w:tc>
          <w:tcPr>
            <w:tcW w:w="120" w:type="dxa"/>
            <w:tcBorders/>
            <w:shd w:fill="EFF6EA" w:val="clear"/>
            <w:vAlign w:val="center"/>
          </w:tcPr>
          <w:p>
            <w:pPr>
              <w:pStyle w:val="TableContents"/>
              <w:spacing w:before="0" w:after="283"/>
              <w:jc w:val="right"/>
              <w:rPr/>
            </w:pPr>
            <w:r>
              <w:rPr/>
              <w:t> </w:t>
            </w:r>
          </w:p>
        </w:tc>
        <w:tc>
          <w:tcPr>
            <w:tcW w:w="1445" w:type="dxa"/>
            <w:tcBorders/>
            <w:shd w:fill="EFF6EA" w:val="clear"/>
            <w:vAlign w:val="center"/>
          </w:tcPr>
          <w:p>
            <w:pPr>
              <w:pStyle w:val="TableContents"/>
              <w:spacing w:before="0" w:after="283"/>
              <w:jc w:val="right"/>
              <w:rPr/>
            </w:pPr>
            <w:r>
              <w:rPr/>
              <w:t>20,250</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142.47</w:t>
            </w:r>
          </w:p>
        </w:tc>
        <w:tc>
          <w:tcPr>
            <w:tcW w:w="120" w:type="dxa"/>
            <w:tcBorders/>
            <w:shd w:fill="EFF6EA" w:val="clear"/>
            <w:vAlign w:val="center"/>
          </w:tcPr>
          <w:p>
            <w:pPr>
              <w:pStyle w:val="TableContents"/>
              <w:spacing w:before="0" w:after="283"/>
              <w:jc w:val="right"/>
              <w:rPr/>
            </w:pPr>
            <w:r>
              <w:rPr/>
              <w:t> </w:t>
            </w:r>
          </w:p>
        </w:tc>
        <w:tc>
          <w:tcPr>
            <w:tcW w:w="1115" w:type="dxa"/>
            <w:tcBorders/>
            <w:shd w:fill="EFF6EA" w:val="clear"/>
            <w:vAlign w:val="center"/>
          </w:tcPr>
          <w:p>
            <w:pPr>
              <w:pStyle w:val="TableContents"/>
              <w:spacing w:before="0" w:after="283"/>
              <w:jc w:val="right"/>
              <w:rPr/>
            </w:pPr>
            <w:r>
              <w:rPr/>
              <w:t>3/1/2031</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22,216</w:t>
            </w:r>
          </w:p>
        </w:tc>
        <w:tc>
          <w:tcPr>
            <w:tcW w:w="120" w:type="dxa"/>
            <w:tcBorders/>
            <w:shd w:fill="EFF6EA" w:val="clear"/>
            <w:vAlign w:val="center"/>
          </w:tcPr>
          <w:p>
            <w:pPr>
              <w:pStyle w:val="TableContents"/>
              <w:spacing w:before="0" w:after="283"/>
              <w:jc w:val="right"/>
              <w:rPr/>
            </w:pPr>
            <w:r>
              <w:rPr/>
              <w:t> </w:t>
            </w:r>
          </w:p>
        </w:tc>
        <w:tc>
          <w:tcPr>
            <w:tcW w:w="980" w:type="dxa"/>
            <w:tcBorders/>
            <w:shd w:fill="EFF6EA" w:val="clear"/>
            <w:vAlign w:val="center"/>
          </w:tcPr>
          <w:p>
            <w:pPr>
              <w:pStyle w:val="TableContents"/>
              <w:spacing w:before="0" w:after="283"/>
              <w:jc w:val="right"/>
              <w:rPr/>
            </w:pPr>
            <w:r>
              <w:rPr/>
              <w:t>1,029,267</w:t>
            </w:r>
          </w:p>
        </w:tc>
        <w:tc>
          <w:tcPr>
            <w:tcW w:w="120" w:type="dxa"/>
            <w:tcBorders/>
            <w:shd w:fill="EFF6EA" w:val="clear"/>
            <w:vAlign w:val="center"/>
          </w:tcPr>
          <w:p>
            <w:pPr>
              <w:pStyle w:val="TableContents"/>
              <w:spacing w:before="0" w:after="283"/>
              <w:jc w:val="right"/>
              <w:rPr/>
            </w:pPr>
            <w:r>
              <w:rPr/>
              <w:t> </w:t>
            </w:r>
          </w:p>
        </w:tc>
        <w:tc>
          <w:tcPr>
            <w:tcW w:w="1040" w:type="dxa"/>
            <w:tcBorders/>
            <w:shd w:fill="EFF6EA" w:val="clear"/>
            <w:vAlign w:val="center"/>
          </w:tcPr>
          <w:p>
            <w:pPr>
              <w:pStyle w:val="TableContents"/>
              <w:spacing w:before="0" w:after="283"/>
              <w:jc w:val="right"/>
              <w:rPr/>
            </w:pPr>
            <w:r>
              <w:rPr/>
              <w:t>3,600</w:t>
            </w:r>
          </w:p>
        </w:tc>
        <w:tc>
          <w:tcPr>
            <w:tcW w:w="120" w:type="dxa"/>
            <w:tcBorders/>
            <w:shd w:fill="EFF6EA" w:val="clear"/>
            <w:vAlign w:val="center"/>
          </w:tcPr>
          <w:p>
            <w:pPr>
              <w:pStyle w:val="TableContents"/>
              <w:spacing w:before="0" w:after="283"/>
              <w:jc w:val="right"/>
              <w:rPr/>
            </w:pPr>
            <w:r>
              <w:rPr/>
              <w:t> </w:t>
            </w:r>
          </w:p>
        </w:tc>
        <w:tc>
          <w:tcPr>
            <w:tcW w:w="1055" w:type="dxa"/>
            <w:tcBorders/>
            <w:shd w:fill="EFF6EA" w:val="clear"/>
            <w:vAlign w:val="center"/>
          </w:tcPr>
          <w:p>
            <w:pPr>
              <w:pStyle w:val="TableContents"/>
              <w:spacing w:before="0" w:after="283"/>
              <w:jc w:val="right"/>
              <w:rPr/>
            </w:pPr>
            <w:r>
              <w:rPr/>
              <w:t>166,788</w:t>
            </w:r>
          </w:p>
        </w:tc>
      </w:tr>
      <w:tr>
        <w:trPr/>
        <w:tc>
          <w:tcPr>
            <w:tcW w:w="1805" w:type="dxa"/>
            <w:vMerge w:val="continue"/>
            <w:tcBorders/>
            <w:shd w:fill="FFFFFF" w:val="clear"/>
            <w:vAlign w:val="center"/>
          </w:tcPr>
          <w:p>
            <w:pPr>
              <w:pStyle w:val="Normal"/>
              <w:rPr/>
            </w:pPr>
            <w:r>
              <w:rPr/>
            </w:r>
          </w:p>
        </w:tc>
        <w:tc>
          <w:tcPr>
            <w:tcW w:w="120" w:type="dxa"/>
            <w:tcBorders/>
            <w:shd w:fill="FFFFFF" w:val="clear"/>
            <w:vAlign w:val="center"/>
          </w:tcPr>
          <w:p>
            <w:pPr>
              <w:pStyle w:val="TableContents"/>
              <w:spacing w:before="0" w:after="283"/>
              <w:jc w:val="right"/>
              <w:rPr/>
            </w:pPr>
            <w:r>
              <w:rPr/>
              <w:t> </w:t>
            </w:r>
          </w:p>
        </w:tc>
        <w:tc>
          <w:tcPr>
            <w:tcW w:w="635" w:type="dxa"/>
            <w:tcBorders/>
            <w:shd w:fill="FFFFFF" w:val="clear"/>
            <w:vAlign w:val="center"/>
          </w:tcPr>
          <w:p>
            <w:pPr>
              <w:pStyle w:val="TableContents"/>
              <w:spacing w:before="0" w:after="283"/>
              <w:jc w:val="right"/>
              <w:rPr/>
            </w:pPr>
            <w:r>
              <w:rPr/>
              <w:t>3/1/2020</w:t>
            </w:r>
          </w:p>
        </w:tc>
        <w:tc>
          <w:tcPr>
            <w:tcW w:w="120" w:type="dxa"/>
            <w:tcBorders/>
            <w:shd w:fill="FFFFFF" w:val="clear"/>
            <w:vAlign w:val="center"/>
          </w:tcPr>
          <w:p>
            <w:pPr>
              <w:pStyle w:val="TableContents"/>
              <w:spacing w:before="0" w:after="283"/>
              <w:jc w:val="right"/>
              <w:rPr/>
            </w:pPr>
            <w:r>
              <w:rPr/>
              <w:t> </w:t>
            </w:r>
          </w:p>
        </w:tc>
        <w:tc>
          <w:tcPr>
            <w:tcW w:w="1265" w:type="dxa"/>
            <w:tcBorders/>
            <w:shd w:fill="FFFFFF" w:val="clear"/>
            <w:vAlign w:val="center"/>
          </w:tcPr>
          <w:p>
            <w:pPr>
              <w:pStyle w:val="TableContents"/>
              <w:spacing w:before="0" w:after="283"/>
              <w:jc w:val="right"/>
              <w:rPr/>
            </w:pPr>
            <w:r>
              <w:rPr/>
              <w:t>38,569</w:t>
            </w:r>
          </w:p>
        </w:tc>
        <w:tc>
          <w:tcPr>
            <w:tcW w:w="120" w:type="dxa"/>
            <w:tcBorders/>
            <w:shd w:fill="FFFFFF" w:val="clear"/>
            <w:vAlign w:val="center"/>
          </w:tcPr>
          <w:p>
            <w:pPr>
              <w:pStyle w:val="TableContents"/>
              <w:spacing w:before="0" w:after="283"/>
              <w:jc w:val="right"/>
              <w:rPr/>
            </w:pPr>
            <w:r>
              <w:rPr/>
              <w:t> </w:t>
            </w:r>
          </w:p>
        </w:tc>
        <w:tc>
          <w:tcPr>
            <w:tcW w:w="1445" w:type="dxa"/>
            <w:tcBorders/>
            <w:shd w:fill="FFFFFF" w:val="clear"/>
            <w:vAlign w:val="center"/>
          </w:tcPr>
          <w:p>
            <w:pPr>
              <w:pStyle w:val="TableContents"/>
              <w:spacing w:before="0" w:after="283"/>
              <w:jc w:val="right"/>
              <w:rPr/>
            </w:pPr>
            <w:r>
              <w:rPr/>
              <w:t>17,531</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56.08</w:t>
            </w:r>
          </w:p>
        </w:tc>
        <w:tc>
          <w:tcPr>
            <w:tcW w:w="120" w:type="dxa"/>
            <w:tcBorders/>
            <w:shd w:fill="FFFFFF" w:val="clear"/>
            <w:vAlign w:val="center"/>
          </w:tcPr>
          <w:p>
            <w:pPr>
              <w:pStyle w:val="TableContents"/>
              <w:spacing w:before="0" w:after="283"/>
              <w:jc w:val="right"/>
              <w:rPr/>
            </w:pPr>
            <w:r>
              <w:rPr/>
              <w:t> </w:t>
            </w:r>
          </w:p>
        </w:tc>
        <w:tc>
          <w:tcPr>
            <w:tcW w:w="1115" w:type="dxa"/>
            <w:tcBorders/>
            <w:shd w:fill="FFFFFF" w:val="clear"/>
            <w:vAlign w:val="center"/>
          </w:tcPr>
          <w:p>
            <w:pPr>
              <w:pStyle w:val="TableContents"/>
              <w:spacing w:before="0" w:after="283"/>
              <w:jc w:val="right"/>
              <w:rPr/>
            </w:pPr>
            <w:r>
              <w:rPr/>
              <w:t>3/1/2030</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8,500</w:t>
            </w:r>
          </w:p>
        </w:tc>
        <w:tc>
          <w:tcPr>
            <w:tcW w:w="120" w:type="dxa"/>
            <w:tcBorders/>
            <w:shd w:fill="FFFFFF" w:val="clear"/>
            <w:vAlign w:val="center"/>
          </w:tcPr>
          <w:p>
            <w:pPr>
              <w:pStyle w:val="TableContents"/>
              <w:spacing w:before="0" w:after="283"/>
              <w:jc w:val="right"/>
              <w:rPr/>
            </w:pPr>
            <w:r>
              <w:rPr/>
              <w:t> </w:t>
            </w:r>
          </w:p>
        </w:tc>
        <w:tc>
          <w:tcPr>
            <w:tcW w:w="980" w:type="dxa"/>
            <w:tcBorders/>
            <w:shd w:fill="FFFFFF" w:val="clear"/>
            <w:vAlign w:val="center"/>
          </w:tcPr>
          <w:p>
            <w:pPr>
              <w:pStyle w:val="TableContents"/>
              <w:spacing w:before="0" w:after="283"/>
              <w:jc w:val="right"/>
              <w:rPr/>
            </w:pPr>
            <w:r>
              <w:rPr/>
              <w:t>393,805</w:t>
            </w:r>
          </w:p>
        </w:tc>
        <w:tc>
          <w:tcPr>
            <w:tcW w:w="120" w:type="dxa"/>
            <w:tcBorders/>
            <w:shd w:fill="FFFFFF" w:val="clear"/>
            <w:vAlign w:val="center"/>
          </w:tcPr>
          <w:p>
            <w:pPr>
              <w:pStyle w:val="TableContents"/>
              <w:spacing w:before="0" w:after="283"/>
              <w:jc w:val="right"/>
              <w:rPr/>
            </w:pPr>
            <w:r>
              <w:rPr/>
              <w:t> </w:t>
            </w:r>
          </w:p>
        </w:tc>
        <w:tc>
          <w:tcPr>
            <w:tcW w:w="104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55" w:type="dxa"/>
            <w:tcBorders/>
            <w:shd w:fill="FFFFFF" w:val="cle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EFF6EA" w:val="clear"/>
            <w:vAlign w:val="center"/>
          </w:tcPr>
          <w:p>
            <w:pPr>
              <w:pStyle w:val="TableContents"/>
              <w:spacing w:before="0" w:after="283"/>
              <w:jc w:val="right"/>
              <w:rPr/>
            </w:pPr>
            <w:r>
              <w:rPr/>
              <w:t>3/1/2019</w:t>
            </w:r>
          </w:p>
        </w:tc>
        <w:tc>
          <w:tcPr>
            <w:tcW w:w="120" w:type="dxa"/>
            <w:tcBorders/>
            <w:shd w:fill="EFF6EA" w:val="clear"/>
            <w:vAlign w:val="center"/>
          </w:tcPr>
          <w:p>
            <w:pPr>
              <w:pStyle w:val="TableContents"/>
              <w:spacing w:before="0" w:after="283"/>
              <w:jc w:val="right"/>
              <w:rPr/>
            </w:pPr>
            <w:r>
              <w:rPr/>
              <w:t> </w:t>
            </w:r>
          </w:p>
        </w:tc>
        <w:tc>
          <w:tcPr>
            <w:tcW w:w="1265" w:type="dxa"/>
            <w:tcBorders/>
            <w:shd w:fill="EFF6EA" w:val="clear"/>
            <w:vAlign w:val="center"/>
          </w:tcPr>
          <w:p>
            <w:pPr>
              <w:pStyle w:val="TableContents"/>
              <w:spacing w:before="0" w:after="283"/>
              <w:jc w:val="right"/>
              <w:rPr/>
            </w:pPr>
            <w:r>
              <w:rPr/>
              <w:t>61,875</w:t>
            </w:r>
          </w:p>
        </w:tc>
        <w:tc>
          <w:tcPr>
            <w:tcW w:w="120" w:type="dxa"/>
            <w:tcBorders/>
            <w:shd w:fill="EFF6EA" w:val="clear"/>
            <w:vAlign w:val="center"/>
          </w:tcPr>
          <w:p>
            <w:pPr>
              <w:pStyle w:val="TableContents"/>
              <w:spacing w:before="0" w:after="283"/>
              <w:jc w:val="right"/>
              <w:rPr/>
            </w:pPr>
            <w:r>
              <w:rPr/>
              <w:t> </w:t>
            </w:r>
          </w:p>
        </w:tc>
        <w:tc>
          <w:tcPr>
            <w:tcW w:w="1445" w:type="dxa"/>
            <w:tcBorders/>
            <w:shd w:fill="EFF6EA" w:val="clear"/>
            <w:vAlign w:val="center"/>
          </w:tcPr>
          <w:p>
            <w:pPr>
              <w:pStyle w:val="TableContents"/>
              <w:spacing w:before="0" w:after="283"/>
              <w:jc w:val="right"/>
              <w:rPr/>
            </w:pPr>
            <w:r>
              <w:rPr/>
              <w:t>4,125</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67.55</w:t>
            </w:r>
          </w:p>
        </w:tc>
        <w:tc>
          <w:tcPr>
            <w:tcW w:w="120" w:type="dxa"/>
            <w:tcBorders/>
            <w:shd w:fill="EFF6EA" w:val="clear"/>
            <w:vAlign w:val="center"/>
          </w:tcPr>
          <w:p>
            <w:pPr>
              <w:pStyle w:val="TableContents"/>
              <w:spacing w:before="0" w:after="283"/>
              <w:jc w:val="right"/>
              <w:rPr/>
            </w:pPr>
            <w:r>
              <w:rPr/>
              <w:t> </w:t>
            </w:r>
          </w:p>
        </w:tc>
        <w:tc>
          <w:tcPr>
            <w:tcW w:w="1115" w:type="dxa"/>
            <w:tcBorders/>
            <w:shd w:fill="EFF6EA" w:val="clear"/>
            <w:vAlign w:val="center"/>
          </w:tcPr>
          <w:p>
            <w:pPr>
              <w:pStyle w:val="TableContents"/>
              <w:spacing w:before="0" w:after="283"/>
              <w:jc w:val="right"/>
              <w:rPr/>
            </w:pPr>
            <w:r>
              <w:rPr/>
              <w:t>3/1/2029</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5,000</w:t>
            </w:r>
          </w:p>
        </w:tc>
        <w:tc>
          <w:tcPr>
            <w:tcW w:w="120" w:type="dxa"/>
            <w:tcBorders/>
            <w:shd w:fill="EFF6EA" w:val="clear"/>
            <w:vAlign w:val="center"/>
          </w:tcPr>
          <w:p>
            <w:pPr>
              <w:pStyle w:val="TableContents"/>
              <w:spacing w:before="0" w:after="283"/>
              <w:jc w:val="right"/>
              <w:rPr/>
            </w:pPr>
            <w:r>
              <w:rPr/>
              <w:t> </w:t>
            </w:r>
          </w:p>
        </w:tc>
        <w:tc>
          <w:tcPr>
            <w:tcW w:w="980" w:type="dxa"/>
            <w:tcBorders/>
            <w:shd w:fill="EFF6EA" w:val="clear"/>
            <w:vAlign w:val="center"/>
          </w:tcPr>
          <w:p>
            <w:pPr>
              <w:pStyle w:val="TableContents"/>
              <w:spacing w:before="0" w:after="283"/>
              <w:jc w:val="right"/>
              <w:rPr/>
            </w:pPr>
            <w:r>
              <w:rPr/>
              <w:t>231,650</w:t>
            </w:r>
          </w:p>
        </w:tc>
        <w:tc>
          <w:tcPr>
            <w:tcW w:w="120" w:type="dxa"/>
            <w:tcBorders/>
            <w:shd w:fill="EFF6EA" w:val="clear"/>
            <w:vAlign w:val="center"/>
          </w:tcPr>
          <w:p>
            <w:pPr>
              <w:pStyle w:val="TableContents"/>
              <w:spacing w:before="0" w:after="283"/>
              <w:jc w:val="right"/>
              <w:rPr/>
            </w:pPr>
            <w:r>
              <w:rPr/>
              <w:t> </w:t>
            </w:r>
          </w:p>
        </w:tc>
        <w:tc>
          <w:tcPr>
            <w:tcW w:w="104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55" w:type="dxa"/>
            <w:tcBorders/>
            <w:shd w:fill="EFF6EA" w:val="cle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FFFFFF" w:val="clear"/>
            <w:vAlign w:val="center"/>
          </w:tcPr>
          <w:p>
            <w:pPr>
              <w:pStyle w:val="TableContents"/>
              <w:spacing w:before="0" w:after="283"/>
              <w:jc w:val="right"/>
              <w:rPr/>
            </w:pPr>
            <w:r>
              <w:rPr/>
              <w:t>3/1/2018</w:t>
            </w:r>
          </w:p>
        </w:tc>
        <w:tc>
          <w:tcPr>
            <w:tcW w:w="120" w:type="dxa"/>
            <w:tcBorders/>
            <w:shd w:fill="FFFFFF" w:val="clear"/>
            <w:vAlign w:val="center"/>
          </w:tcPr>
          <w:p>
            <w:pPr>
              <w:pStyle w:val="TableContents"/>
              <w:spacing w:before="0" w:after="283"/>
              <w:jc w:val="right"/>
              <w:rPr/>
            </w:pPr>
            <w:r>
              <w:rPr/>
              <w:t> </w:t>
            </w:r>
          </w:p>
        </w:tc>
        <w:tc>
          <w:tcPr>
            <w:tcW w:w="1265" w:type="dxa"/>
            <w:tcBorders/>
            <w:shd w:fill="FFFFFF" w:val="clear"/>
            <w:vAlign w:val="center"/>
          </w:tcPr>
          <w:p>
            <w:pPr>
              <w:pStyle w:val="TableContents"/>
              <w:spacing w:before="0" w:after="283"/>
              <w:jc w:val="right"/>
              <w:rPr/>
            </w:pPr>
            <w:r>
              <w:rPr/>
              <w:t>94,500</w:t>
            </w:r>
          </w:p>
        </w:tc>
        <w:tc>
          <w:tcPr>
            <w:tcW w:w="120" w:type="dxa"/>
            <w:tcBorders/>
            <w:shd w:fill="FFFFFF" w:val="clear"/>
            <w:vAlign w:val="center"/>
          </w:tcPr>
          <w:p>
            <w:pPr>
              <w:pStyle w:val="TableContents"/>
              <w:spacing w:before="0" w:after="283"/>
              <w:jc w:val="right"/>
              <w:rPr/>
            </w:pPr>
            <w:r>
              <w:rPr/>
              <w:t> </w:t>
            </w:r>
          </w:p>
        </w:tc>
        <w:tc>
          <w:tcPr>
            <w:tcW w:w="1445"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48.43</w:t>
            </w:r>
          </w:p>
        </w:tc>
        <w:tc>
          <w:tcPr>
            <w:tcW w:w="120" w:type="dxa"/>
            <w:tcBorders/>
            <w:shd w:fill="FFFFFF" w:val="clear"/>
            <w:vAlign w:val="center"/>
          </w:tcPr>
          <w:p>
            <w:pPr>
              <w:pStyle w:val="TableContents"/>
              <w:spacing w:before="0" w:after="283"/>
              <w:jc w:val="right"/>
              <w:rPr/>
            </w:pPr>
            <w:r>
              <w:rPr/>
              <w:t> </w:t>
            </w:r>
          </w:p>
        </w:tc>
        <w:tc>
          <w:tcPr>
            <w:tcW w:w="1115" w:type="dxa"/>
            <w:tcBorders/>
            <w:shd w:fill="FFFFFF" w:val="clear"/>
            <w:vAlign w:val="center"/>
          </w:tcPr>
          <w:p>
            <w:pPr>
              <w:pStyle w:val="TableContents"/>
              <w:spacing w:before="0" w:after="283"/>
              <w:jc w:val="right"/>
              <w:rPr/>
            </w:pPr>
            <w:r>
              <w:rPr/>
              <w:t>3/1/2028</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98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4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55" w:type="dxa"/>
            <w:tcBorders/>
            <w:shd w:fill="FFFFFF" w:val="cle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EFF6EA" w:val="clear"/>
            <w:vAlign w:val="center"/>
          </w:tcPr>
          <w:p>
            <w:pPr>
              <w:pStyle w:val="TableContents"/>
              <w:spacing w:before="0" w:after="283"/>
              <w:jc w:val="right"/>
              <w:rPr/>
            </w:pPr>
            <w:r>
              <w:rPr/>
              <w:t>3/1/2017</w:t>
            </w:r>
          </w:p>
        </w:tc>
        <w:tc>
          <w:tcPr>
            <w:tcW w:w="120" w:type="dxa"/>
            <w:tcBorders/>
            <w:shd w:fill="EFF6EA" w:val="clear"/>
            <w:vAlign w:val="center"/>
          </w:tcPr>
          <w:p>
            <w:pPr>
              <w:pStyle w:val="TableContents"/>
              <w:spacing w:before="0" w:after="283"/>
              <w:jc w:val="right"/>
              <w:rPr/>
            </w:pPr>
            <w:r>
              <w:rPr/>
              <w:t> </w:t>
            </w:r>
          </w:p>
        </w:tc>
        <w:tc>
          <w:tcPr>
            <w:tcW w:w="1265" w:type="dxa"/>
            <w:tcBorders/>
            <w:shd w:fill="EFF6EA" w:val="clear"/>
            <w:vAlign w:val="center"/>
          </w:tcPr>
          <w:p>
            <w:pPr>
              <w:pStyle w:val="TableContents"/>
              <w:spacing w:before="0" w:after="283"/>
              <w:jc w:val="right"/>
              <w:rPr/>
            </w:pPr>
            <w:r>
              <w:rPr/>
              <w:t>78,000</w:t>
            </w:r>
          </w:p>
        </w:tc>
        <w:tc>
          <w:tcPr>
            <w:tcW w:w="120" w:type="dxa"/>
            <w:tcBorders/>
            <w:shd w:fill="EFF6EA" w:val="clear"/>
            <w:vAlign w:val="center"/>
          </w:tcPr>
          <w:p>
            <w:pPr>
              <w:pStyle w:val="TableContents"/>
              <w:spacing w:before="0" w:after="283"/>
              <w:jc w:val="right"/>
              <w:rPr/>
            </w:pPr>
            <w:r>
              <w:rPr/>
              <w:t> </w:t>
            </w:r>
          </w:p>
        </w:tc>
        <w:tc>
          <w:tcPr>
            <w:tcW w:w="144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88.80</w:t>
            </w:r>
          </w:p>
        </w:tc>
        <w:tc>
          <w:tcPr>
            <w:tcW w:w="120" w:type="dxa"/>
            <w:tcBorders/>
            <w:shd w:fill="EFF6EA" w:val="clear"/>
            <w:vAlign w:val="center"/>
          </w:tcPr>
          <w:p>
            <w:pPr>
              <w:pStyle w:val="TableContents"/>
              <w:spacing w:before="0" w:after="283"/>
              <w:jc w:val="right"/>
              <w:rPr/>
            </w:pPr>
            <w:r>
              <w:rPr/>
              <w:t> </w:t>
            </w:r>
          </w:p>
        </w:tc>
        <w:tc>
          <w:tcPr>
            <w:tcW w:w="1115" w:type="dxa"/>
            <w:tcBorders/>
            <w:shd w:fill="EFF6EA" w:val="clear"/>
            <w:vAlign w:val="center"/>
          </w:tcPr>
          <w:p>
            <w:pPr>
              <w:pStyle w:val="TableContents"/>
              <w:spacing w:before="0" w:after="283"/>
              <w:jc w:val="right"/>
              <w:rPr/>
            </w:pPr>
            <w:r>
              <w:rPr/>
              <w:t>3/1/2027</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98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4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55" w:type="dxa"/>
            <w:tcBorders/>
            <w:shd w:fill="EFF6EA" w:val="cle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FFFFFF" w:val="clear"/>
            <w:vAlign w:val="center"/>
          </w:tcPr>
          <w:p>
            <w:pPr>
              <w:pStyle w:val="TableContents"/>
              <w:spacing w:before="0" w:after="283"/>
              <w:jc w:val="right"/>
              <w:rPr/>
            </w:pPr>
            <w:r>
              <w:rPr/>
              <w:t>6/1/2016</w:t>
            </w:r>
          </w:p>
        </w:tc>
        <w:tc>
          <w:tcPr>
            <w:tcW w:w="120" w:type="dxa"/>
            <w:tcBorders/>
            <w:shd w:fill="FFFFFF" w:val="clear"/>
            <w:vAlign w:val="center"/>
          </w:tcPr>
          <w:p>
            <w:pPr>
              <w:pStyle w:val="TableContents"/>
              <w:spacing w:before="0" w:after="283"/>
              <w:jc w:val="right"/>
              <w:rPr/>
            </w:pPr>
            <w:r>
              <w:rPr/>
              <w:t> </w:t>
            </w:r>
          </w:p>
        </w:tc>
        <w:tc>
          <w:tcPr>
            <w:tcW w:w="1265" w:type="dxa"/>
            <w:tcBorders/>
            <w:shd w:fill="FFFFFF" w:val="clear"/>
            <w:vAlign w:val="center"/>
          </w:tcPr>
          <w:p>
            <w:pPr>
              <w:pStyle w:val="TableContents"/>
              <w:spacing w:before="0" w:after="283"/>
              <w:jc w:val="right"/>
              <w:rPr/>
            </w:pPr>
            <w:r>
              <w:rPr/>
              <w:t>63,700</w:t>
            </w:r>
          </w:p>
        </w:tc>
        <w:tc>
          <w:tcPr>
            <w:tcW w:w="120" w:type="dxa"/>
            <w:tcBorders/>
            <w:shd w:fill="FFFFFF" w:val="clear"/>
            <w:vAlign w:val="center"/>
          </w:tcPr>
          <w:p>
            <w:pPr>
              <w:pStyle w:val="TableContents"/>
              <w:spacing w:before="0" w:after="283"/>
              <w:jc w:val="right"/>
              <w:rPr/>
            </w:pPr>
            <w:r>
              <w:rPr/>
              <w:t> </w:t>
            </w:r>
          </w:p>
        </w:tc>
        <w:tc>
          <w:tcPr>
            <w:tcW w:w="1445"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70.57</w:t>
            </w:r>
          </w:p>
        </w:tc>
        <w:tc>
          <w:tcPr>
            <w:tcW w:w="120" w:type="dxa"/>
            <w:tcBorders/>
            <w:shd w:fill="FFFFFF" w:val="clear"/>
            <w:vAlign w:val="center"/>
          </w:tcPr>
          <w:p>
            <w:pPr>
              <w:pStyle w:val="TableContents"/>
              <w:spacing w:before="0" w:after="283"/>
              <w:jc w:val="right"/>
              <w:rPr/>
            </w:pPr>
            <w:r>
              <w:rPr/>
              <w:t> </w:t>
            </w:r>
          </w:p>
        </w:tc>
        <w:tc>
          <w:tcPr>
            <w:tcW w:w="1115" w:type="dxa"/>
            <w:tcBorders/>
            <w:shd w:fill="FFFFFF" w:val="clear"/>
            <w:vAlign w:val="center"/>
          </w:tcPr>
          <w:p>
            <w:pPr>
              <w:pStyle w:val="TableContents"/>
              <w:spacing w:before="0" w:after="283"/>
              <w:jc w:val="right"/>
              <w:rPr/>
            </w:pPr>
            <w:r>
              <w:rPr/>
              <w:t>6/1/2026</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98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4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55" w:type="dxa"/>
            <w:tcBorders/>
            <w:shd w:fill="FFFFFF" w:val="cle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EFF6EA" w:val="clear"/>
            <w:vAlign w:val="center"/>
          </w:tcPr>
          <w:p>
            <w:pPr>
              <w:pStyle w:val="TableContents"/>
              <w:spacing w:before="0" w:after="283"/>
              <w:jc w:val="right"/>
              <w:rPr/>
            </w:pPr>
            <w:r>
              <w:rPr/>
              <w:t>5/21/2015</w:t>
            </w:r>
          </w:p>
        </w:tc>
        <w:tc>
          <w:tcPr>
            <w:tcW w:w="120" w:type="dxa"/>
            <w:tcBorders/>
            <w:shd w:fill="EFF6EA" w:val="clear"/>
            <w:vAlign w:val="center"/>
          </w:tcPr>
          <w:p>
            <w:pPr>
              <w:pStyle w:val="TableContents"/>
              <w:spacing w:before="0" w:after="283"/>
              <w:jc w:val="right"/>
              <w:rPr/>
            </w:pPr>
            <w:r>
              <w:rPr/>
              <w:t> </w:t>
            </w:r>
          </w:p>
        </w:tc>
        <w:tc>
          <w:tcPr>
            <w:tcW w:w="1265" w:type="dxa"/>
            <w:tcBorders/>
            <w:shd w:fill="EFF6EA" w:val="clear"/>
            <w:vAlign w:val="center"/>
          </w:tcPr>
          <w:p>
            <w:pPr>
              <w:pStyle w:val="TableContents"/>
              <w:spacing w:before="0" w:after="283"/>
              <w:jc w:val="right"/>
              <w:rPr/>
            </w:pPr>
            <w:r>
              <w:rPr/>
              <w:t>68,300</w:t>
            </w:r>
          </w:p>
        </w:tc>
        <w:tc>
          <w:tcPr>
            <w:tcW w:w="120" w:type="dxa"/>
            <w:tcBorders/>
            <w:shd w:fill="EFF6EA" w:val="clear"/>
            <w:vAlign w:val="center"/>
          </w:tcPr>
          <w:p>
            <w:pPr>
              <w:pStyle w:val="TableContents"/>
              <w:spacing w:before="0" w:after="283"/>
              <w:jc w:val="right"/>
              <w:rPr/>
            </w:pPr>
            <w:r>
              <w:rPr/>
              <w:t> </w:t>
            </w:r>
          </w:p>
        </w:tc>
        <w:tc>
          <w:tcPr>
            <w:tcW w:w="144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84.89</w:t>
            </w:r>
          </w:p>
        </w:tc>
        <w:tc>
          <w:tcPr>
            <w:tcW w:w="120" w:type="dxa"/>
            <w:tcBorders/>
            <w:shd w:fill="EFF6EA" w:val="clear"/>
            <w:vAlign w:val="center"/>
          </w:tcPr>
          <w:p>
            <w:pPr>
              <w:pStyle w:val="TableContents"/>
              <w:spacing w:before="0" w:after="283"/>
              <w:jc w:val="right"/>
              <w:rPr/>
            </w:pPr>
            <w:r>
              <w:rPr/>
              <w:t> </w:t>
            </w:r>
          </w:p>
        </w:tc>
        <w:tc>
          <w:tcPr>
            <w:tcW w:w="1115" w:type="dxa"/>
            <w:tcBorders/>
            <w:shd w:fill="EFF6EA" w:val="clear"/>
            <w:vAlign w:val="center"/>
          </w:tcPr>
          <w:p>
            <w:pPr>
              <w:pStyle w:val="TableContents"/>
              <w:spacing w:before="0" w:after="283"/>
              <w:jc w:val="right"/>
              <w:rPr/>
            </w:pPr>
            <w:r>
              <w:rPr/>
              <w:t>5/21/2025</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98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4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55" w:type="dxa"/>
            <w:tcBorders/>
            <w:shd w:fill="EFF6EA" w:val="clear"/>
            <w:vAlign w:val="center"/>
          </w:tcPr>
          <w:p>
            <w:pPr>
              <w:pStyle w:val="TableContents"/>
              <w:spacing w:before="0" w:after="283"/>
              <w:jc w:val="right"/>
              <w:rPr/>
            </w:pPr>
            <w:r>
              <w:rPr/>
              <w:t>—</w:t>
            </w:r>
          </w:p>
        </w:tc>
      </w:tr>
      <w:tr>
        <w:trPr/>
        <w:tc>
          <w:tcPr>
            <w:tcW w:w="1805" w:type="dxa"/>
            <w:tcBorders>
              <w:bottom w:val="single" w:sz="2" w:space="0" w:color="7CBC3E"/>
            </w:tcBorders>
            <w:shd w:fill="FFFFFF" w:val="clear"/>
            <w:tcMar>
              <w:bottom w:w="28" w:type="dxa"/>
            </w:tcMar>
            <w:vAlign w:val="center"/>
          </w:tcPr>
          <w:p>
            <w:pPr>
              <w:pStyle w:val="TableContents"/>
              <w:spacing w:before="0" w:after="283"/>
              <w:jc w:val="left"/>
              <w:rPr/>
            </w:pPr>
            <w:r>
              <w:rPr/>
              <w:t> </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635" w:type="dxa"/>
            <w:tcBorders>
              <w:bottom w:val="single" w:sz="2" w:space="0" w:color="7CBC3E"/>
            </w:tcBorders>
            <w:shd w:fill="FFFFFF" w:val="clear"/>
            <w:tcMar>
              <w:bottom w:w="28" w:type="dxa"/>
            </w:tcMar>
            <w:vAlign w:val="center"/>
          </w:tcPr>
          <w:p>
            <w:pPr>
              <w:pStyle w:val="TableContents"/>
              <w:spacing w:before="0" w:after="283"/>
              <w:jc w:val="right"/>
              <w:rPr/>
            </w:pPr>
            <w:r>
              <w:rPr/>
              <w:t>11/1/2013</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1265" w:type="dxa"/>
            <w:tcBorders>
              <w:bottom w:val="single" w:sz="2" w:space="0" w:color="7CBC3E"/>
            </w:tcBorders>
            <w:shd w:fill="FFFFFF" w:val="clear"/>
            <w:tcMar>
              <w:bottom w:w="28" w:type="dxa"/>
            </w:tcMar>
            <w:vAlign w:val="center"/>
          </w:tcPr>
          <w:p>
            <w:pPr>
              <w:pStyle w:val="TableContents"/>
              <w:spacing w:before="0" w:after="283"/>
              <w:jc w:val="right"/>
              <w:rPr/>
            </w:pPr>
            <w:r>
              <w:rPr/>
              <w:t>47,853</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1445" w:type="dxa"/>
            <w:tcBorders>
              <w:bottom w:val="single" w:sz="2" w:space="0" w:color="7CBC3E"/>
            </w:tcBorders>
            <w:shd w:fill="FFFFFF"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875" w:type="dxa"/>
            <w:tcBorders>
              <w:bottom w:val="single" w:sz="2" w:space="0" w:color="7CBC3E"/>
            </w:tcBorders>
            <w:shd w:fill="FFFFFF" w:val="clear"/>
            <w:tcMar>
              <w:bottom w:w="28" w:type="dxa"/>
            </w:tcMar>
            <w:vAlign w:val="center"/>
          </w:tcPr>
          <w:p>
            <w:pPr>
              <w:pStyle w:val="TableContents"/>
              <w:spacing w:before="0" w:after="283"/>
              <w:jc w:val="right"/>
              <w:rPr/>
            </w:pPr>
            <w:r>
              <w:rPr/>
              <w:t>6.86</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1115" w:type="dxa"/>
            <w:tcBorders>
              <w:bottom w:val="single" w:sz="2" w:space="0" w:color="7CBC3E"/>
            </w:tcBorders>
            <w:shd w:fill="FFFFFF" w:val="clear"/>
            <w:tcMar>
              <w:bottom w:w="28" w:type="dxa"/>
            </w:tcMar>
            <w:vAlign w:val="center"/>
          </w:tcPr>
          <w:p>
            <w:pPr>
              <w:pStyle w:val="TableContents"/>
              <w:spacing w:before="0" w:after="283"/>
              <w:jc w:val="right"/>
              <w:rPr/>
            </w:pPr>
            <w:r>
              <w:rPr/>
              <w:t>11/1/2023</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875" w:type="dxa"/>
            <w:tcBorders>
              <w:bottom w:val="single" w:sz="2" w:space="0" w:color="7CBC3E"/>
            </w:tcBorders>
            <w:shd w:fill="FFFFFF"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980" w:type="dxa"/>
            <w:tcBorders>
              <w:bottom w:val="single" w:sz="2" w:space="0" w:color="7CBC3E"/>
            </w:tcBorders>
            <w:shd w:fill="FFFFFF"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1040" w:type="dxa"/>
            <w:tcBorders>
              <w:bottom w:val="single" w:sz="2" w:space="0" w:color="7CBC3E"/>
            </w:tcBorders>
            <w:shd w:fill="FFFFFF"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1055" w:type="dxa"/>
            <w:tcBorders>
              <w:bottom w:val="single" w:sz="2" w:space="0" w:color="7CBC3E"/>
            </w:tcBorders>
            <w:shd w:fill="FFFFFF" w:val="clear"/>
            <w:tcMar>
              <w:bottom w:w="28" w:type="dxa"/>
            </w:tcM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b/>
              </w:rPr>
            </w:pPr>
            <w:r>
              <w:rPr>
                <w:b/>
              </w:rPr>
              <w:t>Erik Harris</w:t>
            </w:r>
          </w:p>
        </w:tc>
        <w:tc>
          <w:tcPr>
            <w:tcW w:w="120" w:type="dxa"/>
            <w:tcBorders/>
            <w:shd w:fill="FFFFFF" w:val="clear"/>
            <w:vAlign w:val="center"/>
          </w:tcPr>
          <w:p>
            <w:pPr>
              <w:pStyle w:val="TableContents"/>
              <w:spacing w:before="0" w:after="283"/>
              <w:jc w:val="right"/>
              <w:rPr/>
            </w:pPr>
            <w:r>
              <w:rPr/>
              <w:t> </w:t>
            </w:r>
          </w:p>
        </w:tc>
        <w:tc>
          <w:tcPr>
            <w:tcW w:w="635" w:type="dxa"/>
            <w:tcBorders/>
            <w:shd w:fill="EFF6EA" w:val="clear"/>
            <w:vAlign w:val="center"/>
          </w:tcPr>
          <w:p>
            <w:pPr>
              <w:pStyle w:val="TableContents"/>
              <w:spacing w:before="0" w:after="283"/>
              <w:jc w:val="right"/>
              <w:rPr/>
            </w:pPr>
            <w:r>
              <w:rPr/>
              <w:t>3/1/2022</w:t>
            </w:r>
          </w:p>
        </w:tc>
        <w:tc>
          <w:tcPr>
            <w:tcW w:w="120" w:type="dxa"/>
            <w:tcBorders/>
            <w:shd w:fill="EFF6EA" w:val="clear"/>
            <w:vAlign w:val="center"/>
          </w:tcPr>
          <w:p>
            <w:pPr>
              <w:pStyle w:val="TableContents"/>
              <w:spacing w:before="0" w:after="283"/>
              <w:jc w:val="right"/>
              <w:rPr/>
            </w:pPr>
            <w:r>
              <w:rPr/>
              <w:t> </w:t>
            </w:r>
          </w:p>
        </w:tc>
        <w:tc>
          <w:tcPr>
            <w:tcW w:w="126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445" w:type="dxa"/>
            <w:tcBorders/>
            <w:shd w:fill="EFF6EA" w:val="clear"/>
            <w:vAlign w:val="center"/>
          </w:tcPr>
          <w:p>
            <w:pPr>
              <w:pStyle w:val="TableContents"/>
              <w:spacing w:before="0" w:after="283"/>
              <w:jc w:val="right"/>
              <w:rPr/>
            </w:pPr>
            <w:r>
              <w:rPr/>
              <w:t>24,900</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67.37</w:t>
            </w:r>
          </w:p>
        </w:tc>
        <w:tc>
          <w:tcPr>
            <w:tcW w:w="120" w:type="dxa"/>
            <w:tcBorders/>
            <w:shd w:fill="EFF6EA" w:val="clear"/>
            <w:vAlign w:val="center"/>
          </w:tcPr>
          <w:p>
            <w:pPr>
              <w:pStyle w:val="TableContents"/>
              <w:spacing w:before="0" w:after="283"/>
              <w:jc w:val="right"/>
              <w:rPr/>
            </w:pPr>
            <w:r>
              <w:rPr/>
              <w:t> </w:t>
            </w:r>
          </w:p>
        </w:tc>
        <w:tc>
          <w:tcPr>
            <w:tcW w:w="1115" w:type="dxa"/>
            <w:tcBorders/>
            <w:shd w:fill="EFF6EA" w:val="clear"/>
            <w:vAlign w:val="center"/>
          </w:tcPr>
          <w:p>
            <w:pPr>
              <w:pStyle w:val="TableContents"/>
              <w:spacing w:before="0" w:after="283"/>
              <w:jc w:val="right"/>
              <w:rPr/>
            </w:pPr>
            <w:r>
              <w:rPr/>
              <w:t>3/1/2032</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14,000</w:t>
            </w:r>
          </w:p>
        </w:tc>
        <w:tc>
          <w:tcPr>
            <w:tcW w:w="120" w:type="dxa"/>
            <w:tcBorders/>
            <w:shd w:fill="EFF6EA" w:val="clear"/>
            <w:vAlign w:val="center"/>
          </w:tcPr>
          <w:p>
            <w:pPr>
              <w:pStyle w:val="TableContents"/>
              <w:spacing w:before="0" w:after="283"/>
              <w:jc w:val="right"/>
              <w:rPr/>
            </w:pPr>
            <w:r>
              <w:rPr/>
              <w:t> </w:t>
            </w:r>
          </w:p>
        </w:tc>
        <w:tc>
          <w:tcPr>
            <w:tcW w:w="980" w:type="dxa"/>
            <w:tcBorders/>
            <w:shd w:fill="EFF6EA" w:val="clear"/>
            <w:vAlign w:val="center"/>
          </w:tcPr>
          <w:p>
            <w:pPr>
              <w:pStyle w:val="TableContents"/>
              <w:spacing w:before="0" w:after="283"/>
              <w:jc w:val="right"/>
              <w:rPr/>
            </w:pPr>
            <w:r>
              <w:rPr/>
              <w:t>648,620</w:t>
            </w:r>
          </w:p>
        </w:tc>
        <w:tc>
          <w:tcPr>
            <w:tcW w:w="120" w:type="dxa"/>
            <w:tcBorders/>
            <w:shd w:fill="EFF6EA" w:val="clear"/>
            <w:vAlign w:val="center"/>
          </w:tcPr>
          <w:p>
            <w:pPr>
              <w:pStyle w:val="TableContents"/>
              <w:spacing w:before="0" w:after="283"/>
              <w:jc w:val="right"/>
              <w:rPr/>
            </w:pPr>
            <w:r>
              <w:rPr/>
              <w:t> </w:t>
            </w:r>
          </w:p>
        </w:tc>
        <w:tc>
          <w:tcPr>
            <w:tcW w:w="1040" w:type="dxa"/>
            <w:tcBorders/>
            <w:shd w:fill="EFF6EA" w:val="clear"/>
            <w:vAlign w:val="center"/>
          </w:tcPr>
          <w:p>
            <w:pPr>
              <w:pStyle w:val="TableContents"/>
              <w:spacing w:before="0" w:after="283"/>
              <w:jc w:val="right"/>
              <w:rPr/>
            </w:pPr>
            <w:r>
              <w:rPr/>
              <w:t>14,000</w:t>
            </w:r>
          </w:p>
        </w:tc>
        <w:tc>
          <w:tcPr>
            <w:tcW w:w="120" w:type="dxa"/>
            <w:tcBorders/>
            <w:shd w:fill="EFF6EA" w:val="clear"/>
            <w:vAlign w:val="center"/>
          </w:tcPr>
          <w:p>
            <w:pPr>
              <w:pStyle w:val="TableContents"/>
              <w:spacing w:before="0" w:after="283"/>
              <w:jc w:val="right"/>
              <w:rPr/>
            </w:pPr>
            <w:r>
              <w:rPr/>
              <w:t> </w:t>
            </w:r>
          </w:p>
        </w:tc>
        <w:tc>
          <w:tcPr>
            <w:tcW w:w="1055" w:type="dxa"/>
            <w:tcBorders/>
            <w:shd w:fill="EFF6EA" w:val="clear"/>
            <w:vAlign w:val="center"/>
          </w:tcPr>
          <w:p>
            <w:pPr>
              <w:pStyle w:val="TableContents"/>
              <w:spacing w:before="0" w:after="283"/>
              <w:jc w:val="right"/>
              <w:rPr/>
            </w:pPr>
            <w:r>
              <w:rPr/>
              <w:t>648,620</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FFFFFF" w:val="clear"/>
            <w:vAlign w:val="center"/>
          </w:tcPr>
          <w:p>
            <w:pPr>
              <w:pStyle w:val="TableContents"/>
              <w:spacing w:before="0" w:after="283"/>
              <w:jc w:val="right"/>
              <w:rPr/>
            </w:pPr>
            <w:r>
              <w:rPr/>
              <w:t>3/1/2021</w:t>
            </w:r>
          </w:p>
        </w:tc>
        <w:tc>
          <w:tcPr>
            <w:tcW w:w="120" w:type="dxa"/>
            <w:tcBorders/>
            <w:shd w:fill="FFFFFF" w:val="clear"/>
            <w:vAlign w:val="center"/>
          </w:tcPr>
          <w:p>
            <w:pPr>
              <w:pStyle w:val="TableContents"/>
              <w:spacing w:before="0" w:after="283"/>
              <w:jc w:val="right"/>
              <w:rPr/>
            </w:pPr>
            <w:r>
              <w:rPr/>
              <w:t> </w:t>
            </w:r>
          </w:p>
        </w:tc>
        <w:tc>
          <w:tcPr>
            <w:tcW w:w="1265" w:type="dxa"/>
            <w:tcBorders/>
            <w:shd w:fill="FFFFFF" w:val="clear"/>
            <w:vAlign w:val="center"/>
          </w:tcPr>
          <w:p>
            <w:pPr>
              <w:pStyle w:val="TableContents"/>
              <w:spacing w:before="0" w:after="283"/>
              <w:jc w:val="right"/>
              <w:rPr/>
            </w:pPr>
            <w:r>
              <w:rPr/>
              <w:t>4,813</w:t>
            </w:r>
          </w:p>
        </w:tc>
        <w:tc>
          <w:tcPr>
            <w:tcW w:w="120" w:type="dxa"/>
            <w:tcBorders/>
            <w:shd w:fill="FFFFFF" w:val="clear"/>
            <w:vAlign w:val="center"/>
          </w:tcPr>
          <w:p>
            <w:pPr>
              <w:pStyle w:val="TableContents"/>
              <w:spacing w:before="0" w:after="283"/>
              <w:jc w:val="right"/>
              <w:rPr/>
            </w:pPr>
            <w:r>
              <w:rPr/>
              <w:t> </w:t>
            </w:r>
          </w:p>
        </w:tc>
        <w:tc>
          <w:tcPr>
            <w:tcW w:w="1445" w:type="dxa"/>
            <w:tcBorders/>
            <w:shd w:fill="FFFFFF" w:val="clear"/>
            <w:vAlign w:val="center"/>
          </w:tcPr>
          <w:p>
            <w:pPr>
              <w:pStyle w:val="TableContents"/>
              <w:spacing w:before="0" w:after="283"/>
              <w:jc w:val="right"/>
              <w:rPr/>
            </w:pPr>
            <w:r>
              <w:rPr/>
              <w:t>6,187</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142.47</w:t>
            </w:r>
          </w:p>
        </w:tc>
        <w:tc>
          <w:tcPr>
            <w:tcW w:w="120" w:type="dxa"/>
            <w:tcBorders/>
            <w:shd w:fill="FFFFFF" w:val="clear"/>
            <w:vAlign w:val="center"/>
          </w:tcPr>
          <w:p>
            <w:pPr>
              <w:pStyle w:val="TableContents"/>
              <w:spacing w:before="0" w:after="283"/>
              <w:jc w:val="right"/>
              <w:rPr/>
            </w:pPr>
            <w:r>
              <w:rPr/>
              <w:t> </w:t>
            </w:r>
          </w:p>
        </w:tc>
        <w:tc>
          <w:tcPr>
            <w:tcW w:w="1115" w:type="dxa"/>
            <w:tcBorders/>
            <w:shd w:fill="FFFFFF" w:val="clear"/>
            <w:vAlign w:val="center"/>
          </w:tcPr>
          <w:p>
            <w:pPr>
              <w:pStyle w:val="TableContents"/>
              <w:spacing w:before="0" w:after="283"/>
              <w:jc w:val="right"/>
              <w:rPr/>
            </w:pPr>
            <w:r>
              <w:rPr/>
              <w:t>3/1/2031</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6,788</w:t>
            </w:r>
          </w:p>
        </w:tc>
        <w:tc>
          <w:tcPr>
            <w:tcW w:w="120" w:type="dxa"/>
            <w:tcBorders/>
            <w:shd w:fill="FFFFFF" w:val="clear"/>
            <w:vAlign w:val="center"/>
          </w:tcPr>
          <w:p>
            <w:pPr>
              <w:pStyle w:val="TableContents"/>
              <w:spacing w:before="0" w:after="283"/>
              <w:jc w:val="right"/>
              <w:rPr/>
            </w:pPr>
            <w:r>
              <w:rPr/>
              <w:t> </w:t>
            </w:r>
          </w:p>
        </w:tc>
        <w:tc>
          <w:tcPr>
            <w:tcW w:w="980" w:type="dxa"/>
            <w:tcBorders/>
            <w:shd w:fill="FFFFFF" w:val="clear"/>
            <w:vAlign w:val="center"/>
          </w:tcPr>
          <w:p>
            <w:pPr>
              <w:pStyle w:val="TableContents"/>
              <w:spacing w:before="0" w:after="283"/>
              <w:jc w:val="right"/>
              <w:rPr/>
            </w:pPr>
            <w:r>
              <w:rPr/>
              <w:t>314,488</w:t>
            </w:r>
          </w:p>
        </w:tc>
        <w:tc>
          <w:tcPr>
            <w:tcW w:w="120" w:type="dxa"/>
            <w:tcBorders/>
            <w:shd w:fill="FFFFFF" w:val="clear"/>
            <w:vAlign w:val="center"/>
          </w:tcPr>
          <w:p>
            <w:pPr>
              <w:pStyle w:val="TableContents"/>
              <w:spacing w:before="0" w:after="283"/>
              <w:jc w:val="right"/>
              <w:rPr/>
            </w:pPr>
            <w:r>
              <w:rPr/>
              <w:t> </w:t>
            </w:r>
          </w:p>
        </w:tc>
        <w:tc>
          <w:tcPr>
            <w:tcW w:w="1040" w:type="dxa"/>
            <w:tcBorders/>
            <w:shd w:fill="FFFFFF" w:val="clear"/>
            <w:vAlign w:val="center"/>
          </w:tcPr>
          <w:p>
            <w:pPr>
              <w:pStyle w:val="TableContents"/>
              <w:spacing w:before="0" w:after="283"/>
              <w:jc w:val="right"/>
              <w:rPr/>
            </w:pPr>
            <w:r>
              <w:rPr/>
              <w:t>1,100</w:t>
            </w:r>
          </w:p>
        </w:tc>
        <w:tc>
          <w:tcPr>
            <w:tcW w:w="120" w:type="dxa"/>
            <w:tcBorders/>
            <w:shd w:fill="FFFFFF" w:val="clear"/>
            <w:vAlign w:val="center"/>
          </w:tcPr>
          <w:p>
            <w:pPr>
              <w:pStyle w:val="TableContents"/>
              <w:spacing w:before="0" w:after="283"/>
              <w:jc w:val="right"/>
              <w:rPr/>
            </w:pPr>
            <w:r>
              <w:rPr/>
              <w:t> </w:t>
            </w:r>
          </w:p>
        </w:tc>
        <w:tc>
          <w:tcPr>
            <w:tcW w:w="1055" w:type="dxa"/>
            <w:tcBorders/>
            <w:shd w:fill="FFFFFF" w:val="clear"/>
            <w:vAlign w:val="center"/>
          </w:tcPr>
          <w:p>
            <w:pPr>
              <w:pStyle w:val="TableContents"/>
              <w:spacing w:before="0" w:after="283"/>
              <w:jc w:val="right"/>
              <w:rPr/>
            </w:pPr>
            <w:r>
              <w:rPr/>
              <w:t>50,963</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EFF6EA" w:val="clear"/>
            <w:vAlign w:val="center"/>
          </w:tcPr>
          <w:p>
            <w:pPr>
              <w:pStyle w:val="TableContents"/>
              <w:spacing w:before="0" w:after="283"/>
              <w:jc w:val="right"/>
              <w:rPr/>
            </w:pPr>
            <w:r>
              <w:rPr/>
              <w:t>3/1/2020</w:t>
            </w:r>
          </w:p>
        </w:tc>
        <w:tc>
          <w:tcPr>
            <w:tcW w:w="120" w:type="dxa"/>
            <w:tcBorders/>
            <w:shd w:fill="EFF6EA" w:val="clear"/>
            <w:vAlign w:val="center"/>
          </w:tcPr>
          <w:p>
            <w:pPr>
              <w:pStyle w:val="TableContents"/>
              <w:spacing w:before="0" w:after="283"/>
              <w:jc w:val="right"/>
              <w:rPr/>
            </w:pPr>
            <w:r>
              <w:rPr/>
              <w:t> </w:t>
            </w:r>
          </w:p>
        </w:tc>
        <w:tc>
          <w:tcPr>
            <w:tcW w:w="1265" w:type="dxa"/>
            <w:tcBorders/>
            <w:shd w:fill="EFF6EA" w:val="clear"/>
            <w:vAlign w:val="center"/>
          </w:tcPr>
          <w:p>
            <w:pPr>
              <w:pStyle w:val="TableContents"/>
              <w:spacing w:before="0" w:after="283"/>
              <w:jc w:val="right"/>
              <w:rPr/>
            </w:pPr>
            <w:r>
              <w:rPr/>
              <w:t>15,125</w:t>
            </w:r>
          </w:p>
        </w:tc>
        <w:tc>
          <w:tcPr>
            <w:tcW w:w="120" w:type="dxa"/>
            <w:tcBorders/>
            <w:shd w:fill="EFF6EA" w:val="clear"/>
            <w:vAlign w:val="center"/>
          </w:tcPr>
          <w:p>
            <w:pPr>
              <w:pStyle w:val="TableContents"/>
              <w:spacing w:before="0" w:after="283"/>
              <w:jc w:val="right"/>
              <w:rPr/>
            </w:pPr>
            <w:r>
              <w:rPr/>
              <w:t> </w:t>
            </w:r>
          </w:p>
        </w:tc>
        <w:tc>
          <w:tcPr>
            <w:tcW w:w="1445" w:type="dxa"/>
            <w:tcBorders/>
            <w:shd w:fill="EFF6EA" w:val="clear"/>
            <w:vAlign w:val="center"/>
          </w:tcPr>
          <w:p>
            <w:pPr>
              <w:pStyle w:val="TableContents"/>
              <w:spacing w:before="0" w:after="283"/>
              <w:jc w:val="right"/>
              <w:rPr/>
            </w:pPr>
            <w:r>
              <w:rPr/>
              <w:t>6,875</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56.08</w:t>
            </w:r>
          </w:p>
        </w:tc>
        <w:tc>
          <w:tcPr>
            <w:tcW w:w="120" w:type="dxa"/>
            <w:tcBorders/>
            <w:shd w:fill="EFF6EA" w:val="clear"/>
            <w:vAlign w:val="center"/>
          </w:tcPr>
          <w:p>
            <w:pPr>
              <w:pStyle w:val="TableContents"/>
              <w:spacing w:before="0" w:after="283"/>
              <w:jc w:val="right"/>
              <w:rPr/>
            </w:pPr>
            <w:r>
              <w:rPr/>
              <w:t> </w:t>
            </w:r>
          </w:p>
        </w:tc>
        <w:tc>
          <w:tcPr>
            <w:tcW w:w="1115" w:type="dxa"/>
            <w:tcBorders/>
            <w:shd w:fill="EFF6EA" w:val="clear"/>
            <w:vAlign w:val="center"/>
          </w:tcPr>
          <w:p>
            <w:pPr>
              <w:pStyle w:val="TableContents"/>
              <w:spacing w:before="0" w:after="283"/>
              <w:jc w:val="right"/>
              <w:rPr/>
            </w:pPr>
            <w:r>
              <w:rPr/>
              <w:t>3/1/2030</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3,900</w:t>
            </w:r>
          </w:p>
        </w:tc>
        <w:tc>
          <w:tcPr>
            <w:tcW w:w="120" w:type="dxa"/>
            <w:tcBorders/>
            <w:shd w:fill="EFF6EA" w:val="clear"/>
            <w:vAlign w:val="center"/>
          </w:tcPr>
          <w:p>
            <w:pPr>
              <w:pStyle w:val="TableContents"/>
              <w:spacing w:before="0" w:after="283"/>
              <w:jc w:val="right"/>
              <w:rPr/>
            </w:pPr>
            <w:r>
              <w:rPr/>
              <w:t> </w:t>
            </w:r>
          </w:p>
        </w:tc>
        <w:tc>
          <w:tcPr>
            <w:tcW w:w="980" w:type="dxa"/>
            <w:tcBorders/>
            <w:shd w:fill="EFF6EA" w:val="clear"/>
            <w:vAlign w:val="center"/>
          </w:tcPr>
          <w:p>
            <w:pPr>
              <w:pStyle w:val="TableContents"/>
              <w:spacing w:before="0" w:after="283"/>
              <w:jc w:val="right"/>
              <w:rPr/>
            </w:pPr>
            <w:r>
              <w:rPr/>
              <w:t>180,687</w:t>
            </w:r>
          </w:p>
        </w:tc>
        <w:tc>
          <w:tcPr>
            <w:tcW w:w="120" w:type="dxa"/>
            <w:tcBorders/>
            <w:shd w:fill="EFF6EA" w:val="clear"/>
            <w:vAlign w:val="center"/>
          </w:tcPr>
          <w:p>
            <w:pPr>
              <w:pStyle w:val="TableContents"/>
              <w:spacing w:before="0" w:after="283"/>
              <w:jc w:val="right"/>
              <w:rPr/>
            </w:pPr>
            <w:r>
              <w:rPr/>
              <w:t> </w:t>
            </w:r>
          </w:p>
        </w:tc>
        <w:tc>
          <w:tcPr>
            <w:tcW w:w="104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55" w:type="dxa"/>
            <w:tcBorders/>
            <w:shd w:fill="EFF6EA" w:val="cle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FFFFFF" w:val="clear"/>
            <w:vAlign w:val="center"/>
          </w:tcPr>
          <w:p>
            <w:pPr>
              <w:pStyle w:val="TableContents"/>
              <w:spacing w:before="0" w:after="283"/>
              <w:jc w:val="right"/>
              <w:rPr/>
            </w:pPr>
            <w:r>
              <w:rPr/>
              <w:t>6/19/2019</w:t>
            </w:r>
          </w:p>
        </w:tc>
        <w:tc>
          <w:tcPr>
            <w:tcW w:w="120" w:type="dxa"/>
            <w:tcBorders/>
            <w:shd w:fill="FFFFFF" w:val="clear"/>
            <w:vAlign w:val="center"/>
          </w:tcPr>
          <w:p>
            <w:pPr>
              <w:pStyle w:val="TableContents"/>
              <w:spacing w:before="0" w:after="283"/>
              <w:jc w:val="right"/>
              <w:rPr/>
            </w:pPr>
            <w:r>
              <w:rPr/>
              <w:t> </w:t>
            </w:r>
          </w:p>
        </w:tc>
        <w:tc>
          <w:tcPr>
            <w:tcW w:w="1265" w:type="dxa"/>
            <w:tcBorders/>
            <w:shd w:fill="FFFFFF" w:val="clear"/>
            <w:vAlign w:val="center"/>
          </w:tcPr>
          <w:p>
            <w:pPr>
              <w:pStyle w:val="TableContents"/>
              <w:spacing w:before="0" w:after="283"/>
              <w:jc w:val="right"/>
              <w:rPr/>
            </w:pPr>
            <w:r>
              <w:rPr/>
              <w:t>10,500</w:t>
            </w:r>
          </w:p>
        </w:tc>
        <w:tc>
          <w:tcPr>
            <w:tcW w:w="120" w:type="dxa"/>
            <w:tcBorders/>
            <w:shd w:fill="FFFFFF" w:val="clear"/>
            <w:vAlign w:val="center"/>
          </w:tcPr>
          <w:p>
            <w:pPr>
              <w:pStyle w:val="TableContents"/>
              <w:spacing w:before="0" w:after="283"/>
              <w:jc w:val="right"/>
              <w:rPr/>
            </w:pPr>
            <w:r>
              <w:rPr/>
              <w:t> </w:t>
            </w:r>
          </w:p>
        </w:tc>
        <w:tc>
          <w:tcPr>
            <w:tcW w:w="1445" w:type="dxa"/>
            <w:tcBorders/>
            <w:shd w:fill="FFFFFF" w:val="clear"/>
            <w:vAlign w:val="center"/>
          </w:tcPr>
          <w:p>
            <w:pPr>
              <w:pStyle w:val="TableContents"/>
              <w:spacing w:before="0" w:after="283"/>
              <w:jc w:val="right"/>
              <w:rPr/>
            </w:pPr>
            <w:r>
              <w:rPr/>
              <w:t>1,500</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63.27</w:t>
            </w:r>
          </w:p>
        </w:tc>
        <w:tc>
          <w:tcPr>
            <w:tcW w:w="120" w:type="dxa"/>
            <w:tcBorders/>
            <w:shd w:fill="FFFFFF" w:val="clear"/>
            <w:vAlign w:val="center"/>
          </w:tcPr>
          <w:p>
            <w:pPr>
              <w:pStyle w:val="TableContents"/>
              <w:spacing w:before="0" w:after="283"/>
              <w:jc w:val="right"/>
              <w:rPr/>
            </w:pPr>
            <w:r>
              <w:rPr/>
              <w:t> </w:t>
            </w:r>
          </w:p>
        </w:tc>
        <w:tc>
          <w:tcPr>
            <w:tcW w:w="1115" w:type="dxa"/>
            <w:tcBorders/>
            <w:shd w:fill="FFFFFF" w:val="clear"/>
            <w:vAlign w:val="center"/>
          </w:tcPr>
          <w:p>
            <w:pPr>
              <w:pStyle w:val="TableContents"/>
              <w:spacing w:before="0" w:after="283"/>
              <w:jc w:val="right"/>
              <w:rPr/>
            </w:pPr>
            <w:r>
              <w:rPr/>
              <w:t>6/19/2029</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875</w:t>
            </w:r>
          </w:p>
        </w:tc>
        <w:tc>
          <w:tcPr>
            <w:tcW w:w="120" w:type="dxa"/>
            <w:tcBorders/>
            <w:shd w:fill="FFFFFF" w:val="clear"/>
            <w:vAlign w:val="center"/>
          </w:tcPr>
          <w:p>
            <w:pPr>
              <w:pStyle w:val="TableContents"/>
              <w:spacing w:before="0" w:after="283"/>
              <w:jc w:val="right"/>
              <w:rPr/>
            </w:pPr>
            <w:r>
              <w:rPr/>
              <w:t> </w:t>
            </w:r>
          </w:p>
        </w:tc>
        <w:tc>
          <w:tcPr>
            <w:tcW w:w="980" w:type="dxa"/>
            <w:tcBorders/>
            <w:shd w:fill="FFFFFF" w:val="clear"/>
            <w:vAlign w:val="center"/>
          </w:tcPr>
          <w:p>
            <w:pPr>
              <w:pStyle w:val="TableContents"/>
              <w:spacing w:before="0" w:after="283"/>
              <w:jc w:val="right"/>
              <w:rPr/>
            </w:pPr>
            <w:r>
              <w:rPr/>
              <w:t>40,539</w:t>
            </w:r>
          </w:p>
        </w:tc>
        <w:tc>
          <w:tcPr>
            <w:tcW w:w="120" w:type="dxa"/>
            <w:tcBorders/>
            <w:shd w:fill="FFFFFF" w:val="clear"/>
            <w:vAlign w:val="center"/>
          </w:tcPr>
          <w:p>
            <w:pPr>
              <w:pStyle w:val="TableContents"/>
              <w:spacing w:before="0" w:after="283"/>
              <w:jc w:val="right"/>
              <w:rPr/>
            </w:pPr>
            <w:r>
              <w:rPr/>
              <w:t> </w:t>
            </w:r>
          </w:p>
        </w:tc>
        <w:tc>
          <w:tcPr>
            <w:tcW w:w="104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55" w:type="dxa"/>
            <w:tcBorders/>
            <w:shd w:fill="FFFFFF" w:val="cle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EFF6EA" w:val="clear"/>
            <w:vAlign w:val="center"/>
          </w:tcPr>
          <w:p>
            <w:pPr>
              <w:pStyle w:val="TableContents"/>
              <w:spacing w:before="0" w:after="283"/>
              <w:jc w:val="right"/>
              <w:rPr/>
            </w:pPr>
            <w:r>
              <w:rPr/>
              <w:t>3/1/2019</w:t>
            </w:r>
          </w:p>
        </w:tc>
        <w:tc>
          <w:tcPr>
            <w:tcW w:w="120" w:type="dxa"/>
            <w:tcBorders/>
            <w:shd w:fill="EFF6EA" w:val="clear"/>
            <w:vAlign w:val="center"/>
          </w:tcPr>
          <w:p>
            <w:pPr>
              <w:pStyle w:val="TableContents"/>
              <w:spacing w:before="0" w:after="283"/>
              <w:jc w:val="right"/>
              <w:rPr/>
            </w:pPr>
            <w:r>
              <w:rPr/>
              <w:t> </w:t>
            </w:r>
          </w:p>
        </w:tc>
        <w:tc>
          <w:tcPr>
            <w:tcW w:w="1265" w:type="dxa"/>
            <w:tcBorders/>
            <w:shd w:fill="EFF6EA" w:val="clear"/>
            <w:vAlign w:val="center"/>
          </w:tcPr>
          <w:p>
            <w:pPr>
              <w:pStyle w:val="TableContents"/>
              <w:spacing w:before="0" w:after="283"/>
              <w:jc w:val="right"/>
              <w:rPr/>
            </w:pPr>
            <w:r>
              <w:rPr/>
              <w:t>12,188</w:t>
            </w:r>
          </w:p>
        </w:tc>
        <w:tc>
          <w:tcPr>
            <w:tcW w:w="120" w:type="dxa"/>
            <w:tcBorders/>
            <w:shd w:fill="EFF6EA" w:val="clear"/>
            <w:vAlign w:val="center"/>
          </w:tcPr>
          <w:p>
            <w:pPr>
              <w:pStyle w:val="TableContents"/>
              <w:spacing w:before="0" w:after="283"/>
              <w:jc w:val="right"/>
              <w:rPr/>
            </w:pPr>
            <w:r>
              <w:rPr/>
              <w:t> </w:t>
            </w:r>
          </w:p>
        </w:tc>
        <w:tc>
          <w:tcPr>
            <w:tcW w:w="1445" w:type="dxa"/>
            <w:tcBorders/>
            <w:shd w:fill="EFF6EA" w:val="clear"/>
            <w:vAlign w:val="center"/>
          </w:tcPr>
          <w:p>
            <w:pPr>
              <w:pStyle w:val="TableContents"/>
              <w:spacing w:before="0" w:after="283"/>
              <w:jc w:val="right"/>
              <w:rPr/>
            </w:pPr>
            <w:r>
              <w:rPr/>
              <w:t>812</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67.55</w:t>
            </w:r>
          </w:p>
        </w:tc>
        <w:tc>
          <w:tcPr>
            <w:tcW w:w="120" w:type="dxa"/>
            <w:tcBorders/>
            <w:shd w:fill="EFF6EA" w:val="clear"/>
            <w:vAlign w:val="center"/>
          </w:tcPr>
          <w:p>
            <w:pPr>
              <w:pStyle w:val="TableContents"/>
              <w:spacing w:before="0" w:after="283"/>
              <w:jc w:val="right"/>
              <w:rPr/>
            </w:pPr>
            <w:r>
              <w:rPr/>
              <w:t> </w:t>
            </w:r>
          </w:p>
        </w:tc>
        <w:tc>
          <w:tcPr>
            <w:tcW w:w="1115" w:type="dxa"/>
            <w:tcBorders/>
            <w:shd w:fill="EFF6EA" w:val="clear"/>
            <w:vAlign w:val="center"/>
          </w:tcPr>
          <w:p>
            <w:pPr>
              <w:pStyle w:val="TableContents"/>
              <w:spacing w:before="0" w:after="283"/>
              <w:jc w:val="right"/>
              <w:rPr/>
            </w:pPr>
            <w:r>
              <w:rPr/>
              <w:t>3/1/2029</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1,000</w:t>
            </w:r>
          </w:p>
        </w:tc>
        <w:tc>
          <w:tcPr>
            <w:tcW w:w="120" w:type="dxa"/>
            <w:tcBorders/>
            <w:shd w:fill="EFF6EA" w:val="clear"/>
            <w:vAlign w:val="center"/>
          </w:tcPr>
          <w:p>
            <w:pPr>
              <w:pStyle w:val="TableContents"/>
              <w:spacing w:before="0" w:after="283"/>
              <w:jc w:val="right"/>
              <w:rPr/>
            </w:pPr>
            <w:r>
              <w:rPr/>
              <w:t> </w:t>
            </w:r>
          </w:p>
        </w:tc>
        <w:tc>
          <w:tcPr>
            <w:tcW w:w="980" w:type="dxa"/>
            <w:tcBorders/>
            <w:shd w:fill="EFF6EA" w:val="clear"/>
            <w:vAlign w:val="center"/>
          </w:tcPr>
          <w:p>
            <w:pPr>
              <w:pStyle w:val="TableContents"/>
              <w:spacing w:before="0" w:after="283"/>
              <w:jc w:val="right"/>
              <w:rPr/>
            </w:pPr>
            <w:r>
              <w:rPr/>
              <w:t>46,330</w:t>
            </w:r>
          </w:p>
        </w:tc>
        <w:tc>
          <w:tcPr>
            <w:tcW w:w="120" w:type="dxa"/>
            <w:tcBorders/>
            <w:shd w:fill="EFF6EA" w:val="clear"/>
            <w:vAlign w:val="center"/>
          </w:tcPr>
          <w:p>
            <w:pPr>
              <w:pStyle w:val="TableContents"/>
              <w:spacing w:before="0" w:after="283"/>
              <w:jc w:val="right"/>
              <w:rPr/>
            </w:pPr>
            <w:r>
              <w:rPr/>
              <w:t> </w:t>
            </w:r>
          </w:p>
        </w:tc>
        <w:tc>
          <w:tcPr>
            <w:tcW w:w="104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55" w:type="dxa"/>
            <w:tcBorders/>
            <w:shd w:fill="EFF6EA" w:val="cle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FFFFFF" w:val="clear"/>
            <w:vAlign w:val="center"/>
          </w:tcPr>
          <w:p>
            <w:pPr>
              <w:pStyle w:val="TableContents"/>
              <w:spacing w:before="0" w:after="283"/>
              <w:jc w:val="right"/>
              <w:rPr/>
            </w:pPr>
            <w:r>
              <w:rPr/>
              <w:t>3/1/2018</w:t>
            </w:r>
          </w:p>
        </w:tc>
        <w:tc>
          <w:tcPr>
            <w:tcW w:w="120" w:type="dxa"/>
            <w:tcBorders/>
            <w:shd w:fill="FFFFFF" w:val="clear"/>
            <w:vAlign w:val="center"/>
          </w:tcPr>
          <w:p>
            <w:pPr>
              <w:pStyle w:val="TableContents"/>
              <w:spacing w:before="0" w:after="283"/>
              <w:jc w:val="right"/>
              <w:rPr/>
            </w:pPr>
            <w:r>
              <w:rPr/>
              <w:t> </w:t>
            </w:r>
          </w:p>
        </w:tc>
        <w:tc>
          <w:tcPr>
            <w:tcW w:w="1265" w:type="dxa"/>
            <w:tcBorders/>
            <w:shd w:fill="FFFFFF" w:val="clear"/>
            <w:vAlign w:val="center"/>
          </w:tcPr>
          <w:p>
            <w:pPr>
              <w:pStyle w:val="TableContents"/>
              <w:spacing w:before="0" w:after="283"/>
              <w:jc w:val="right"/>
              <w:rPr/>
            </w:pPr>
            <w:r>
              <w:rPr/>
              <w:t>3,900</w:t>
            </w:r>
          </w:p>
        </w:tc>
        <w:tc>
          <w:tcPr>
            <w:tcW w:w="120" w:type="dxa"/>
            <w:tcBorders/>
            <w:shd w:fill="FFFFFF" w:val="clear"/>
            <w:vAlign w:val="center"/>
          </w:tcPr>
          <w:p>
            <w:pPr>
              <w:pStyle w:val="TableContents"/>
              <w:spacing w:before="0" w:after="283"/>
              <w:jc w:val="right"/>
              <w:rPr/>
            </w:pPr>
            <w:r>
              <w:rPr/>
              <w:t> </w:t>
            </w:r>
          </w:p>
        </w:tc>
        <w:tc>
          <w:tcPr>
            <w:tcW w:w="1445"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48.43</w:t>
            </w:r>
          </w:p>
        </w:tc>
        <w:tc>
          <w:tcPr>
            <w:tcW w:w="120" w:type="dxa"/>
            <w:tcBorders/>
            <w:shd w:fill="FFFFFF" w:val="clear"/>
            <w:vAlign w:val="center"/>
          </w:tcPr>
          <w:p>
            <w:pPr>
              <w:pStyle w:val="TableContents"/>
              <w:spacing w:before="0" w:after="283"/>
              <w:jc w:val="right"/>
              <w:rPr/>
            </w:pPr>
            <w:r>
              <w:rPr/>
              <w:t> </w:t>
            </w:r>
          </w:p>
        </w:tc>
        <w:tc>
          <w:tcPr>
            <w:tcW w:w="1115" w:type="dxa"/>
            <w:tcBorders/>
            <w:shd w:fill="FFFFFF" w:val="clear"/>
            <w:vAlign w:val="center"/>
          </w:tcPr>
          <w:p>
            <w:pPr>
              <w:pStyle w:val="TableContents"/>
              <w:spacing w:before="0" w:after="283"/>
              <w:jc w:val="right"/>
              <w:rPr/>
            </w:pPr>
            <w:r>
              <w:rPr/>
              <w:t>3/1/2028</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98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4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55" w:type="dxa"/>
            <w:tcBorders/>
            <w:shd w:fill="FFFFFF" w:val="clear"/>
            <w:vAlign w:val="center"/>
          </w:tcPr>
          <w:p>
            <w:pPr>
              <w:pStyle w:val="TableContents"/>
              <w:spacing w:before="0" w:after="283"/>
              <w:jc w:val="right"/>
              <w:rPr/>
            </w:pPr>
            <w:r>
              <w:rPr/>
              <w:t>—</w:t>
            </w:r>
          </w:p>
        </w:tc>
      </w:tr>
      <w:tr>
        <w:trPr/>
        <w:tc>
          <w:tcPr>
            <w:tcW w:w="1805" w:type="dxa"/>
            <w:tcBorders>
              <w:bottom w:val="single" w:sz="2" w:space="0" w:color="7CBC3E"/>
            </w:tcBorders>
            <w:shd w:fill="FFFFFF" w:val="clear"/>
            <w:tcMar>
              <w:bottom w:w="28" w:type="dxa"/>
            </w:tcMar>
            <w:vAlign w:val="center"/>
          </w:tcPr>
          <w:p>
            <w:pPr>
              <w:pStyle w:val="TableContents"/>
              <w:spacing w:before="0" w:after="283"/>
              <w:jc w:val="left"/>
              <w:rPr/>
            </w:pPr>
            <w:r>
              <w:rPr/>
              <w:t> </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635" w:type="dxa"/>
            <w:tcBorders>
              <w:bottom w:val="single" w:sz="2" w:space="0" w:color="7CBC3E"/>
            </w:tcBorders>
            <w:shd w:fill="EFF6EA" w:val="clear"/>
            <w:tcMar>
              <w:bottom w:w="28" w:type="dxa"/>
            </w:tcMar>
            <w:vAlign w:val="center"/>
          </w:tcPr>
          <w:p>
            <w:pPr>
              <w:pStyle w:val="TableContents"/>
              <w:spacing w:before="0" w:after="283"/>
              <w:jc w:val="right"/>
              <w:rPr/>
            </w:pPr>
            <w:r>
              <w:rPr/>
              <w:t>7/6/2017</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265" w:type="dxa"/>
            <w:tcBorders>
              <w:bottom w:val="single" w:sz="2" w:space="0" w:color="7CBC3E"/>
            </w:tcBorders>
            <w:shd w:fill="EFF6EA" w:val="clear"/>
            <w:tcMar>
              <w:bottom w:w="28" w:type="dxa"/>
            </w:tcMar>
            <w:vAlign w:val="center"/>
          </w:tcPr>
          <w:p>
            <w:pPr>
              <w:pStyle w:val="TableContents"/>
              <w:spacing w:before="0" w:after="283"/>
              <w:jc w:val="right"/>
              <w:rPr/>
            </w:pPr>
            <w:r>
              <w:rPr/>
              <w:t>30,000</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44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875" w:type="dxa"/>
            <w:tcBorders>
              <w:bottom w:val="single" w:sz="2" w:space="0" w:color="7CBC3E"/>
            </w:tcBorders>
            <w:shd w:fill="EFF6EA" w:val="clear"/>
            <w:tcMar>
              <w:bottom w:w="28" w:type="dxa"/>
            </w:tcMar>
            <w:vAlign w:val="center"/>
          </w:tcPr>
          <w:p>
            <w:pPr>
              <w:pStyle w:val="TableContents"/>
              <w:spacing w:before="0" w:after="283"/>
              <w:jc w:val="right"/>
              <w:rPr/>
            </w:pPr>
            <w:r>
              <w:rPr/>
              <w:t>63.28</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115" w:type="dxa"/>
            <w:tcBorders>
              <w:bottom w:val="single" w:sz="2" w:space="0" w:color="7CBC3E"/>
            </w:tcBorders>
            <w:shd w:fill="EFF6EA" w:val="clear"/>
            <w:tcMar>
              <w:bottom w:w="28" w:type="dxa"/>
            </w:tcMar>
            <w:vAlign w:val="center"/>
          </w:tcPr>
          <w:p>
            <w:pPr>
              <w:pStyle w:val="TableContents"/>
              <w:spacing w:before="0" w:after="283"/>
              <w:jc w:val="right"/>
              <w:rPr/>
            </w:pPr>
            <w:r>
              <w:rPr/>
              <w:t>7/6/2027</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87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98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4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55" w:type="dxa"/>
            <w:tcBorders>
              <w:bottom w:val="single" w:sz="2" w:space="0" w:color="7CBC3E"/>
            </w:tcBorders>
            <w:shd w:fill="EFF6EA" w:val="clear"/>
            <w:tcMar>
              <w:bottom w:w="28" w:type="dxa"/>
            </w:tcMar>
            <w:vAlign w:val="center"/>
          </w:tcPr>
          <w:p>
            <w:pPr>
              <w:pStyle w:val="TableContents"/>
              <w:spacing w:before="0" w:after="283"/>
              <w:jc w:val="right"/>
              <w:rPr/>
            </w:pPr>
            <w:r>
              <w:rPr/>
              <w:t>—</w:t>
            </w:r>
          </w:p>
        </w:tc>
      </w:tr>
      <w:tr>
        <w:trPr/>
        <w:tc>
          <w:tcPr>
            <w:tcW w:w="1805" w:type="dxa"/>
            <w:vMerge w:val="restart"/>
            <w:tcBorders/>
            <w:shd w:fill="FFFFFF" w:val="clear"/>
            <w:vAlign w:val="center"/>
          </w:tcPr>
          <w:p>
            <w:pPr>
              <w:pStyle w:val="TableContents"/>
              <w:spacing w:before="0" w:after="283"/>
              <w:jc w:val="left"/>
              <w:rPr>
                <w:b/>
              </w:rPr>
            </w:pPr>
            <w:r>
              <w:rPr>
                <w:b/>
              </w:rPr>
              <w:t>Camille L.</w:t>
              <w:br/>
              <w:t>Bedrosian, M.D.</w:t>
            </w:r>
          </w:p>
        </w:tc>
        <w:tc>
          <w:tcPr>
            <w:tcW w:w="120" w:type="dxa"/>
            <w:tcBorders/>
            <w:shd w:fill="FFFFFF" w:val="clear"/>
            <w:vAlign w:val="center"/>
          </w:tcPr>
          <w:p>
            <w:pPr>
              <w:pStyle w:val="TableContents"/>
              <w:spacing w:before="0" w:after="283"/>
              <w:jc w:val="right"/>
              <w:rPr/>
            </w:pPr>
            <w:r>
              <w:rPr/>
              <w:t> </w:t>
            </w:r>
          </w:p>
        </w:tc>
        <w:tc>
          <w:tcPr>
            <w:tcW w:w="635" w:type="dxa"/>
            <w:tcBorders/>
            <w:shd w:fill="FFFFFF" w:val="clear"/>
            <w:vAlign w:val="center"/>
          </w:tcPr>
          <w:p>
            <w:pPr>
              <w:pStyle w:val="TableContents"/>
              <w:spacing w:before="0" w:after="283"/>
              <w:jc w:val="right"/>
              <w:rPr/>
            </w:pPr>
            <w:r>
              <w:rPr/>
              <w:t>3/1/2022</w:t>
            </w:r>
          </w:p>
        </w:tc>
        <w:tc>
          <w:tcPr>
            <w:tcW w:w="120" w:type="dxa"/>
            <w:tcBorders/>
            <w:shd w:fill="FFFFFF" w:val="clear"/>
            <w:vAlign w:val="center"/>
          </w:tcPr>
          <w:p>
            <w:pPr>
              <w:pStyle w:val="TableContents"/>
              <w:spacing w:before="0" w:after="283"/>
              <w:jc w:val="right"/>
              <w:rPr/>
            </w:pPr>
            <w:r>
              <w:rPr/>
              <w:t> </w:t>
            </w:r>
          </w:p>
        </w:tc>
        <w:tc>
          <w:tcPr>
            <w:tcW w:w="1265"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445" w:type="dxa"/>
            <w:tcBorders/>
            <w:shd w:fill="FFFFFF" w:val="clear"/>
            <w:vAlign w:val="center"/>
          </w:tcPr>
          <w:p>
            <w:pPr>
              <w:pStyle w:val="TableContents"/>
              <w:spacing w:before="0" w:after="283"/>
              <w:jc w:val="right"/>
              <w:rPr/>
            </w:pPr>
            <w:r>
              <w:rPr/>
              <w:t>24,900</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67.37</w:t>
            </w:r>
          </w:p>
        </w:tc>
        <w:tc>
          <w:tcPr>
            <w:tcW w:w="120" w:type="dxa"/>
            <w:tcBorders/>
            <w:shd w:fill="FFFFFF" w:val="clear"/>
            <w:vAlign w:val="center"/>
          </w:tcPr>
          <w:p>
            <w:pPr>
              <w:pStyle w:val="TableContents"/>
              <w:spacing w:before="0" w:after="283"/>
              <w:jc w:val="right"/>
              <w:rPr/>
            </w:pPr>
            <w:r>
              <w:rPr/>
              <w:t> </w:t>
            </w:r>
          </w:p>
        </w:tc>
        <w:tc>
          <w:tcPr>
            <w:tcW w:w="1115" w:type="dxa"/>
            <w:tcBorders/>
            <w:shd w:fill="FFFFFF" w:val="clear"/>
            <w:vAlign w:val="center"/>
          </w:tcPr>
          <w:p>
            <w:pPr>
              <w:pStyle w:val="TableContents"/>
              <w:spacing w:before="0" w:after="283"/>
              <w:jc w:val="right"/>
              <w:rPr/>
            </w:pPr>
            <w:r>
              <w:rPr/>
              <w:t>3/1/2032</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14,000</w:t>
            </w:r>
          </w:p>
        </w:tc>
        <w:tc>
          <w:tcPr>
            <w:tcW w:w="120" w:type="dxa"/>
            <w:tcBorders/>
            <w:shd w:fill="FFFFFF" w:val="clear"/>
            <w:vAlign w:val="center"/>
          </w:tcPr>
          <w:p>
            <w:pPr>
              <w:pStyle w:val="TableContents"/>
              <w:spacing w:before="0" w:after="283"/>
              <w:jc w:val="right"/>
              <w:rPr/>
            </w:pPr>
            <w:r>
              <w:rPr/>
              <w:t> </w:t>
            </w:r>
          </w:p>
        </w:tc>
        <w:tc>
          <w:tcPr>
            <w:tcW w:w="980" w:type="dxa"/>
            <w:tcBorders/>
            <w:shd w:fill="FFFFFF" w:val="clear"/>
            <w:vAlign w:val="center"/>
          </w:tcPr>
          <w:p>
            <w:pPr>
              <w:pStyle w:val="TableContents"/>
              <w:spacing w:before="0" w:after="283"/>
              <w:jc w:val="right"/>
              <w:rPr/>
            </w:pPr>
            <w:r>
              <w:rPr/>
              <w:t>648,620</w:t>
            </w:r>
          </w:p>
        </w:tc>
        <w:tc>
          <w:tcPr>
            <w:tcW w:w="120" w:type="dxa"/>
            <w:tcBorders/>
            <w:shd w:fill="FFFFFF" w:val="clear"/>
            <w:vAlign w:val="center"/>
          </w:tcPr>
          <w:p>
            <w:pPr>
              <w:pStyle w:val="TableContents"/>
              <w:spacing w:before="0" w:after="283"/>
              <w:jc w:val="right"/>
              <w:rPr/>
            </w:pPr>
            <w:r>
              <w:rPr/>
              <w:t> </w:t>
            </w:r>
          </w:p>
        </w:tc>
        <w:tc>
          <w:tcPr>
            <w:tcW w:w="1040" w:type="dxa"/>
            <w:tcBorders/>
            <w:shd w:fill="FFFFFF" w:val="clear"/>
            <w:vAlign w:val="center"/>
          </w:tcPr>
          <w:p>
            <w:pPr>
              <w:pStyle w:val="TableContents"/>
              <w:spacing w:before="0" w:after="283"/>
              <w:jc w:val="right"/>
              <w:rPr/>
            </w:pPr>
            <w:r>
              <w:rPr/>
              <w:t>14,000</w:t>
            </w:r>
          </w:p>
        </w:tc>
        <w:tc>
          <w:tcPr>
            <w:tcW w:w="120" w:type="dxa"/>
            <w:tcBorders/>
            <w:shd w:fill="FFFFFF" w:val="clear"/>
            <w:vAlign w:val="center"/>
          </w:tcPr>
          <w:p>
            <w:pPr>
              <w:pStyle w:val="TableContents"/>
              <w:spacing w:before="0" w:after="283"/>
              <w:jc w:val="right"/>
              <w:rPr/>
            </w:pPr>
            <w:r>
              <w:rPr/>
              <w:t> </w:t>
            </w:r>
          </w:p>
        </w:tc>
        <w:tc>
          <w:tcPr>
            <w:tcW w:w="1055" w:type="dxa"/>
            <w:tcBorders/>
            <w:shd w:fill="FFFFFF" w:val="clear"/>
            <w:vAlign w:val="center"/>
          </w:tcPr>
          <w:p>
            <w:pPr>
              <w:pStyle w:val="TableContents"/>
              <w:spacing w:before="0" w:after="283"/>
              <w:jc w:val="right"/>
              <w:rPr/>
            </w:pPr>
            <w:r>
              <w:rPr/>
              <w:t>648,620</w:t>
            </w:r>
          </w:p>
        </w:tc>
      </w:tr>
      <w:tr>
        <w:trPr/>
        <w:tc>
          <w:tcPr>
            <w:tcW w:w="1805" w:type="dxa"/>
            <w:vMerge w:val="continue"/>
            <w:tcBorders/>
            <w:shd w:fill="FFFFFF" w:val="clear"/>
            <w:vAlign w:val="center"/>
          </w:tcPr>
          <w:p>
            <w:pPr>
              <w:pStyle w:val="Normal"/>
              <w:rPr/>
            </w:pPr>
            <w:r>
              <w:rPr/>
            </w:r>
          </w:p>
        </w:tc>
        <w:tc>
          <w:tcPr>
            <w:tcW w:w="120" w:type="dxa"/>
            <w:tcBorders/>
            <w:shd w:fill="FFFFFF" w:val="clear"/>
            <w:vAlign w:val="center"/>
          </w:tcPr>
          <w:p>
            <w:pPr>
              <w:pStyle w:val="TableContents"/>
              <w:spacing w:before="0" w:after="283"/>
              <w:jc w:val="right"/>
              <w:rPr/>
            </w:pPr>
            <w:r>
              <w:rPr/>
              <w:t> </w:t>
            </w:r>
          </w:p>
        </w:tc>
        <w:tc>
          <w:tcPr>
            <w:tcW w:w="635" w:type="dxa"/>
            <w:tcBorders/>
            <w:shd w:fill="EFF6EA" w:val="clear"/>
            <w:vAlign w:val="center"/>
          </w:tcPr>
          <w:p>
            <w:pPr>
              <w:pStyle w:val="TableContents"/>
              <w:spacing w:before="0" w:after="283"/>
              <w:jc w:val="right"/>
              <w:rPr/>
            </w:pPr>
            <w:r>
              <w:rPr/>
              <w:t>3/1/2021</w:t>
            </w:r>
          </w:p>
        </w:tc>
        <w:tc>
          <w:tcPr>
            <w:tcW w:w="120" w:type="dxa"/>
            <w:tcBorders/>
            <w:shd w:fill="EFF6EA" w:val="clear"/>
            <w:vAlign w:val="center"/>
          </w:tcPr>
          <w:p>
            <w:pPr>
              <w:pStyle w:val="TableContents"/>
              <w:spacing w:before="0" w:after="283"/>
              <w:jc w:val="right"/>
              <w:rPr/>
            </w:pPr>
            <w:r>
              <w:rPr/>
              <w:t> </w:t>
            </w:r>
          </w:p>
        </w:tc>
        <w:tc>
          <w:tcPr>
            <w:tcW w:w="1265" w:type="dxa"/>
            <w:tcBorders/>
            <w:shd w:fill="EFF6EA" w:val="clear"/>
            <w:vAlign w:val="center"/>
          </w:tcPr>
          <w:p>
            <w:pPr>
              <w:pStyle w:val="TableContents"/>
              <w:spacing w:before="0" w:after="283"/>
              <w:jc w:val="right"/>
              <w:rPr/>
            </w:pPr>
            <w:r>
              <w:rPr/>
              <w:t>4,813</w:t>
            </w:r>
          </w:p>
        </w:tc>
        <w:tc>
          <w:tcPr>
            <w:tcW w:w="120" w:type="dxa"/>
            <w:tcBorders/>
            <w:shd w:fill="EFF6EA" w:val="clear"/>
            <w:vAlign w:val="center"/>
          </w:tcPr>
          <w:p>
            <w:pPr>
              <w:pStyle w:val="TableContents"/>
              <w:spacing w:before="0" w:after="283"/>
              <w:jc w:val="right"/>
              <w:rPr/>
            </w:pPr>
            <w:r>
              <w:rPr/>
              <w:t> </w:t>
            </w:r>
          </w:p>
        </w:tc>
        <w:tc>
          <w:tcPr>
            <w:tcW w:w="1445" w:type="dxa"/>
            <w:tcBorders/>
            <w:shd w:fill="EFF6EA" w:val="clear"/>
            <w:vAlign w:val="center"/>
          </w:tcPr>
          <w:p>
            <w:pPr>
              <w:pStyle w:val="TableContents"/>
              <w:spacing w:before="0" w:after="283"/>
              <w:jc w:val="right"/>
              <w:rPr/>
            </w:pPr>
            <w:r>
              <w:rPr/>
              <w:t>6,187</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142.47</w:t>
            </w:r>
          </w:p>
        </w:tc>
        <w:tc>
          <w:tcPr>
            <w:tcW w:w="120" w:type="dxa"/>
            <w:tcBorders/>
            <w:shd w:fill="EFF6EA" w:val="clear"/>
            <w:vAlign w:val="center"/>
          </w:tcPr>
          <w:p>
            <w:pPr>
              <w:pStyle w:val="TableContents"/>
              <w:spacing w:before="0" w:after="283"/>
              <w:jc w:val="right"/>
              <w:rPr/>
            </w:pPr>
            <w:r>
              <w:rPr/>
              <w:t> </w:t>
            </w:r>
          </w:p>
        </w:tc>
        <w:tc>
          <w:tcPr>
            <w:tcW w:w="1115" w:type="dxa"/>
            <w:tcBorders/>
            <w:shd w:fill="EFF6EA" w:val="clear"/>
            <w:vAlign w:val="center"/>
          </w:tcPr>
          <w:p>
            <w:pPr>
              <w:pStyle w:val="TableContents"/>
              <w:spacing w:before="0" w:after="283"/>
              <w:jc w:val="right"/>
              <w:rPr/>
            </w:pPr>
            <w:r>
              <w:rPr/>
              <w:t>3/1/2031</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6,788</w:t>
            </w:r>
          </w:p>
        </w:tc>
        <w:tc>
          <w:tcPr>
            <w:tcW w:w="120" w:type="dxa"/>
            <w:tcBorders/>
            <w:shd w:fill="EFF6EA" w:val="clear"/>
            <w:vAlign w:val="center"/>
          </w:tcPr>
          <w:p>
            <w:pPr>
              <w:pStyle w:val="TableContents"/>
              <w:spacing w:before="0" w:after="283"/>
              <w:jc w:val="right"/>
              <w:rPr/>
            </w:pPr>
            <w:r>
              <w:rPr/>
              <w:t> </w:t>
            </w:r>
          </w:p>
        </w:tc>
        <w:tc>
          <w:tcPr>
            <w:tcW w:w="980" w:type="dxa"/>
            <w:tcBorders/>
            <w:shd w:fill="EFF6EA" w:val="clear"/>
            <w:vAlign w:val="center"/>
          </w:tcPr>
          <w:p>
            <w:pPr>
              <w:pStyle w:val="TableContents"/>
              <w:spacing w:before="0" w:after="283"/>
              <w:jc w:val="right"/>
              <w:rPr/>
            </w:pPr>
            <w:r>
              <w:rPr/>
              <w:t>314,488</w:t>
            </w:r>
          </w:p>
        </w:tc>
        <w:tc>
          <w:tcPr>
            <w:tcW w:w="120" w:type="dxa"/>
            <w:tcBorders/>
            <w:shd w:fill="EFF6EA" w:val="clear"/>
            <w:vAlign w:val="center"/>
          </w:tcPr>
          <w:p>
            <w:pPr>
              <w:pStyle w:val="TableContents"/>
              <w:spacing w:before="0" w:after="283"/>
              <w:jc w:val="right"/>
              <w:rPr/>
            </w:pPr>
            <w:r>
              <w:rPr/>
              <w:t> </w:t>
            </w:r>
          </w:p>
        </w:tc>
        <w:tc>
          <w:tcPr>
            <w:tcW w:w="1040" w:type="dxa"/>
            <w:tcBorders/>
            <w:shd w:fill="EFF6EA" w:val="clear"/>
            <w:vAlign w:val="center"/>
          </w:tcPr>
          <w:p>
            <w:pPr>
              <w:pStyle w:val="TableContents"/>
              <w:spacing w:before="0" w:after="283"/>
              <w:jc w:val="right"/>
              <w:rPr/>
            </w:pPr>
            <w:r>
              <w:rPr/>
              <w:t>1,100</w:t>
            </w:r>
          </w:p>
        </w:tc>
        <w:tc>
          <w:tcPr>
            <w:tcW w:w="120" w:type="dxa"/>
            <w:tcBorders/>
            <w:shd w:fill="EFF6EA" w:val="clear"/>
            <w:vAlign w:val="center"/>
          </w:tcPr>
          <w:p>
            <w:pPr>
              <w:pStyle w:val="TableContents"/>
              <w:spacing w:before="0" w:after="283"/>
              <w:jc w:val="right"/>
              <w:rPr/>
            </w:pPr>
            <w:r>
              <w:rPr/>
              <w:t> </w:t>
            </w:r>
          </w:p>
        </w:tc>
        <w:tc>
          <w:tcPr>
            <w:tcW w:w="1055" w:type="dxa"/>
            <w:tcBorders/>
            <w:shd w:fill="EFF6EA" w:val="clear"/>
            <w:vAlign w:val="center"/>
          </w:tcPr>
          <w:p>
            <w:pPr>
              <w:pStyle w:val="TableContents"/>
              <w:spacing w:before="0" w:after="283"/>
              <w:jc w:val="right"/>
              <w:rPr/>
            </w:pPr>
            <w:r>
              <w:rPr/>
              <w:t>50,963</w:t>
            </w:r>
          </w:p>
        </w:tc>
      </w:tr>
      <w:tr>
        <w:trPr/>
        <w:tc>
          <w:tcPr>
            <w:tcW w:w="1805" w:type="dxa"/>
            <w:vMerge w:val="continue"/>
            <w:tcBorders/>
            <w:shd w:fill="FFFFFF" w:val="clear"/>
            <w:vAlign w:val="center"/>
          </w:tcPr>
          <w:p>
            <w:pPr>
              <w:pStyle w:val="Normal"/>
              <w:rPr/>
            </w:pPr>
            <w:r>
              <w:rPr/>
            </w:r>
          </w:p>
        </w:tc>
        <w:tc>
          <w:tcPr>
            <w:tcW w:w="120" w:type="dxa"/>
            <w:tcBorders/>
            <w:shd w:fill="FFFFFF" w:val="clear"/>
            <w:vAlign w:val="center"/>
          </w:tcPr>
          <w:p>
            <w:pPr>
              <w:pStyle w:val="TableContents"/>
              <w:spacing w:before="0" w:after="283"/>
              <w:jc w:val="right"/>
              <w:rPr/>
            </w:pPr>
            <w:r>
              <w:rPr/>
              <w:t> </w:t>
            </w:r>
          </w:p>
        </w:tc>
        <w:tc>
          <w:tcPr>
            <w:tcW w:w="635" w:type="dxa"/>
            <w:tcBorders/>
            <w:shd w:fill="FFFFFF" w:val="clear"/>
            <w:vAlign w:val="center"/>
          </w:tcPr>
          <w:p>
            <w:pPr>
              <w:pStyle w:val="TableContents"/>
              <w:spacing w:before="0" w:after="283"/>
              <w:jc w:val="right"/>
              <w:rPr/>
            </w:pPr>
            <w:r>
              <w:rPr/>
              <w:t>3/1/2020</w:t>
            </w:r>
          </w:p>
        </w:tc>
        <w:tc>
          <w:tcPr>
            <w:tcW w:w="120" w:type="dxa"/>
            <w:tcBorders/>
            <w:shd w:fill="FFFFFF" w:val="clear"/>
            <w:vAlign w:val="center"/>
          </w:tcPr>
          <w:p>
            <w:pPr>
              <w:pStyle w:val="TableContents"/>
              <w:spacing w:before="0" w:after="283"/>
              <w:jc w:val="right"/>
              <w:rPr/>
            </w:pPr>
            <w:r>
              <w:rPr/>
              <w:t> </w:t>
            </w:r>
          </w:p>
        </w:tc>
        <w:tc>
          <w:tcPr>
            <w:tcW w:w="1265" w:type="dxa"/>
            <w:tcBorders/>
            <w:shd w:fill="FFFFFF" w:val="clear"/>
            <w:vAlign w:val="center"/>
          </w:tcPr>
          <w:p>
            <w:pPr>
              <w:pStyle w:val="TableContents"/>
              <w:spacing w:before="0" w:after="283"/>
              <w:jc w:val="right"/>
              <w:rPr/>
            </w:pPr>
            <w:r>
              <w:rPr/>
              <w:t>14,438</w:t>
            </w:r>
          </w:p>
        </w:tc>
        <w:tc>
          <w:tcPr>
            <w:tcW w:w="120" w:type="dxa"/>
            <w:tcBorders/>
            <w:shd w:fill="FFFFFF" w:val="clear"/>
            <w:vAlign w:val="center"/>
          </w:tcPr>
          <w:p>
            <w:pPr>
              <w:pStyle w:val="TableContents"/>
              <w:spacing w:before="0" w:after="283"/>
              <w:jc w:val="right"/>
              <w:rPr/>
            </w:pPr>
            <w:r>
              <w:rPr/>
              <w:t> </w:t>
            </w:r>
          </w:p>
        </w:tc>
        <w:tc>
          <w:tcPr>
            <w:tcW w:w="1445" w:type="dxa"/>
            <w:tcBorders/>
            <w:shd w:fill="FFFFFF" w:val="clear"/>
            <w:vAlign w:val="center"/>
          </w:tcPr>
          <w:p>
            <w:pPr>
              <w:pStyle w:val="TableContents"/>
              <w:spacing w:before="0" w:after="283"/>
              <w:jc w:val="right"/>
              <w:rPr/>
            </w:pPr>
            <w:r>
              <w:rPr/>
              <w:t>6,562</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56.08</w:t>
            </w:r>
          </w:p>
        </w:tc>
        <w:tc>
          <w:tcPr>
            <w:tcW w:w="120" w:type="dxa"/>
            <w:tcBorders/>
            <w:shd w:fill="FFFFFF" w:val="clear"/>
            <w:vAlign w:val="center"/>
          </w:tcPr>
          <w:p>
            <w:pPr>
              <w:pStyle w:val="TableContents"/>
              <w:spacing w:before="0" w:after="283"/>
              <w:jc w:val="right"/>
              <w:rPr/>
            </w:pPr>
            <w:r>
              <w:rPr/>
              <w:t> </w:t>
            </w:r>
          </w:p>
        </w:tc>
        <w:tc>
          <w:tcPr>
            <w:tcW w:w="1115" w:type="dxa"/>
            <w:tcBorders/>
            <w:shd w:fill="FFFFFF" w:val="clear"/>
            <w:vAlign w:val="center"/>
          </w:tcPr>
          <w:p>
            <w:pPr>
              <w:pStyle w:val="TableContents"/>
              <w:spacing w:before="0" w:after="283"/>
              <w:jc w:val="right"/>
              <w:rPr/>
            </w:pPr>
            <w:r>
              <w:rPr/>
              <w:t>3/1/2030</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3,650</w:t>
            </w:r>
          </w:p>
        </w:tc>
        <w:tc>
          <w:tcPr>
            <w:tcW w:w="120" w:type="dxa"/>
            <w:tcBorders/>
            <w:shd w:fill="FFFFFF" w:val="clear"/>
            <w:vAlign w:val="center"/>
          </w:tcPr>
          <w:p>
            <w:pPr>
              <w:pStyle w:val="TableContents"/>
              <w:spacing w:before="0" w:after="283"/>
              <w:jc w:val="right"/>
              <w:rPr/>
            </w:pPr>
            <w:r>
              <w:rPr/>
              <w:t> </w:t>
            </w:r>
          </w:p>
        </w:tc>
        <w:tc>
          <w:tcPr>
            <w:tcW w:w="980" w:type="dxa"/>
            <w:tcBorders/>
            <w:shd w:fill="FFFFFF" w:val="clear"/>
            <w:vAlign w:val="center"/>
          </w:tcPr>
          <w:p>
            <w:pPr>
              <w:pStyle w:val="TableContents"/>
              <w:spacing w:before="0" w:after="283"/>
              <w:jc w:val="right"/>
              <w:rPr/>
            </w:pPr>
            <w:r>
              <w:rPr/>
              <w:t>169,105</w:t>
            </w:r>
          </w:p>
        </w:tc>
        <w:tc>
          <w:tcPr>
            <w:tcW w:w="120" w:type="dxa"/>
            <w:tcBorders/>
            <w:shd w:fill="FFFFFF" w:val="clear"/>
            <w:vAlign w:val="center"/>
          </w:tcPr>
          <w:p>
            <w:pPr>
              <w:pStyle w:val="TableContents"/>
              <w:spacing w:before="0" w:after="283"/>
              <w:jc w:val="right"/>
              <w:rPr/>
            </w:pPr>
            <w:r>
              <w:rPr/>
              <w:t> </w:t>
            </w:r>
          </w:p>
        </w:tc>
        <w:tc>
          <w:tcPr>
            <w:tcW w:w="104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55" w:type="dxa"/>
            <w:tcBorders/>
            <w:shd w:fill="FFFFFF" w:val="cle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EFF6EA" w:val="clear"/>
            <w:vAlign w:val="center"/>
          </w:tcPr>
          <w:p>
            <w:pPr>
              <w:pStyle w:val="TableContents"/>
              <w:spacing w:before="0" w:after="283"/>
              <w:jc w:val="right"/>
              <w:rPr/>
            </w:pPr>
            <w:r>
              <w:rPr/>
              <w:t>3/1/2019</w:t>
            </w:r>
          </w:p>
        </w:tc>
        <w:tc>
          <w:tcPr>
            <w:tcW w:w="120" w:type="dxa"/>
            <w:tcBorders/>
            <w:shd w:fill="EFF6EA" w:val="clear"/>
            <w:vAlign w:val="center"/>
          </w:tcPr>
          <w:p>
            <w:pPr>
              <w:pStyle w:val="TableContents"/>
              <w:spacing w:before="0" w:after="283"/>
              <w:jc w:val="right"/>
              <w:rPr/>
            </w:pPr>
            <w:r>
              <w:rPr/>
              <w:t> </w:t>
            </w:r>
          </w:p>
        </w:tc>
        <w:tc>
          <w:tcPr>
            <w:tcW w:w="1265" w:type="dxa"/>
            <w:tcBorders/>
            <w:shd w:fill="EFF6EA" w:val="clear"/>
            <w:vAlign w:val="center"/>
          </w:tcPr>
          <w:p>
            <w:pPr>
              <w:pStyle w:val="TableContents"/>
              <w:spacing w:before="0" w:after="283"/>
              <w:jc w:val="right"/>
              <w:rPr/>
            </w:pPr>
            <w:r>
              <w:rPr/>
              <w:t>20,156</w:t>
            </w:r>
          </w:p>
        </w:tc>
        <w:tc>
          <w:tcPr>
            <w:tcW w:w="120" w:type="dxa"/>
            <w:tcBorders/>
            <w:shd w:fill="EFF6EA" w:val="clear"/>
            <w:vAlign w:val="center"/>
          </w:tcPr>
          <w:p>
            <w:pPr>
              <w:pStyle w:val="TableContents"/>
              <w:spacing w:before="0" w:after="283"/>
              <w:jc w:val="right"/>
              <w:rPr/>
            </w:pPr>
            <w:r>
              <w:rPr/>
              <w:t> </w:t>
            </w:r>
          </w:p>
        </w:tc>
        <w:tc>
          <w:tcPr>
            <w:tcW w:w="1445" w:type="dxa"/>
            <w:tcBorders/>
            <w:shd w:fill="EFF6EA" w:val="clear"/>
            <w:vAlign w:val="center"/>
          </w:tcPr>
          <w:p>
            <w:pPr>
              <w:pStyle w:val="TableContents"/>
              <w:spacing w:before="0" w:after="283"/>
              <w:jc w:val="right"/>
              <w:rPr/>
            </w:pPr>
            <w:r>
              <w:rPr/>
              <w:t>1,344</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67.55</w:t>
            </w:r>
          </w:p>
        </w:tc>
        <w:tc>
          <w:tcPr>
            <w:tcW w:w="120" w:type="dxa"/>
            <w:tcBorders/>
            <w:shd w:fill="EFF6EA" w:val="clear"/>
            <w:vAlign w:val="center"/>
          </w:tcPr>
          <w:p>
            <w:pPr>
              <w:pStyle w:val="TableContents"/>
              <w:spacing w:before="0" w:after="283"/>
              <w:jc w:val="right"/>
              <w:rPr/>
            </w:pPr>
            <w:r>
              <w:rPr/>
              <w:t> </w:t>
            </w:r>
          </w:p>
        </w:tc>
        <w:tc>
          <w:tcPr>
            <w:tcW w:w="1115" w:type="dxa"/>
            <w:tcBorders/>
            <w:shd w:fill="EFF6EA" w:val="clear"/>
            <w:vAlign w:val="center"/>
          </w:tcPr>
          <w:p>
            <w:pPr>
              <w:pStyle w:val="TableContents"/>
              <w:spacing w:before="0" w:after="283"/>
              <w:jc w:val="right"/>
              <w:rPr/>
            </w:pPr>
            <w:r>
              <w:rPr/>
              <w:t>3/1/2029</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1,750</w:t>
            </w:r>
          </w:p>
        </w:tc>
        <w:tc>
          <w:tcPr>
            <w:tcW w:w="120" w:type="dxa"/>
            <w:tcBorders/>
            <w:shd w:fill="EFF6EA" w:val="clear"/>
            <w:vAlign w:val="center"/>
          </w:tcPr>
          <w:p>
            <w:pPr>
              <w:pStyle w:val="TableContents"/>
              <w:spacing w:before="0" w:after="283"/>
              <w:jc w:val="right"/>
              <w:rPr/>
            </w:pPr>
            <w:r>
              <w:rPr/>
              <w:t> </w:t>
            </w:r>
          </w:p>
        </w:tc>
        <w:tc>
          <w:tcPr>
            <w:tcW w:w="980" w:type="dxa"/>
            <w:tcBorders/>
            <w:shd w:fill="EFF6EA" w:val="clear"/>
            <w:vAlign w:val="center"/>
          </w:tcPr>
          <w:p>
            <w:pPr>
              <w:pStyle w:val="TableContents"/>
              <w:spacing w:before="0" w:after="283"/>
              <w:jc w:val="right"/>
              <w:rPr/>
            </w:pPr>
            <w:r>
              <w:rPr/>
              <w:t>81,078</w:t>
            </w:r>
          </w:p>
        </w:tc>
        <w:tc>
          <w:tcPr>
            <w:tcW w:w="120" w:type="dxa"/>
            <w:tcBorders/>
            <w:shd w:fill="EFF6EA" w:val="clear"/>
            <w:vAlign w:val="center"/>
          </w:tcPr>
          <w:p>
            <w:pPr>
              <w:pStyle w:val="TableContents"/>
              <w:spacing w:before="0" w:after="283"/>
              <w:jc w:val="right"/>
              <w:rPr/>
            </w:pPr>
            <w:r>
              <w:rPr/>
              <w:t> </w:t>
            </w:r>
          </w:p>
        </w:tc>
        <w:tc>
          <w:tcPr>
            <w:tcW w:w="104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55" w:type="dxa"/>
            <w:tcBorders/>
            <w:shd w:fill="EFF6EA" w:val="clear"/>
            <w:vAlign w:val="center"/>
          </w:tcPr>
          <w:p>
            <w:pPr>
              <w:pStyle w:val="TableContents"/>
              <w:spacing w:before="0" w:after="283"/>
              <w:jc w:val="right"/>
              <w:rPr/>
            </w:pPr>
            <w:r>
              <w:rPr/>
              <w:t>—</w:t>
            </w:r>
          </w:p>
        </w:tc>
      </w:tr>
      <w:tr>
        <w:trPr/>
        <w:tc>
          <w:tcPr>
            <w:tcW w:w="1805" w:type="dxa"/>
            <w:tcBorders>
              <w:bottom w:val="single" w:sz="2" w:space="0" w:color="7CBC3E"/>
            </w:tcBorders>
            <w:shd w:fill="FFFFFF" w:val="clear"/>
            <w:tcMar>
              <w:bottom w:w="28" w:type="dxa"/>
            </w:tcMar>
            <w:vAlign w:val="center"/>
          </w:tcPr>
          <w:p>
            <w:pPr>
              <w:pStyle w:val="TableContents"/>
              <w:spacing w:before="0" w:after="283"/>
              <w:jc w:val="left"/>
              <w:rPr/>
            </w:pPr>
            <w:r>
              <w:rPr/>
              <w:t> </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635" w:type="dxa"/>
            <w:tcBorders>
              <w:bottom w:val="single" w:sz="2" w:space="0" w:color="7CBC3E"/>
            </w:tcBorders>
            <w:shd w:fill="FFFFFF" w:val="clear"/>
            <w:tcMar>
              <w:bottom w:w="28" w:type="dxa"/>
            </w:tcMar>
            <w:vAlign w:val="center"/>
          </w:tcPr>
          <w:p>
            <w:pPr>
              <w:pStyle w:val="TableContents"/>
              <w:spacing w:before="0" w:after="283"/>
              <w:jc w:val="right"/>
              <w:rPr/>
            </w:pPr>
            <w:r>
              <w:rPr/>
              <w:t>1/30/2018</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1265" w:type="dxa"/>
            <w:tcBorders>
              <w:bottom w:val="single" w:sz="2" w:space="0" w:color="7CBC3E"/>
            </w:tcBorders>
            <w:shd w:fill="FFFFFF" w:val="clear"/>
            <w:tcMar>
              <w:bottom w:w="28" w:type="dxa"/>
            </w:tcMar>
            <w:vAlign w:val="center"/>
          </w:tcPr>
          <w:p>
            <w:pPr>
              <w:pStyle w:val="TableContents"/>
              <w:spacing w:before="0" w:after="283"/>
              <w:jc w:val="right"/>
              <w:rPr/>
            </w:pPr>
            <w:r>
              <w:rPr/>
              <w:t>53,000</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1445" w:type="dxa"/>
            <w:tcBorders>
              <w:bottom w:val="single" w:sz="2" w:space="0" w:color="7CBC3E"/>
            </w:tcBorders>
            <w:shd w:fill="FFFFFF"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875" w:type="dxa"/>
            <w:tcBorders>
              <w:bottom w:val="single" w:sz="2" w:space="0" w:color="7CBC3E"/>
            </w:tcBorders>
            <w:shd w:fill="FFFFFF" w:val="clear"/>
            <w:tcMar>
              <w:bottom w:w="28" w:type="dxa"/>
            </w:tcMar>
            <w:vAlign w:val="center"/>
          </w:tcPr>
          <w:p>
            <w:pPr>
              <w:pStyle w:val="TableContents"/>
              <w:spacing w:before="0" w:after="283"/>
              <w:jc w:val="right"/>
              <w:rPr/>
            </w:pPr>
            <w:r>
              <w:rPr/>
              <w:t>55.00</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1115" w:type="dxa"/>
            <w:tcBorders>
              <w:bottom w:val="single" w:sz="2" w:space="0" w:color="7CBC3E"/>
            </w:tcBorders>
            <w:shd w:fill="FFFFFF" w:val="clear"/>
            <w:tcMar>
              <w:bottom w:w="28" w:type="dxa"/>
            </w:tcMar>
            <w:vAlign w:val="center"/>
          </w:tcPr>
          <w:p>
            <w:pPr>
              <w:pStyle w:val="TableContents"/>
              <w:spacing w:before="0" w:after="283"/>
              <w:jc w:val="right"/>
              <w:rPr/>
            </w:pPr>
            <w:r>
              <w:rPr/>
              <w:t>1/30/2028</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875" w:type="dxa"/>
            <w:tcBorders>
              <w:bottom w:val="single" w:sz="2" w:space="0" w:color="7CBC3E"/>
            </w:tcBorders>
            <w:shd w:fill="FFFFFF"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980" w:type="dxa"/>
            <w:tcBorders>
              <w:bottom w:val="single" w:sz="2" w:space="0" w:color="7CBC3E"/>
            </w:tcBorders>
            <w:shd w:fill="FFFFFF"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1040" w:type="dxa"/>
            <w:tcBorders>
              <w:bottom w:val="single" w:sz="2" w:space="0" w:color="7CBC3E"/>
            </w:tcBorders>
            <w:shd w:fill="FFFFFF"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1055" w:type="dxa"/>
            <w:tcBorders>
              <w:bottom w:val="single" w:sz="2" w:space="0" w:color="7CBC3E"/>
            </w:tcBorders>
            <w:shd w:fill="FFFFFF" w:val="clear"/>
            <w:tcMar>
              <w:bottom w:w="28" w:type="dxa"/>
            </w:tcM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b/>
              </w:rPr>
            </w:pPr>
            <w:r>
              <w:rPr>
                <w:b/>
              </w:rPr>
              <w:t>John R. Pinion II</w:t>
            </w:r>
          </w:p>
        </w:tc>
        <w:tc>
          <w:tcPr>
            <w:tcW w:w="120" w:type="dxa"/>
            <w:tcBorders/>
            <w:shd w:fill="FFFFFF" w:val="clear"/>
            <w:vAlign w:val="center"/>
          </w:tcPr>
          <w:p>
            <w:pPr>
              <w:pStyle w:val="TableContents"/>
              <w:spacing w:before="0" w:after="283"/>
              <w:jc w:val="right"/>
              <w:rPr/>
            </w:pPr>
            <w:r>
              <w:rPr/>
              <w:t> </w:t>
            </w:r>
          </w:p>
        </w:tc>
        <w:tc>
          <w:tcPr>
            <w:tcW w:w="635" w:type="dxa"/>
            <w:tcBorders/>
            <w:shd w:fill="EFF6EA" w:val="clear"/>
            <w:vAlign w:val="center"/>
          </w:tcPr>
          <w:p>
            <w:pPr>
              <w:pStyle w:val="TableContents"/>
              <w:spacing w:before="0" w:after="283"/>
              <w:jc w:val="right"/>
              <w:rPr/>
            </w:pPr>
            <w:r>
              <w:rPr/>
              <w:t>3/1/2022</w:t>
            </w:r>
          </w:p>
        </w:tc>
        <w:tc>
          <w:tcPr>
            <w:tcW w:w="120" w:type="dxa"/>
            <w:tcBorders/>
            <w:shd w:fill="EFF6EA" w:val="clear"/>
            <w:vAlign w:val="center"/>
          </w:tcPr>
          <w:p>
            <w:pPr>
              <w:pStyle w:val="TableContents"/>
              <w:spacing w:before="0" w:after="283"/>
              <w:jc w:val="right"/>
              <w:rPr/>
            </w:pPr>
            <w:r>
              <w:rPr/>
              <w:t> </w:t>
            </w:r>
          </w:p>
        </w:tc>
        <w:tc>
          <w:tcPr>
            <w:tcW w:w="126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445" w:type="dxa"/>
            <w:tcBorders/>
            <w:shd w:fill="EFF6EA" w:val="clear"/>
            <w:vAlign w:val="center"/>
          </w:tcPr>
          <w:p>
            <w:pPr>
              <w:pStyle w:val="TableContents"/>
              <w:spacing w:before="0" w:after="283"/>
              <w:jc w:val="right"/>
              <w:rPr/>
            </w:pPr>
            <w:r>
              <w:rPr/>
              <w:t>24,900</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67.37</w:t>
            </w:r>
          </w:p>
        </w:tc>
        <w:tc>
          <w:tcPr>
            <w:tcW w:w="120" w:type="dxa"/>
            <w:tcBorders/>
            <w:shd w:fill="EFF6EA" w:val="clear"/>
            <w:vAlign w:val="center"/>
          </w:tcPr>
          <w:p>
            <w:pPr>
              <w:pStyle w:val="TableContents"/>
              <w:spacing w:before="0" w:after="283"/>
              <w:jc w:val="right"/>
              <w:rPr/>
            </w:pPr>
            <w:r>
              <w:rPr/>
              <w:t> </w:t>
            </w:r>
          </w:p>
        </w:tc>
        <w:tc>
          <w:tcPr>
            <w:tcW w:w="1115" w:type="dxa"/>
            <w:tcBorders/>
            <w:shd w:fill="EFF6EA" w:val="clear"/>
            <w:vAlign w:val="center"/>
          </w:tcPr>
          <w:p>
            <w:pPr>
              <w:pStyle w:val="TableContents"/>
              <w:spacing w:before="0" w:after="283"/>
              <w:jc w:val="right"/>
              <w:rPr/>
            </w:pPr>
            <w:r>
              <w:rPr/>
              <w:t>3/1/2032</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14,000</w:t>
            </w:r>
          </w:p>
        </w:tc>
        <w:tc>
          <w:tcPr>
            <w:tcW w:w="120" w:type="dxa"/>
            <w:tcBorders/>
            <w:shd w:fill="EFF6EA" w:val="clear"/>
            <w:vAlign w:val="center"/>
          </w:tcPr>
          <w:p>
            <w:pPr>
              <w:pStyle w:val="TableContents"/>
              <w:spacing w:before="0" w:after="283"/>
              <w:jc w:val="right"/>
              <w:rPr/>
            </w:pPr>
            <w:r>
              <w:rPr/>
              <w:t> </w:t>
            </w:r>
          </w:p>
        </w:tc>
        <w:tc>
          <w:tcPr>
            <w:tcW w:w="980" w:type="dxa"/>
            <w:tcBorders/>
            <w:shd w:fill="EFF6EA" w:val="clear"/>
            <w:vAlign w:val="center"/>
          </w:tcPr>
          <w:p>
            <w:pPr>
              <w:pStyle w:val="TableContents"/>
              <w:spacing w:before="0" w:after="283"/>
              <w:jc w:val="right"/>
              <w:rPr/>
            </w:pPr>
            <w:r>
              <w:rPr/>
              <w:t>648,620</w:t>
            </w:r>
          </w:p>
        </w:tc>
        <w:tc>
          <w:tcPr>
            <w:tcW w:w="120" w:type="dxa"/>
            <w:tcBorders/>
            <w:shd w:fill="EFF6EA" w:val="clear"/>
            <w:vAlign w:val="center"/>
          </w:tcPr>
          <w:p>
            <w:pPr>
              <w:pStyle w:val="TableContents"/>
              <w:spacing w:before="0" w:after="283"/>
              <w:jc w:val="right"/>
              <w:rPr/>
            </w:pPr>
            <w:r>
              <w:rPr/>
              <w:t> </w:t>
            </w:r>
          </w:p>
        </w:tc>
        <w:tc>
          <w:tcPr>
            <w:tcW w:w="1040" w:type="dxa"/>
            <w:tcBorders/>
            <w:shd w:fill="EFF6EA" w:val="clear"/>
            <w:vAlign w:val="center"/>
          </w:tcPr>
          <w:p>
            <w:pPr>
              <w:pStyle w:val="TableContents"/>
              <w:spacing w:before="0" w:after="283"/>
              <w:jc w:val="right"/>
              <w:rPr/>
            </w:pPr>
            <w:r>
              <w:rPr/>
              <w:t>14,000</w:t>
            </w:r>
          </w:p>
        </w:tc>
        <w:tc>
          <w:tcPr>
            <w:tcW w:w="120" w:type="dxa"/>
            <w:tcBorders/>
            <w:shd w:fill="EFF6EA" w:val="clear"/>
            <w:vAlign w:val="center"/>
          </w:tcPr>
          <w:p>
            <w:pPr>
              <w:pStyle w:val="TableContents"/>
              <w:spacing w:before="0" w:after="283"/>
              <w:jc w:val="right"/>
              <w:rPr/>
            </w:pPr>
            <w:r>
              <w:rPr/>
              <w:t> </w:t>
            </w:r>
          </w:p>
        </w:tc>
        <w:tc>
          <w:tcPr>
            <w:tcW w:w="1055" w:type="dxa"/>
            <w:tcBorders/>
            <w:shd w:fill="EFF6EA" w:val="clear"/>
            <w:vAlign w:val="center"/>
          </w:tcPr>
          <w:p>
            <w:pPr>
              <w:pStyle w:val="TableContents"/>
              <w:spacing w:before="0" w:after="283"/>
              <w:jc w:val="right"/>
              <w:rPr/>
            </w:pPr>
            <w:r>
              <w:rPr/>
              <w:t>648,620</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FFFFFF" w:val="clear"/>
            <w:vAlign w:val="center"/>
          </w:tcPr>
          <w:p>
            <w:pPr>
              <w:pStyle w:val="TableContents"/>
              <w:spacing w:before="0" w:after="283"/>
              <w:jc w:val="right"/>
              <w:rPr/>
            </w:pPr>
            <w:r>
              <w:rPr/>
              <w:t>3/1/2021</w:t>
            </w:r>
          </w:p>
        </w:tc>
        <w:tc>
          <w:tcPr>
            <w:tcW w:w="120" w:type="dxa"/>
            <w:tcBorders/>
            <w:shd w:fill="FFFFFF" w:val="clear"/>
            <w:vAlign w:val="center"/>
          </w:tcPr>
          <w:p>
            <w:pPr>
              <w:pStyle w:val="TableContents"/>
              <w:spacing w:before="0" w:after="283"/>
              <w:jc w:val="right"/>
              <w:rPr/>
            </w:pPr>
            <w:r>
              <w:rPr/>
              <w:t> </w:t>
            </w:r>
          </w:p>
        </w:tc>
        <w:tc>
          <w:tcPr>
            <w:tcW w:w="1265" w:type="dxa"/>
            <w:tcBorders/>
            <w:shd w:fill="FFFFFF" w:val="clear"/>
            <w:vAlign w:val="center"/>
          </w:tcPr>
          <w:p>
            <w:pPr>
              <w:pStyle w:val="TableContents"/>
              <w:spacing w:before="0" w:after="283"/>
              <w:jc w:val="right"/>
              <w:rPr/>
            </w:pPr>
            <w:r>
              <w:rPr/>
              <w:t>4,813</w:t>
            </w:r>
          </w:p>
        </w:tc>
        <w:tc>
          <w:tcPr>
            <w:tcW w:w="120" w:type="dxa"/>
            <w:tcBorders/>
            <w:shd w:fill="FFFFFF" w:val="clear"/>
            <w:vAlign w:val="center"/>
          </w:tcPr>
          <w:p>
            <w:pPr>
              <w:pStyle w:val="TableContents"/>
              <w:spacing w:before="0" w:after="283"/>
              <w:jc w:val="right"/>
              <w:rPr/>
            </w:pPr>
            <w:r>
              <w:rPr/>
              <w:t> </w:t>
            </w:r>
          </w:p>
        </w:tc>
        <w:tc>
          <w:tcPr>
            <w:tcW w:w="1445" w:type="dxa"/>
            <w:tcBorders/>
            <w:shd w:fill="FFFFFF" w:val="clear"/>
            <w:vAlign w:val="center"/>
          </w:tcPr>
          <w:p>
            <w:pPr>
              <w:pStyle w:val="TableContents"/>
              <w:spacing w:before="0" w:after="283"/>
              <w:jc w:val="right"/>
              <w:rPr/>
            </w:pPr>
            <w:r>
              <w:rPr/>
              <w:t>6,187</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142.47</w:t>
            </w:r>
          </w:p>
        </w:tc>
        <w:tc>
          <w:tcPr>
            <w:tcW w:w="120" w:type="dxa"/>
            <w:tcBorders/>
            <w:shd w:fill="FFFFFF" w:val="clear"/>
            <w:vAlign w:val="center"/>
          </w:tcPr>
          <w:p>
            <w:pPr>
              <w:pStyle w:val="TableContents"/>
              <w:spacing w:before="0" w:after="283"/>
              <w:jc w:val="right"/>
              <w:rPr/>
            </w:pPr>
            <w:r>
              <w:rPr/>
              <w:t> </w:t>
            </w:r>
          </w:p>
        </w:tc>
        <w:tc>
          <w:tcPr>
            <w:tcW w:w="1115" w:type="dxa"/>
            <w:tcBorders/>
            <w:shd w:fill="FFFFFF" w:val="clear"/>
            <w:vAlign w:val="center"/>
          </w:tcPr>
          <w:p>
            <w:pPr>
              <w:pStyle w:val="TableContents"/>
              <w:spacing w:before="0" w:after="283"/>
              <w:jc w:val="right"/>
              <w:rPr/>
            </w:pPr>
            <w:r>
              <w:rPr/>
              <w:t>3/1/2031</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6,788</w:t>
            </w:r>
          </w:p>
        </w:tc>
        <w:tc>
          <w:tcPr>
            <w:tcW w:w="120" w:type="dxa"/>
            <w:tcBorders/>
            <w:shd w:fill="FFFFFF" w:val="clear"/>
            <w:vAlign w:val="center"/>
          </w:tcPr>
          <w:p>
            <w:pPr>
              <w:pStyle w:val="TableContents"/>
              <w:spacing w:before="0" w:after="283"/>
              <w:jc w:val="right"/>
              <w:rPr/>
            </w:pPr>
            <w:r>
              <w:rPr/>
              <w:t> </w:t>
            </w:r>
          </w:p>
        </w:tc>
        <w:tc>
          <w:tcPr>
            <w:tcW w:w="980" w:type="dxa"/>
            <w:tcBorders/>
            <w:shd w:fill="FFFFFF" w:val="clear"/>
            <w:vAlign w:val="center"/>
          </w:tcPr>
          <w:p>
            <w:pPr>
              <w:pStyle w:val="TableContents"/>
              <w:spacing w:before="0" w:after="283"/>
              <w:jc w:val="right"/>
              <w:rPr/>
            </w:pPr>
            <w:r>
              <w:rPr/>
              <w:t>314,488</w:t>
            </w:r>
          </w:p>
        </w:tc>
        <w:tc>
          <w:tcPr>
            <w:tcW w:w="120" w:type="dxa"/>
            <w:tcBorders/>
            <w:shd w:fill="FFFFFF" w:val="clear"/>
            <w:vAlign w:val="center"/>
          </w:tcPr>
          <w:p>
            <w:pPr>
              <w:pStyle w:val="TableContents"/>
              <w:spacing w:before="0" w:after="283"/>
              <w:jc w:val="right"/>
              <w:rPr/>
            </w:pPr>
            <w:r>
              <w:rPr/>
              <w:t> </w:t>
            </w:r>
          </w:p>
        </w:tc>
        <w:tc>
          <w:tcPr>
            <w:tcW w:w="1040" w:type="dxa"/>
            <w:tcBorders/>
            <w:shd w:fill="FFFFFF" w:val="clear"/>
            <w:vAlign w:val="center"/>
          </w:tcPr>
          <w:p>
            <w:pPr>
              <w:pStyle w:val="TableContents"/>
              <w:spacing w:before="0" w:after="283"/>
              <w:jc w:val="right"/>
              <w:rPr/>
            </w:pPr>
            <w:r>
              <w:rPr/>
              <w:t>1,100</w:t>
            </w:r>
          </w:p>
        </w:tc>
        <w:tc>
          <w:tcPr>
            <w:tcW w:w="120" w:type="dxa"/>
            <w:tcBorders/>
            <w:shd w:fill="FFFFFF" w:val="clear"/>
            <w:vAlign w:val="center"/>
          </w:tcPr>
          <w:p>
            <w:pPr>
              <w:pStyle w:val="TableContents"/>
              <w:spacing w:before="0" w:after="283"/>
              <w:jc w:val="right"/>
              <w:rPr/>
            </w:pPr>
            <w:r>
              <w:rPr/>
              <w:t> </w:t>
            </w:r>
          </w:p>
        </w:tc>
        <w:tc>
          <w:tcPr>
            <w:tcW w:w="1055" w:type="dxa"/>
            <w:tcBorders/>
            <w:shd w:fill="FFFFFF" w:val="clear"/>
            <w:vAlign w:val="center"/>
          </w:tcPr>
          <w:p>
            <w:pPr>
              <w:pStyle w:val="TableContents"/>
              <w:spacing w:before="0" w:after="283"/>
              <w:jc w:val="right"/>
              <w:rPr/>
            </w:pPr>
            <w:r>
              <w:rPr/>
              <w:t>50,963</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EFF6EA" w:val="clear"/>
            <w:vAlign w:val="center"/>
          </w:tcPr>
          <w:p>
            <w:pPr>
              <w:pStyle w:val="TableContents"/>
              <w:spacing w:before="0" w:after="283"/>
              <w:jc w:val="right"/>
              <w:rPr/>
            </w:pPr>
            <w:r>
              <w:rPr/>
              <w:t>3/1/2020</w:t>
            </w:r>
          </w:p>
        </w:tc>
        <w:tc>
          <w:tcPr>
            <w:tcW w:w="120" w:type="dxa"/>
            <w:tcBorders/>
            <w:shd w:fill="EFF6EA" w:val="clear"/>
            <w:vAlign w:val="center"/>
          </w:tcPr>
          <w:p>
            <w:pPr>
              <w:pStyle w:val="TableContents"/>
              <w:spacing w:before="0" w:after="283"/>
              <w:jc w:val="right"/>
              <w:rPr/>
            </w:pPr>
            <w:r>
              <w:rPr/>
              <w:t> </w:t>
            </w:r>
          </w:p>
        </w:tc>
        <w:tc>
          <w:tcPr>
            <w:tcW w:w="1265" w:type="dxa"/>
            <w:tcBorders/>
            <w:shd w:fill="EFF6EA" w:val="clear"/>
            <w:vAlign w:val="center"/>
          </w:tcPr>
          <w:p>
            <w:pPr>
              <w:pStyle w:val="TableContents"/>
              <w:spacing w:before="0" w:after="283"/>
              <w:jc w:val="right"/>
              <w:rPr/>
            </w:pPr>
            <w:r>
              <w:rPr/>
              <w:t>15,125</w:t>
            </w:r>
          </w:p>
        </w:tc>
        <w:tc>
          <w:tcPr>
            <w:tcW w:w="120" w:type="dxa"/>
            <w:tcBorders/>
            <w:shd w:fill="EFF6EA" w:val="clear"/>
            <w:vAlign w:val="center"/>
          </w:tcPr>
          <w:p>
            <w:pPr>
              <w:pStyle w:val="TableContents"/>
              <w:spacing w:before="0" w:after="283"/>
              <w:jc w:val="right"/>
              <w:rPr/>
            </w:pPr>
            <w:r>
              <w:rPr/>
              <w:t> </w:t>
            </w:r>
          </w:p>
        </w:tc>
        <w:tc>
          <w:tcPr>
            <w:tcW w:w="1445" w:type="dxa"/>
            <w:tcBorders/>
            <w:shd w:fill="EFF6EA" w:val="clear"/>
            <w:vAlign w:val="center"/>
          </w:tcPr>
          <w:p>
            <w:pPr>
              <w:pStyle w:val="TableContents"/>
              <w:spacing w:before="0" w:after="283"/>
              <w:jc w:val="right"/>
              <w:rPr/>
            </w:pPr>
            <w:r>
              <w:rPr/>
              <w:t>6,875</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56.08</w:t>
            </w:r>
          </w:p>
        </w:tc>
        <w:tc>
          <w:tcPr>
            <w:tcW w:w="120" w:type="dxa"/>
            <w:tcBorders/>
            <w:shd w:fill="EFF6EA" w:val="clear"/>
            <w:vAlign w:val="center"/>
          </w:tcPr>
          <w:p>
            <w:pPr>
              <w:pStyle w:val="TableContents"/>
              <w:spacing w:before="0" w:after="283"/>
              <w:jc w:val="right"/>
              <w:rPr/>
            </w:pPr>
            <w:r>
              <w:rPr/>
              <w:t> </w:t>
            </w:r>
          </w:p>
        </w:tc>
        <w:tc>
          <w:tcPr>
            <w:tcW w:w="1115" w:type="dxa"/>
            <w:tcBorders/>
            <w:shd w:fill="EFF6EA" w:val="clear"/>
            <w:vAlign w:val="center"/>
          </w:tcPr>
          <w:p>
            <w:pPr>
              <w:pStyle w:val="TableContents"/>
              <w:spacing w:before="0" w:after="283"/>
              <w:jc w:val="right"/>
              <w:rPr/>
            </w:pPr>
            <w:r>
              <w:rPr/>
              <w:t>3/1/2030</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3,900</w:t>
            </w:r>
          </w:p>
        </w:tc>
        <w:tc>
          <w:tcPr>
            <w:tcW w:w="120" w:type="dxa"/>
            <w:tcBorders/>
            <w:shd w:fill="EFF6EA" w:val="clear"/>
            <w:vAlign w:val="center"/>
          </w:tcPr>
          <w:p>
            <w:pPr>
              <w:pStyle w:val="TableContents"/>
              <w:spacing w:before="0" w:after="283"/>
              <w:jc w:val="right"/>
              <w:rPr/>
            </w:pPr>
            <w:r>
              <w:rPr/>
              <w:t> </w:t>
            </w:r>
          </w:p>
        </w:tc>
        <w:tc>
          <w:tcPr>
            <w:tcW w:w="980" w:type="dxa"/>
            <w:tcBorders/>
            <w:shd w:fill="EFF6EA" w:val="clear"/>
            <w:vAlign w:val="center"/>
          </w:tcPr>
          <w:p>
            <w:pPr>
              <w:pStyle w:val="TableContents"/>
              <w:spacing w:before="0" w:after="283"/>
              <w:jc w:val="right"/>
              <w:rPr/>
            </w:pPr>
            <w:r>
              <w:rPr/>
              <w:t>180,687</w:t>
            </w:r>
          </w:p>
        </w:tc>
        <w:tc>
          <w:tcPr>
            <w:tcW w:w="120" w:type="dxa"/>
            <w:tcBorders/>
            <w:shd w:fill="EFF6EA" w:val="clear"/>
            <w:vAlign w:val="center"/>
          </w:tcPr>
          <w:p>
            <w:pPr>
              <w:pStyle w:val="TableContents"/>
              <w:spacing w:before="0" w:after="283"/>
              <w:jc w:val="right"/>
              <w:rPr/>
            </w:pPr>
            <w:r>
              <w:rPr/>
              <w:t> </w:t>
            </w:r>
          </w:p>
        </w:tc>
        <w:tc>
          <w:tcPr>
            <w:tcW w:w="104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55" w:type="dxa"/>
            <w:tcBorders/>
            <w:shd w:fill="EFF6EA" w:val="cle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FFFFFF" w:val="clear"/>
            <w:vAlign w:val="center"/>
          </w:tcPr>
          <w:p>
            <w:pPr>
              <w:pStyle w:val="TableContents"/>
              <w:spacing w:before="0" w:after="283"/>
              <w:jc w:val="right"/>
              <w:rPr/>
            </w:pPr>
            <w:r>
              <w:rPr/>
              <w:t>3/1/2019</w:t>
            </w:r>
          </w:p>
        </w:tc>
        <w:tc>
          <w:tcPr>
            <w:tcW w:w="120" w:type="dxa"/>
            <w:tcBorders/>
            <w:shd w:fill="FFFFFF" w:val="clear"/>
            <w:vAlign w:val="center"/>
          </w:tcPr>
          <w:p>
            <w:pPr>
              <w:pStyle w:val="TableContents"/>
              <w:spacing w:before="0" w:after="283"/>
              <w:jc w:val="right"/>
              <w:rPr/>
            </w:pPr>
            <w:r>
              <w:rPr/>
              <w:t> </w:t>
            </w:r>
          </w:p>
        </w:tc>
        <w:tc>
          <w:tcPr>
            <w:tcW w:w="1265" w:type="dxa"/>
            <w:tcBorders/>
            <w:shd w:fill="FFFFFF" w:val="clear"/>
            <w:vAlign w:val="center"/>
          </w:tcPr>
          <w:p>
            <w:pPr>
              <w:pStyle w:val="TableContents"/>
              <w:spacing w:before="0" w:after="283"/>
              <w:jc w:val="right"/>
              <w:rPr/>
            </w:pPr>
            <w:r>
              <w:rPr/>
              <w:t>21,563</w:t>
            </w:r>
          </w:p>
        </w:tc>
        <w:tc>
          <w:tcPr>
            <w:tcW w:w="120" w:type="dxa"/>
            <w:tcBorders/>
            <w:shd w:fill="FFFFFF" w:val="clear"/>
            <w:vAlign w:val="center"/>
          </w:tcPr>
          <w:p>
            <w:pPr>
              <w:pStyle w:val="TableContents"/>
              <w:spacing w:before="0" w:after="283"/>
              <w:jc w:val="right"/>
              <w:rPr/>
            </w:pPr>
            <w:r>
              <w:rPr/>
              <w:t> </w:t>
            </w:r>
          </w:p>
        </w:tc>
        <w:tc>
          <w:tcPr>
            <w:tcW w:w="1445" w:type="dxa"/>
            <w:tcBorders/>
            <w:shd w:fill="FFFFFF" w:val="clear"/>
            <w:vAlign w:val="center"/>
          </w:tcPr>
          <w:p>
            <w:pPr>
              <w:pStyle w:val="TableContents"/>
              <w:spacing w:before="0" w:after="283"/>
              <w:jc w:val="right"/>
              <w:rPr/>
            </w:pPr>
            <w:r>
              <w:rPr/>
              <w:t>1,437</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67.55</w:t>
            </w:r>
          </w:p>
        </w:tc>
        <w:tc>
          <w:tcPr>
            <w:tcW w:w="120" w:type="dxa"/>
            <w:tcBorders/>
            <w:shd w:fill="FFFFFF" w:val="clear"/>
            <w:vAlign w:val="center"/>
          </w:tcPr>
          <w:p>
            <w:pPr>
              <w:pStyle w:val="TableContents"/>
              <w:spacing w:before="0" w:after="283"/>
              <w:jc w:val="right"/>
              <w:rPr/>
            </w:pPr>
            <w:r>
              <w:rPr/>
              <w:t> </w:t>
            </w:r>
          </w:p>
        </w:tc>
        <w:tc>
          <w:tcPr>
            <w:tcW w:w="1115" w:type="dxa"/>
            <w:tcBorders/>
            <w:shd w:fill="FFFFFF" w:val="clear"/>
            <w:vAlign w:val="center"/>
          </w:tcPr>
          <w:p>
            <w:pPr>
              <w:pStyle w:val="TableContents"/>
              <w:spacing w:before="0" w:after="283"/>
              <w:jc w:val="right"/>
              <w:rPr/>
            </w:pPr>
            <w:r>
              <w:rPr/>
              <w:t>3/1/2029</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5,000</w:t>
            </w:r>
          </w:p>
        </w:tc>
        <w:tc>
          <w:tcPr>
            <w:tcW w:w="120" w:type="dxa"/>
            <w:tcBorders/>
            <w:shd w:fill="FFFFFF" w:val="clear"/>
            <w:vAlign w:val="center"/>
          </w:tcPr>
          <w:p>
            <w:pPr>
              <w:pStyle w:val="TableContents"/>
              <w:spacing w:before="0" w:after="283"/>
              <w:jc w:val="right"/>
              <w:rPr/>
            </w:pPr>
            <w:r>
              <w:rPr/>
              <w:t> </w:t>
            </w:r>
          </w:p>
        </w:tc>
        <w:tc>
          <w:tcPr>
            <w:tcW w:w="980" w:type="dxa"/>
            <w:tcBorders/>
            <w:shd w:fill="FFFFFF" w:val="clear"/>
            <w:vAlign w:val="center"/>
          </w:tcPr>
          <w:p>
            <w:pPr>
              <w:pStyle w:val="TableContents"/>
              <w:spacing w:before="0" w:after="283"/>
              <w:jc w:val="right"/>
              <w:rPr/>
            </w:pPr>
            <w:r>
              <w:rPr/>
              <w:t>231,650</w:t>
            </w:r>
          </w:p>
        </w:tc>
        <w:tc>
          <w:tcPr>
            <w:tcW w:w="120" w:type="dxa"/>
            <w:tcBorders/>
            <w:shd w:fill="FFFFFF" w:val="clear"/>
            <w:vAlign w:val="center"/>
          </w:tcPr>
          <w:p>
            <w:pPr>
              <w:pStyle w:val="TableContents"/>
              <w:spacing w:before="0" w:after="283"/>
              <w:jc w:val="right"/>
              <w:rPr/>
            </w:pPr>
            <w:r>
              <w:rPr/>
              <w:t> </w:t>
            </w:r>
          </w:p>
        </w:tc>
        <w:tc>
          <w:tcPr>
            <w:tcW w:w="104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55" w:type="dxa"/>
            <w:tcBorders/>
            <w:shd w:fill="FFFFFF" w:val="cle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EFF6EA" w:val="clear"/>
            <w:vAlign w:val="center"/>
          </w:tcPr>
          <w:p>
            <w:pPr>
              <w:pStyle w:val="TableContents"/>
              <w:spacing w:before="0" w:after="283"/>
              <w:jc w:val="right"/>
              <w:rPr/>
            </w:pPr>
            <w:r>
              <w:rPr/>
              <w:t>3/1/2018</w:t>
            </w:r>
          </w:p>
        </w:tc>
        <w:tc>
          <w:tcPr>
            <w:tcW w:w="120" w:type="dxa"/>
            <w:tcBorders/>
            <w:shd w:fill="EFF6EA" w:val="clear"/>
            <w:vAlign w:val="center"/>
          </w:tcPr>
          <w:p>
            <w:pPr>
              <w:pStyle w:val="TableContents"/>
              <w:spacing w:before="0" w:after="283"/>
              <w:jc w:val="right"/>
              <w:rPr/>
            </w:pPr>
            <w:r>
              <w:rPr/>
              <w:t> </w:t>
            </w:r>
          </w:p>
        </w:tc>
        <w:tc>
          <w:tcPr>
            <w:tcW w:w="1265" w:type="dxa"/>
            <w:tcBorders/>
            <w:shd w:fill="EFF6EA" w:val="clear"/>
            <w:vAlign w:val="center"/>
          </w:tcPr>
          <w:p>
            <w:pPr>
              <w:pStyle w:val="TableContents"/>
              <w:spacing w:before="0" w:after="283"/>
              <w:jc w:val="right"/>
              <w:rPr/>
            </w:pPr>
            <w:r>
              <w:rPr/>
              <w:t>27,000</w:t>
            </w:r>
          </w:p>
        </w:tc>
        <w:tc>
          <w:tcPr>
            <w:tcW w:w="120" w:type="dxa"/>
            <w:tcBorders/>
            <w:shd w:fill="EFF6EA" w:val="clear"/>
            <w:vAlign w:val="center"/>
          </w:tcPr>
          <w:p>
            <w:pPr>
              <w:pStyle w:val="TableContents"/>
              <w:spacing w:before="0" w:after="283"/>
              <w:jc w:val="right"/>
              <w:rPr/>
            </w:pPr>
            <w:r>
              <w:rPr/>
              <w:t> </w:t>
            </w:r>
          </w:p>
        </w:tc>
        <w:tc>
          <w:tcPr>
            <w:tcW w:w="144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48.43</w:t>
            </w:r>
          </w:p>
        </w:tc>
        <w:tc>
          <w:tcPr>
            <w:tcW w:w="120" w:type="dxa"/>
            <w:tcBorders/>
            <w:shd w:fill="EFF6EA" w:val="clear"/>
            <w:vAlign w:val="center"/>
          </w:tcPr>
          <w:p>
            <w:pPr>
              <w:pStyle w:val="TableContents"/>
              <w:spacing w:before="0" w:after="283"/>
              <w:jc w:val="right"/>
              <w:rPr/>
            </w:pPr>
            <w:r>
              <w:rPr/>
              <w:t> </w:t>
            </w:r>
          </w:p>
        </w:tc>
        <w:tc>
          <w:tcPr>
            <w:tcW w:w="1115" w:type="dxa"/>
            <w:tcBorders/>
            <w:shd w:fill="EFF6EA" w:val="clear"/>
            <w:vAlign w:val="center"/>
          </w:tcPr>
          <w:p>
            <w:pPr>
              <w:pStyle w:val="TableContents"/>
              <w:spacing w:before="0" w:after="283"/>
              <w:jc w:val="right"/>
              <w:rPr/>
            </w:pPr>
            <w:r>
              <w:rPr/>
              <w:t>3/1/2028</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98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4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55" w:type="dxa"/>
            <w:tcBorders/>
            <w:shd w:fill="EFF6EA" w:val="cle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FFFFFF" w:val="clear"/>
            <w:vAlign w:val="center"/>
          </w:tcPr>
          <w:p>
            <w:pPr>
              <w:pStyle w:val="TableContents"/>
              <w:spacing w:before="0" w:after="283"/>
              <w:jc w:val="right"/>
              <w:rPr/>
            </w:pPr>
            <w:r>
              <w:rPr/>
              <w:t>3/1/2017</w:t>
            </w:r>
          </w:p>
        </w:tc>
        <w:tc>
          <w:tcPr>
            <w:tcW w:w="120" w:type="dxa"/>
            <w:tcBorders/>
            <w:shd w:fill="FFFFFF" w:val="clear"/>
            <w:vAlign w:val="center"/>
          </w:tcPr>
          <w:p>
            <w:pPr>
              <w:pStyle w:val="TableContents"/>
              <w:spacing w:before="0" w:after="283"/>
              <w:jc w:val="right"/>
              <w:rPr/>
            </w:pPr>
            <w:r>
              <w:rPr/>
              <w:t> </w:t>
            </w:r>
          </w:p>
        </w:tc>
        <w:tc>
          <w:tcPr>
            <w:tcW w:w="1265" w:type="dxa"/>
            <w:tcBorders/>
            <w:shd w:fill="FFFFFF" w:val="clear"/>
            <w:vAlign w:val="center"/>
          </w:tcPr>
          <w:p>
            <w:pPr>
              <w:pStyle w:val="TableContents"/>
              <w:spacing w:before="0" w:after="283"/>
              <w:jc w:val="right"/>
              <w:rPr/>
            </w:pPr>
            <w:r>
              <w:rPr/>
              <w:t>18,000</w:t>
            </w:r>
          </w:p>
        </w:tc>
        <w:tc>
          <w:tcPr>
            <w:tcW w:w="120" w:type="dxa"/>
            <w:tcBorders/>
            <w:shd w:fill="FFFFFF" w:val="clear"/>
            <w:vAlign w:val="center"/>
          </w:tcPr>
          <w:p>
            <w:pPr>
              <w:pStyle w:val="TableContents"/>
              <w:spacing w:before="0" w:after="283"/>
              <w:jc w:val="right"/>
              <w:rPr/>
            </w:pPr>
            <w:r>
              <w:rPr/>
              <w:t> </w:t>
            </w:r>
          </w:p>
        </w:tc>
        <w:tc>
          <w:tcPr>
            <w:tcW w:w="1445"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88.80</w:t>
            </w:r>
          </w:p>
        </w:tc>
        <w:tc>
          <w:tcPr>
            <w:tcW w:w="120" w:type="dxa"/>
            <w:tcBorders/>
            <w:shd w:fill="FFFFFF" w:val="clear"/>
            <w:vAlign w:val="center"/>
          </w:tcPr>
          <w:p>
            <w:pPr>
              <w:pStyle w:val="TableContents"/>
              <w:spacing w:before="0" w:after="283"/>
              <w:jc w:val="right"/>
              <w:rPr/>
            </w:pPr>
            <w:r>
              <w:rPr/>
              <w:t> </w:t>
            </w:r>
          </w:p>
        </w:tc>
        <w:tc>
          <w:tcPr>
            <w:tcW w:w="1115" w:type="dxa"/>
            <w:tcBorders/>
            <w:shd w:fill="FFFFFF" w:val="clear"/>
            <w:vAlign w:val="center"/>
          </w:tcPr>
          <w:p>
            <w:pPr>
              <w:pStyle w:val="TableContents"/>
              <w:spacing w:before="0" w:after="283"/>
              <w:jc w:val="right"/>
              <w:rPr/>
            </w:pPr>
            <w:r>
              <w:rPr/>
              <w:t>3/1/2027</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98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4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55" w:type="dxa"/>
            <w:tcBorders/>
            <w:shd w:fill="FFFFFF" w:val="cle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EFF6EA" w:val="clear"/>
            <w:vAlign w:val="center"/>
          </w:tcPr>
          <w:p>
            <w:pPr>
              <w:pStyle w:val="TableContents"/>
              <w:spacing w:before="0" w:after="283"/>
              <w:jc w:val="right"/>
              <w:rPr/>
            </w:pPr>
            <w:r>
              <w:rPr/>
              <w:t>6/3/2016</w:t>
            </w:r>
          </w:p>
        </w:tc>
        <w:tc>
          <w:tcPr>
            <w:tcW w:w="120" w:type="dxa"/>
            <w:tcBorders/>
            <w:shd w:fill="EFF6EA" w:val="clear"/>
            <w:vAlign w:val="center"/>
          </w:tcPr>
          <w:p>
            <w:pPr>
              <w:pStyle w:val="TableContents"/>
              <w:spacing w:before="0" w:after="283"/>
              <w:jc w:val="right"/>
              <w:rPr/>
            </w:pPr>
            <w:r>
              <w:rPr/>
              <w:t> </w:t>
            </w:r>
          </w:p>
        </w:tc>
        <w:tc>
          <w:tcPr>
            <w:tcW w:w="1265" w:type="dxa"/>
            <w:tcBorders/>
            <w:shd w:fill="EFF6EA" w:val="clear"/>
            <w:vAlign w:val="center"/>
          </w:tcPr>
          <w:p>
            <w:pPr>
              <w:pStyle w:val="TableContents"/>
              <w:spacing w:before="0" w:after="283"/>
              <w:jc w:val="right"/>
              <w:rPr/>
            </w:pPr>
            <w:r>
              <w:rPr/>
              <w:t>11,000</w:t>
            </w:r>
          </w:p>
        </w:tc>
        <w:tc>
          <w:tcPr>
            <w:tcW w:w="120" w:type="dxa"/>
            <w:tcBorders/>
            <w:shd w:fill="EFF6EA" w:val="clear"/>
            <w:vAlign w:val="center"/>
          </w:tcPr>
          <w:p>
            <w:pPr>
              <w:pStyle w:val="TableContents"/>
              <w:spacing w:before="0" w:after="283"/>
              <w:jc w:val="right"/>
              <w:rPr/>
            </w:pPr>
            <w:r>
              <w:rPr/>
              <w:t> </w:t>
            </w:r>
          </w:p>
        </w:tc>
        <w:tc>
          <w:tcPr>
            <w:tcW w:w="144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69.53</w:t>
            </w:r>
          </w:p>
        </w:tc>
        <w:tc>
          <w:tcPr>
            <w:tcW w:w="120" w:type="dxa"/>
            <w:tcBorders/>
            <w:shd w:fill="EFF6EA" w:val="clear"/>
            <w:vAlign w:val="center"/>
          </w:tcPr>
          <w:p>
            <w:pPr>
              <w:pStyle w:val="TableContents"/>
              <w:spacing w:before="0" w:after="283"/>
              <w:jc w:val="right"/>
              <w:rPr/>
            </w:pPr>
            <w:r>
              <w:rPr/>
              <w:t> </w:t>
            </w:r>
          </w:p>
        </w:tc>
        <w:tc>
          <w:tcPr>
            <w:tcW w:w="1115" w:type="dxa"/>
            <w:tcBorders/>
            <w:shd w:fill="EFF6EA" w:val="clear"/>
            <w:vAlign w:val="center"/>
          </w:tcPr>
          <w:p>
            <w:pPr>
              <w:pStyle w:val="TableContents"/>
              <w:spacing w:before="0" w:after="283"/>
              <w:jc w:val="right"/>
              <w:rPr/>
            </w:pPr>
            <w:r>
              <w:rPr/>
              <w:t>6/3/2026</w:t>
            </w:r>
          </w:p>
        </w:tc>
        <w:tc>
          <w:tcPr>
            <w:tcW w:w="120" w:type="dxa"/>
            <w:tcBorders/>
            <w:shd w:fill="EFF6EA" w:val="clear"/>
            <w:vAlign w:val="center"/>
          </w:tcPr>
          <w:p>
            <w:pPr>
              <w:pStyle w:val="TableContents"/>
              <w:spacing w:before="0" w:after="283"/>
              <w:jc w:val="right"/>
              <w:rPr/>
            </w:pPr>
            <w:r>
              <w:rPr/>
              <w:t> </w:t>
            </w:r>
          </w:p>
        </w:tc>
        <w:tc>
          <w:tcPr>
            <w:tcW w:w="875"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98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40" w:type="dxa"/>
            <w:tcBorders/>
            <w:shd w:fill="EFF6EA" w:val="clear"/>
            <w:vAlign w:val="center"/>
          </w:tcPr>
          <w:p>
            <w:pPr>
              <w:pStyle w:val="TableContents"/>
              <w:spacing w:before="0" w:after="283"/>
              <w:jc w:val="right"/>
              <w:rPr/>
            </w:pPr>
            <w:r>
              <w:rPr/>
              <w:t>—</w:t>
            </w:r>
          </w:p>
        </w:tc>
        <w:tc>
          <w:tcPr>
            <w:tcW w:w="120" w:type="dxa"/>
            <w:tcBorders/>
            <w:shd w:fill="EFF6EA" w:val="clear"/>
            <w:vAlign w:val="center"/>
          </w:tcPr>
          <w:p>
            <w:pPr>
              <w:pStyle w:val="TableContents"/>
              <w:spacing w:before="0" w:after="283"/>
              <w:jc w:val="right"/>
              <w:rPr/>
            </w:pPr>
            <w:r>
              <w:rPr/>
              <w:t> </w:t>
            </w:r>
          </w:p>
        </w:tc>
        <w:tc>
          <w:tcPr>
            <w:tcW w:w="1055" w:type="dxa"/>
            <w:tcBorders/>
            <w:shd w:fill="EFF6EA" w:val="cle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jc w:val="right"/>
              <w:rPr/>
            </w:pPr>
            <w:r>
              <w:rPr/>
              <w:t> </w:t>
            </w:r>
          </w:p>
        </w:tc>
        <w:tc>
          <w:tcPr>
            <w:tcW w:w="635" w:type="dxa"/>
            <w:tcBorders/>
            <w:shd w:fill="FFFFFF" w:val="clear"/>
            <w:vAlign w:val="center"/>
          </w:tcPr>
          <w:p>
            <w:pPr>
              <w:pStyle w:val="TableContents"/>
              <w:spacing w:before="0" w:after="283"/>
              <w:jc w:val="right"/>
              <w:rPr/>
            </w:pPr>
            <w:r>
              <w:rPr/>
              <w:t>6/1/2016</w:t>
            </w:r>
          </w:p>
        </w:tc>
        <w:tc>
          <w:tcPr>
            <w:tcW w:w="120" w:type="dxa"/>
            <w:tcBorders/>
            <w:shd w:fill="FFFFFF" w:val="clear"/>
            <w:vAlign w:val="center"/>
          </w:tcPr>
          <w:p>
            <w:pPr>
              <w:pStyle w:val="TableContents"/>
              <w:spacing w:before="0" w:after="283"/>
              <w:jc w:val="right"/>
              <w:rPr/>
            </w:pPr>
            <w:r>
              <w:rPr/>
              <w:t> </w:t>
            </w:r>
          </w:p>
        </w:tc>
        <w:tc>
          <w:tcPr>
            <w:tcW w:w="1265" w:type="dxa"/>
            <w:tcBorders/>
            <w:shd w:fill="FFFFFF" w:val="clear"/>
            <w:vAlign w:val="center"/>
          </w:tcPr>
          <w:p>
            <w:pPr>
              <w:pStyle w:val="TableContents"/>
              <w:spacing w:before="0" w:after="283"/>
              <w:jc w:val="right"/>
              <w:rPr/>
            </w:pPr>
            <w:r>
              <w:rPr/>
              <w:t>17,800</w:t>
            </w:r>
          </w:p>
        </w:tc>
        <w:tc>
          <w:tcPr>
            <w:tcW w:w="120" w:type="dxa"/>
            <w:tcBorders/>
            <w:shd w:fill="FFFFFF" w:val="clear"/>
            <w:vAlign w:val="center"/>
          </w:tcPr>
          <w:p>
            <w:pPr>
              <w:pStyle w:val="TableContents"/>
              <w:spacing w:before="0" w:after="283"/>
              <w:jc w:val="right"/>
              <w:rPr/>
            </w:pPr>
            <w:r>
              <w:rPr/>
              <w:t> </w:t>
            </w:r>
          </w:p>
        </w:tc>
        <w:tc>
          <w:tcPr>
            <w:tcW w:w="1445"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70.57</w:t>
            </w:r>
          </w:p>
        </w:tc>
        <w:tc>
          <w:tcPr>
            <w:tcW w:w="120" w:type="dxa"/>
            <w:tcBorders/>
            <w:shd w:fill="FFFFFF" w:val="clear"/>
            <w:vAlign w:val="center"/>
          </w:tcPr>
          <w:p>
            <w:pPr>
              <w:pStyle w:val="TableContents"/>
              <w:spacing w:before="0" w:after="283"/>
              <w:jc w:val="right"/>
              <w:rPr/>
            </w:pPr>
            <w:r>
              <w:rPr/>
              <w:t> </w:t>
            </w:r>
          </w:p>
        </w:tc>
        <w:tc>
          <w:tcPr>
            <w:tcW w:w="1115" w:type="dxa"/>
            <w:tcBorders/>
            <w:shd w:fill="FFFFFF" w:val="clear"/>
            <w:vAlign w:val="center"/>
          </w:tcPr>
          <w:p>
            <w:pPr>
              <w:pStyle w:val="TableContents"/>
              <w:spacing w:before="0" w:after="283"/>
              <w:jc w:val="right"/>
              <w:rPr/>
            </w:pPr>
            <w:r>
              <w:rPr/>
              <w:t>6/1/2026</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98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4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55" w:type="dxa"/>
            <w:tcBorders/>
            <w:shd w:fill="FFFFFF" w:val="clear"/>
            <w:vAlign w:val="center"/>
          </w:tcPr>
          <w:p>
            <w:pPr>
              <w:pStyle w:val="TableContents"/>
              <w:spacing w:before="0" w:after="283"/>
              <w:jc w:val="right"/>
              <w:rPr/>
            </w:pPr>
            <w:r>
              <w:rPr/>
              <w:t>—</w:t>
            </w:r>
          </w:p>
        </w:tc>
      </w:tr>
      <w:tr>
        <w:trPr/>
        <w:tc>
          <w:tcPr>
            <w:tcW w:w="1805" w:type="dxa"/>
            <w:tcBorders>
              <w:bottom w:val="single" w:sz="2" w:space="0" w:color="7CBC3E"/>
            </w:tcBorders>
            <w:shd w:fill="FFFFFF" w:val="clear"/>
            <w:tcMar>
              <w:bottom w:w="28" w:type="dxa"/>
            </w:tcMar>
            <w:vAlign w:val="center"/>
          </w:tcPr>
          <w:p>
            <w:pPr>
              <w:pStyle w:val="TableContents"/>
              <w:spacing w:before="0" w:after="283"/>
              <w:jc w:val="left"/>
              <w:rPr/>
            </w:pPr>
            <w:r>
              <w:rPr/>
              <w:t> </w:t>
            </w:r>
          </w:p>
        </w:tc>
        <w:tc>
          <w:tcPr>
            <w:tcW w:w="120" w:type="dxa"/>
            <w:tcBorders>
              <w:bottom w:val="single" w:sz="2" w:space="0" w:color="7CBC3E"/>
            </w:tcBorders>
            <w:shd w:fill="FFFFFF" w:val="clear"/>
            <w:tcMar>
              <w:bottom w:w="28" w:type="dxa"/>
            </w:tcMar>
            <w:vAlign w:val="center"/>
          </w:tcPr>
          <w:p>
            <w:pPr>
              <w:pStyle w:val="TableContents"/>
              <w:spacing w:before="0" w:after="283"/>
              <w:jc w:val="right"/>
              <w:rPr/>
            </w:pPr>
            <w:r>
              <w:rPr/>
              <w:t> </w:t>
            </w:r>
          </w:p>
        </w:tc>
        <w:tc>
          <w:tcPr>
            <w:tcW w:w="635" w:type="dxa"/>
            <w:tcBorders>
              <w:bottom w:val="single" w:sz="2" w:space="0" w:color="7CBC3E"/>
            </w:tcBorders>
            <w:shd w:fill="EFF6EA" w:val="clear"/>
            <w:tcMar>
              <w:bottom w:w="28" w:type="dxa"/>
            </w:tcMar>
            <w:vAlign w:val="center"/>
          </w:tcPr>
          <w:p>
            <w:pPr>
              <w:pStyle w:val="TableContents"/>
              <w:spacing w:before="0" w:after="283"/>
              <w:jc w:val="right"/>
              <w:rPr/>
            </w:pPr>
            <w:r>
              <w:rPr/>
              <w:t>7/16/2015</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265" w:type="dxa"/>
            <w:tcBorders>
              <w:bottom w:val="single" w:sz="2" w:space="0" w:color="7CBC3E"/>
            </w:tcBorders>
            <w:shd w:fill="EFF6EA" w:val="clear"/>
            <w:tcMar>
              <w:bottom w:w="28" w:type="dxa"/>
            </w:tcMar>
            <w:vAlign w:val="center"/>
          </w:tcPr>
          <w:p>
            <w:pPr>
              <w:pStyle w:val="TableContents"/>
              <w:spacing w:before="0" w:after="283"/>
              <w:jc w:val="right"/>
              <w:rPr/>
            </w:pPr>
            <w:r>
              <w:rPr/>
              <w:t>90,000</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44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875" w:type="dxa"/>
            <w:tcBorders>
              <w:bottom w:val="single" w:sz="2" w:space="0" w:color="7CBC3E"/>
            </w:tcBorders>
            <w:shd w:fill="EFF6EA" w:val="clear"/>
            <w:tcMar>
              <w:bottom w:w="28" w:type="dxa"/>
            </w:tcMar>
            <w:vAlign w:val="center"/>
          </w:tcPr>
          <w:p>
            <w:pPr>
              <w:pStyle w:val="TableContents"/>
              <w:spacing w:before="0" w:after="283"/>
              <w:jc w:val="right"/>
              <w:rPr/>
            </w:pPr>
            <w:r>
              <w:rPr/>
              <w:t>124.87</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115" w:type="dxa"/>
            <w:tcBorders>
              <w:bottom w:val="single" w:sz="2" w:space="0" w:color="7CBC3E"/>
            </w:tcBorders>
            <w:shd w:fill="EFF6EA" w:val="clear"/>
            <w:tcMar>
              <w:bottom w:w="28" w:type="dxa"/>
            </w:tcMar>
            <w:vAlign w:val="center"/>
          </w:tcPr>
          <w:p>
            <w:pPr>
              <w:pStyle w:val="TableContents"/>
              <w:spacing w:before="0" w:after="283"/>
              <w:jc w:val="right"/>
              <w:rPr/>
            </w:pPr>
            <w:r>
              <w:rPr/>
              <w:t>7/16/2025</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875"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98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40" w:type="dxa"/>
            <w:tcBorders>
              <w:bottom w:val="single" w:sz="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2" w:space="0" w:color="7CBC3E"/>
            </w:tcBorders>
            <w:shd w:fill="EFF6EA" w:val="clear"/>
            <w:tcMar>
              <w:bottom w:w="28" w:type="dxa"/>
            </w:tcMar>
            <w:vAlign w:val="center"/>
          </w:tcPr>
          <w:p>
            <w:pPr>
              <w:pStyle w:val="TableContents"/>
              <w:spacing w:before="0" w:after="283"/>
              <w:jc w:val="right"/>
              <w:rPr/>
            </w:pPr>
            <w:r>
              <w:rPr/>
              <w:t> </w:t>
            </w:r>
          </w:p>
        </w:tc>
        <w:tc>
          <w:tcPr>
            <w:tcW w:w="1055" w:type="dxa"/>
            <w:tcBorders>
              <w:bottom w:val="single" w:sz="2" w:space="0" w:color="7CBC3E"/>
            </w:tcBorders>
            <w:shd w:fill="EFF6EA" w:val="clear"/>
            <w:tcMar>
              <w:bottom w:w="28" w:type="dxa"/>
            </w:tcMar>
            <w:vAlign w:val="center"/>
          </w:tcPr>
          <w:p>
            <w:pPr>
              <w:pStyle w:val="TableContents"/>
              <w:spacing w:before="0" w:after="283"/>
              <w:jc w:val="right"/>
              <w:rPr/>
            </w:pPr>
            <w:r>
              <w:rPr/>
              <w:t>—</w:t>
            </w:r>
          </w:p>
        </w:tc>
      </w:tr>
      <w:tr>
        <w:trPr/>
        <w:tc>
          <w:tcPr>
            <w:tcW w:w="1805" w:type="dxa"/>
            <w:tcBorders/>
            <w:shd w:fill="FFFFFF" w:val="clear"/>
            <w:vAlign w:val="center"/>
          </w:tcPr>
          <w:p>
            <w:pPr>
              <w:pStyle w:val="TableContents"/>
              <w:spacing w:before="0" w:after="283"/>
              <w:jc w:val="left"/>
              <w:rPr>
                <w:b/>
              </w:rPr>
            </w:pPr>
            <w:r>
              <w:rPr>
                <w:b/>
              </w:rPr>
              <w:t>Mardi C. Dier</w:t>
            </w:r>
          </w:p>
        </w:tc>
        <w:tc>
          <w:tcPr>
            <w:tcW w:w="120" w:type="dxa"/>
            <w:tcBorders/>
            <w:shd w:fill="FFFFFF" w:val="clear"/>
            <w:vAlign w:val="center"/>
          </w:tcPr>
          <w:p>
            <w:pPr>
              <w:pStyle w:val="TableContents"/>
              <w:spacing w:before="0" w:after="283"/>
              <w:jc w:val="right"/>
              <w:rPr/>
            </w:pPr>
            <w:r>
              <w:rPr/>
              <w:t> </w:t>
            </w:r>
          </w:p>
        </w:tc>
        <w:tc>
          <w:tcPr>
            <w:tcW w:w="635" w:type="dxa"/>
            <w:tcBorders/>
            <w:shd w:fill="FFFFFF" w:val="clear"/>
            <w:vAlign w:val="center"/>
          </w:tcPr>
          <w:p>
            <w:pPr>
              <w:pStyle w:val="TableContents"/>
              <w:spacing w:before="0" w:after="283"/>
              <w:jc w:val="right"/>
              <w:rPr/>
            </w:pPr>
            <w:r>
              <w:rPr/>
              <w:t>3/1/2021</w:t>
            </w:r>
          </w:p>
        </w:tc>
        <w:tc>
          <w:tcPr>
            <w:tcW w:w="120" w:type="dxa"/>
            <w:tcBorders/>
            <w:shd w:fill="FFFFFF" w:val="clear"/>
            <w:vAlign w:val="center"/>
          </w:tcPr>
          <w:p>
            <w:pPr>
              <w:pStyle w:val="TableContents"/>
              <w:spacing w:before="0" w:after="283"/>
              <w:jc w:val="right"/>
              <w:rPr/>
            </w:pPr>
            <w:r>
              <w:rPr/>
              <w:t> </w:t>
            </w:r>
          </w:p>
        </w:tc>
        <w:tc>
          <w:tcPr>
            <w:tcW w:w="1265" w:type="dxa"/>
            <w:tcBorders/>
            <w:shd w:fill="FFFFFF" w:val="clear"/>
            <w:vAlign w:val="center"/>
          </w:tcPr>
          <w:p>
            <w:pPr>
              <w:pStyle w:val="TableContents"/>
              <w:spacing w:before="0" w:after="283"/>
              <w:jc w:val="right"/>
              <w:rPr/>
            </w:pPr>
            <w:r>
              <w:rPr/>
              <w:t>4,583</w:t>
            </w:r>
          </w:p>
        </w:tc>
        <w:tc>
          <w:tcPr>
            <w:tcW w:w="120" w:type="dxa"/>
            <w:tcBorders/>
            <w:shd w:fill="FFFFFF" w:val="clear"/>
            <w:vAlign w:val="center"/>
          </w:tcPr>
          <w:p>
            <w:pPr>
              <w:pStyle w:val="TableContents"/>
              <w:spacing w:before="0" w:after="283"/>
              <w:jc w:val="right"/>
              <w:rPr/>
            </w:pPr>
            <w:r>
              <w:rPr/>
              <w:t> </w:t>
            </w:r>
          </w:p>
        </w:tc>
        <w:tc>
          <w:tcPr>
            <w:tcW w:w="1445"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142.47</w:t>
            </w:r>
          </w:p>
        </w:tc>
        <w:tc>
          <w:tcPr>
            <w:tcW w:w="120" w:type="dxa"/>
            <w:tcBorders/>
            <w:shd w:fill="FFFFFF" w:val="clear"/>
            <w:vAlign w:val="center"/>
          </w:tcPr>
          <w:p>
            <w:pPr>
              <w:pStyle w:val="TableContents"/>
              <w:spacing w:before="0" w:after="283"/>
              <w:jc w:val="right"/>
              <w:rPr/>
            </w:pPr>
            <w:r>
              <w:rPr/>
              <w:t> </w:t>
            </w:r>
          </w:p>
        </w:tc>
        <w:tc>
          <w:tcPr>
            <w:tcW w:w="1115" w:type="dxa"/>
            <w:tcBorders/>
            <w:shd w:fill="FFFFFF" w:val="clear"/>
            <w:vAlign w:val="center"/>
          </w:tcPr>
          <w:p>
            <w:pPr>
              <w:pStyle w:val="TableContents"/>
              <w:spacing w:before="0" w:after="283"/>
              <w:jc w:val="right"/>
              <w:rPr/>
            </w:pPr>
            <w:r>
              <w:rPr/>
              <w:t>2/12/2023</w:t>
            </w:r>
          </w:p>
        </w:tc>
        <w:tc>
          <w:tcPr>
            <w:tcW w:w="120"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98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40"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jc w:val="right"/>
              <w:rPr/>
            </w:pPr>
            <w:r>
              <w:rPr/>
              <w:t> </w:t>
            </w:r>
          </w:p>
        </w:tc>
        <w:tc>
          <w:tcPr>
            <w:tcW w:w="1055" w:type="dxa"/>
            <w:tcBorders/>
            <w:shd w:fill="FFFFFF" w:val="clear"/>
            <w:vAlign w:val="center"/>
          </w:tcPr>
          <w:p>
            <w:pPr>
              <w:pStyle w:val="TableContents"/>
              <w:spacing w:before="0" w:after="283"/>
              <w:jc w:val="right"/>
              <w:rPr/>
            </w:pPr>
            <w:r>
              <w:rPr/>
              <w:t>—</w:t>
            </w:r>
          </w:p>
        </w:tc>
      </w:tr>
      <w:tr>
        <w:trPr/>
        <w:tc>
          <w:tcPr>
            <w:tcW w:w="1805" w:type="dxa"/>
            <w:tcBorders>
              <w:bottom w:val="single" w:sz="12" w:space="0" w:color="7CBC3E"/>
            </w:tcBorders>
            <w:shd w:fill="FFFFFF" w:val="clear"/>
            <w:tcMar>
              <w:bottom w:w="28" w:type="dxa"/>
            </w:tcMar>
            <w:vAlign w:val="center"/>
          </w:tcPr>
          <w:p>
            <w:pPr>
              <w:pStyle w:val="TableContents"/>
              <w:spacing w:before="0" w:after="283"/>
              <w:jc w:val="left"/>
              <w:rPr/>
            </w:pPr>
            <w:r>
              <w:rPr/>
              <w:t> </w:t>
            </w:r>
          </w:p>
        </w:tc>
        <w:tc>
          <w:tcPr>
            <w:tcW w:w="120" w:type="dxa"/>
            <w:tcBorders>
              <w:bottom w:val="single" w:sz="12" w:space="0" w:color="7CBC3E"/>
            </w:tcBorders>
            <w:shd w:fill="FFFFFF" w:val="clear"/>
            <w:tcMar>
              <w:bottom w:w="28" w:type="dxa"/>
            </w:tcMar>
            <w:vAlign w:val="center"/>
          </w:tcPr>
          <w:p>
            <w:pPr>
              <w:pStyle w:val="TableContents"/>
              <w:spacing w:before="0" w:after="283"/>
              <w:jc w:val="right"/>
              <w:rPr/>
            </w:pPr>
            <w:r>
              <w:rPr/>
              <w:t> </w:t>
            </w:r>
          </w:p>
        </w:tc>
        <w:tc>
          <w:tcPr>
            <w:tcW w:w="635" w:type="dxa"/>
            <w:tcBorders>
              <w:bottom w:val="single" w:sz="12" w:space="0" w:color="7CBC3E"/>
            </w:tcBorders>
            <w:shd w:fill="EFF6EA" w:val="clear"/>
            <w:tcMar>
              <w:bottom w:w="28" w:type="dxa"/>
            </w:tcMar>
            <w:vAlign w:val="center"/>
          </w:tcPr>
          <w:p>
            <w:pPr>
              <w:pStyle w:val="TableContents"/>
              <w:spacing w:before="0" w:after="283"/>
              <w:jc w:val="right"/>
              <w:rPr/>
            </w:pPr>
            <w:r>
              <w:rPr/>
              <w:t>10/12/2020</w:t>
            </w:r>
          </w:p>
        </w:tc>
        <w:tc>
          <w:tcPr>
            <w:tcW w:w="120" w:type="dxa"/>
            <w:tcBorders>
              <w:bottom w:val="single" w:sz="12" w:space="0" w:color="7CBC3E"/>
            </w:tcBorders>
            <w:shd w:fill="EFF6EA" w:val="clear"/>
            <w:tcMar>
              <w:bottom w:w="28" w:type="dxa"/>
            </w:tcMar>
            <w:vAlign w:val="center"/>
          </w:tcPr>
          <w:p>
            <w:pPr>
              <w:pStyle w:val="TableContents"/>
              <w:spacing w:before="0" w:after="283"/>
              <w:jc w:val="right"/>
              <w:rPr/>
            </w:pPr>
            <w:r>
              <w:rPr/>
              <w:t> </w:t>
            </w:r>
          </w:p>
        </w:tc>
        <w:tc>
          <w:tcPr>
            <w:tcW w:w="1265" w:type="dxa"/>
            <w:tcBorders>
              <w:bottom w:val="single" w:sz="12" w:space="0" w:color="7CBC3E"/>
            </w:tcBorders>
            <w:shd w:fill="EFF6EA" w:val="clear"/>
            <w:tcMar>
              <w:bottom w:w="28" w:type="dxa"/>
            </w:tcMar>
            <w:vAlign w:val="center"/>
          </w:tcPr>
          <w:p>
            <w:pPr>
              <w:pStyle w:val="TableContents"/>
              <w:spacing w:before="0" w:after="283"/>
              <w:jc w:val="right"/>
              <w:rPr/>
            </w:pPr>
            <w:r>
              <w:rPr/>
              <w:t>20,833</w:t>
            </w:r>
          </w:p>
        </w:tc>
        <w:tc>
          <w:tcPr>
            <w:tcW w:w="120" w:type="dxa"/>
            <w:tcBorders>
              <w:bottom w:val="single" w:sz="12" w:space="0" w:color="7CBC3E"/>
            </w:tcBorders>
            <w:shd w:fill="EFF6EA" w:val="clear"/>
            <w:tcMar>
              <w:bottom w:w="28" w:type="dxa"/>
            </w:tcMar>
            <w:vAlign w:val="center"/>
          </w:tcPr>
          <w:p>
            <w:pPr>
              <w:pStyle w:val="TableContents"/>
              <w:spacing w:before="0" w:after="283"/>
              <w:jc w:val="right"/>
              <w:rPr/>
            </w:pPr>
            <w:r>
              <w:rPr/>
              <w:t> </w:t>
            </w:r>
          </w:p>
        </w:tc>
        <w:tc>
          <w:tcPr>
            <w:tcW w:w="1445" w:type="dxa"/>
            <w:tcBorders>
              <w:bottom w:val="single" w:sz="1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12" w:space="0" w:color="7CBC3E"/>
            </w:tcBorders>
            <w:shd w:fill="EFF6EA" w:val="clear"/>
            <w:tcMar>
              <w:bottom w:w="28" w:type="dxa"/>
            </w:tcMar>
            <w:vAlign w:val="center"/>
          </w:tcPr>
          <w:p>
            <w:pPr>
              <w:pStyle w:val="TableContents"/>
              <w:spacing w:before="0" w:after="283"/>
              <w:jc w:val="right"/>
              <w:rPr/>
            </w:pPr>
            <w:r>
              <w:rPr/>
              <w:t> </w:t>
            </w:r>
          </w:p>
        </w:tc>
        <w:tc>
          <w:tcPr>
            <w:tcW w:w="875" w:type="dxa"/>
            <w:tcBorders>
              <w:bottom w:val="single" w:sz="12" w:space="0" w:color="7CBC3E"/>
            </w:tcBorders>
            <w:shd w:fill="EFF6EA" w:val="clear"/>
            <w:tcMar>
              <w:bottom w:w="28" w:type="dxa"/>
            </w:tcMar>
            <w:vAlign w:val="center"/>
          </w:tcPr>
          <w:p>
            <w:pPr>
              <w:pStyle w:val="TableContents"/>
              <w:spacing w:before="0" w:after="283"/>
              <w:jc w:val="right"/>
              <w:rPr/>
            </w:pPr>
            <w:r>
              <w:rPr/>
              <w:t>95.50</w:t>
            </w:r>
          </w:p>
        </w:tc>
        <w:tc>
          <w:tcPr>
            <w:tcW w:w="120" w:type="dxa"/>
            <w:tcBorders>
              <w:bottom w:val="single" w:sz="12" w:space="0" w:color="7CBC3E"/>
            </w:tcBorders>
            <w:shd w:fill="EFF6EA" w:val="clear"/>
            <w:tcMar>
              <w:bottom w:w="28" w:type="dxa"/>
            </w:tcMar>
            <w:vAlign w:val="center"/>
          </w:tcPr>
          <w:p>
            <w:pPr>
              <w:pStyle w:val="TableContents"/>
              <w:spacing w:before="0" w:after="283"/>
              <w:jc w:val="right"/>
              <w:rPr/>
            </w:pPr>
            <w:r>
              <w:rPr/>
              <w:t> </w:t>
            </w:r>
          </w:p>
        </w:tc>
        <w:tc>
          <w:tcPr>
            <w:tcW w:w="1115" w:type="dxa"/>
            <w:tcBorders>
              <w:bottom w:val="single" w:sz="12" w:space="0" w:color="7CBC3E"/>
            </w:tcBorders>
            <w:shd w:fill="EFF6EA" w:val="clear"/>
            <w:tcMar>
              <w:bottom w:w="28" w:type="dxa"/>
            </w:tcMar>
            <w:vAlign w:val="center"/>
          </w:tcPr>
          <w:p>
            <w:pPr>
              <w:pStyle w:val="TableContents"/>
              <w:spacing w:before="0" w:after="283"/>
              <w:jc w:val="right"/>
              <w:rPr/>
            </w:pPr>
            <w:r>
              <w:rPr/>
              <w:t>2/12/2023</w:t>
            </w:r>
          </w:p>
        </w:tc>
        <w:tc>
          <w:tcPr>
            <w:tcW w:w="120" w:type="dxa"/>
            <w:tcBorders>
              <w:bottom w:val="single" w:sz="12" w:space="0" w:color="7CBC3E"/>
            </w:tcBorders>
            <w:shd w:fill="EFF6EA" w:val="clear"/>
            <w:tcMar>
              <w:bottom w:w="28" w:type="dxa"/>
            </w:tcMar>
            <w:vAlign w:val="center"/>
          </w:tcPr>
          <w:p>
            <w:pPr>
              <w:pStyle w:val="TableContents"/>
              <w:spacing w:before="0" w:after="283"/>
              <w:jc w:val="right"/>
              <w:rPr/>
            </w:pPr>
            <w:r>
              <w:rPr/>
              <w:t> </w:t>
            </w:r>
          </w:p>
        </w:tc>
        <w:tc>
          <w:tcPr>
            <w:tcW w:w="875" w:type="dxa"/>
            <w:tcBorders>
              <w:bottom w:val="single" w:sz="1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12" w:space="0" w:color="7CBC3E"/>
            </w:tcBorders>
            <w:shd w:fill="EFF6EA" w:val="clear"/>
            <w:tcMar>
              <w:bottom w:w="28" w:type="dxa"/>
            </w:tcMar>
            <w:vAlign w:val="center"/>
          </w:tcPr>
          <w:p>
            <w:pPr>
              <w:pStyle w:val="TableContents"/>
              <w:spacing w:before="0" w:after="283"/>
              <w:jc w:val="right"/>
              <w:rPr/>
            </w:pPr>
            <w:r>
              <w:rPr/>
              <w:t> </w:t>
            </w:r>
          </w:p>
        </w:tc>
        <w:tc>
          <w:tcPr>
            <w:tcW w:w="980" w:type="dxa"/>
            <w:tcBorders>
              <w:bottom w:val="single" w:sz="1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12" w:space="0" w:color="7CBC3E"/>
            </w:tcBorders>
            <w:shd w:fill="EFF6EA" w:val="clear"/>
            <w:tcMar>
              <w:bottom w:w="28" w:type="dxa"/>
            </w:tcMar>
            <w:vAlign w:val="center"/>
          </w:tcPr>
          <w:p>
            <w:pPr>
              <w:pStyle w:val="TableContents"/>
              <w:spacing w:before="0" w:after="283"/>
              <w:jc w:val="right"/>
              <w:rPr/>
            </w:pPr>
            <w:r>
              <w:rPr/>
              <w:t> </w:t>
            </w:r>
          </w:p>
        </w:tc>
        <w:tc>
          <w:tcPr>
            <w:tcW w:w="1040" w:type="dxa"/>
            <w:tcBorders>
              <w:bottom w:val="single" w:sz="12" w:space="0" w:color="7CBC3E"/>
            </w:tcBorders>
            <w:shd w:fill="EFF6EA" w:val="clear"/>
            <w:tcMar>
              <w:bottom w:w="28" w:type="dxa"/>
            </w:tcMar>
            <w:vAlign w:val="center"/>
          </w:tcPr>
          <w:p>
            <w:pPr>
              <w:pStyle w:val="TableContents"/>
              <w:spacing w:before="0" w:after="283"/>
              <w:jc w:val="right"/>
              <w:rPr/>
            </w:pPr>
            <w:r>
              <w:rPr/>
              <w:t>—</w:t>
            </w:r>
          </w:p>
        </w:tc>
        <w:tc>
          <w:tcPr>
            <w:tcW w:w="120" w:type="dxa"/>
            <w:tcBorders>
              <w:bottom w:val="single" w:sz="12" w:space="0" w:color="7CBC3E"/>
            </w:tcBorders>
            <w:shd w:fill="EFF6EA" w:val="clear"/>
            <w:tcMar>
              <w:bottom w:w="28" w:type="dxa"/>
            </w:tcMar>
            <w:vAlign w:val="center"/>
          </w:tcPr>
          <w:p>
            <w:pPr>
              <w:pStyle w:val="TableContents"/>
              <w:spacing w:before="0" w:after="283"/>
              <w:jc w:val="right"/>
              <w:rPr/>
            </w:pPr>
            <w:r>
              <w:rPr/>
              <w:t> </w:t>
            </w:r>
          </w:p>
        </w:tc>
        <w:tc>
          <w:tcPr>
            <w:tcW w:w="1055" w:type="dxa"/>
            <w:tcBorders>
              <w:bottom w:val="single" w:sz="12" w:space="0" w:color="7CBC3E"/>
            </w:tcBorders>
            <w:shd w:fill="EFF6EA" w:val="clear"/>
            <w:tcMar>
              <w:bottom w:w="28" w:type="dxa"/>
            </w:tcMar>
            <w:vAlign w:val="center"/>
          </w:tcPr>
          <w:p>
            <w:pPr>
              <w:pStyle w:val="TableContents"/>
              <w:spacing w:before="0" w:after="283"/>
              <w:jc w:val="right"/>
              <w:rPr/>
            </w:pPr>
            <w:r>
              <w:rPr/>
              <w:t>—</w:t>
            </w:r>
          </w:p>
        </w:tc>
      </w:tr>
    </w:tbl>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rPr/>
            </w:pPr>
            <w:r>
              <w:rPr/>
              <w:t>(1)</w:t>
            </w:r>
          </w:p>
        </w:tc>
        <w:tc>
          <w:tcPr>
            <w:tcW w:w="9965" w:type="dxa"/>
            <w:tcBorders/>
            <w:shd w:fill="auto" w:val="clear"/>
            <w:vAlign w:val="center"/>
          </w:tcPr>
          <w:p>
            <w:pPr>
              <w:pStyle w:val="TableContents"/>
              <w:spacing w:before="0" w:after="283"/>
              <w:jc w:val="both"/>
              <w:rPr/>
            </w:pPr>
            <w:r>
              <w:rPr/>
              <w:t>The options vest with respect to 1/4th of the shares underlying the option on the one-year anniversary of the applicable grant date, and with respect to 1/48th of the shares underlying the option, on each monthly anniversary thereafter, subject to the holder’s continued service to us through each such vesting date. Please see the section entitled “—Narrative Disclosure to Summary Compensation Table—Covered Transaction” for accelerated vesting provisions that apply on certain terminations of employment.</w:t>
            </w:r>
          </w:p>
        </w:tc>
      </w:tr>
      <w:tr>
        <w:trPr/>
        <w:tc>
          <w:tcPr>
            <w:tcW w:w="240" w:type="dxa"/>
            <w:tcBorders/>
            <w:shd w:fill="auto" w:val="clear"/>
            <w:vAlign w:val="center"/>
          </w:tcPr>
          <w:p>
            <w:pPr>
              <w:pStyle w:val="TableContents"/>
              <w:spacing w:before="0" w:after="283"/>
              <w:rPr/>
            </w:pPr>
            <w:r>
              <w:rPr/>
              <w:t>(2)</w:t>
            </w:r>
          </w:p>
        </w:tc>
        <w:tc>
          <w:tcPr>
            <w:tcW w:w="9965" w:type="dxa"/>
            <w:tcBorders/>
            <w:shd w:fill="auto" w:val="clear"/>
            <w:vAlign w:val="center"/>
          </w:tcPr>
          <w:p>
            <w:pPr>
              <w:pStyle w:val="TableContents"/>
              <w:spacing w:before="0" w:after="283"/>
              <w:jc w:val="both"/>
              <w:rPr/>
            </w:pPr>
            <w:r>
              <w:rPr/>
              <w:t>Amounts in this column reflects unvested RSUs as well as earned but unvested PSUs. The RSUs vest with respect to 1/4th of the underlying shares on each anniversary of the grant date over a four-year period. For (i) Dr. Kakkis, 8,716 of the total earned PSUs listed in the March 1, 2021 row vested on March 1, 2023 and for (ii) each of Dr. Bedrosian, Mr. Harris and Mr. Pinion, 2,663 of the total earned PSUs listed in the March 1, 2021 row vested on March 1, 2023. Please see the section entitled “—Narrative Disclosure to Summary Compensation Table—Covered Transaction” for accelerated vesting provisions that apply on certain terminations of employment.</w:t>
            </w:r>
          </w:p>
        </w:tc>
      </w:tr>
      <w:tr>
        <w:trPr/>
        <w:tc>
          <w:tcPr>
            <w:tcW w:w="240" w:type="dxa"/>
            <w:tcBorders/>
            <w:shd w:fill="auto" w:val="clear"/>
            <w:vAlign w:val="center"/>
          </w:tcPr>
          <w:p>
            <w:pPr>
              <w:pStyle w:val="TableContents"/>
              <w:spacing w:before="0" w:after="283"/>
              <w:rPr/>
            </w:pPr>
            <w:r>
              <w:rPr/>
              <w:t>(3)</w:t>
            </w:r>
          </w:p>
        </w:tc>
        <w:tc>
          <w:tcPr>
            <w:tcW w:w="9965" w:type="dxa"/>
            <w:tcBorders/>
            <w:shd w:fill="auto" w:val="clear"/>
            <w:vAlign w:val="center"/>
          </w:tcPr>
          <w:p>
            <w:pPr>
              <w:pStyle w:val="TableContents"/>
              <w:spacing w:before="0" w:after="283"/>
              <w:jc w:val="both"/>
              <w:rPr/>
            </w:pPr>
            <w:r>
              <w:rPr/>
              <w:t>The PSUs set forth in the table are reported at target achievement. The PSUs vest as described above under “Compensation Discussion and Analysis—Equity Compensation”. Please see the section entitled “—Narrative Disclosure to Summary Compensation Table—Covered Transaction” for accelerated vesting provisions that apply on certain terminations of employment.</w:t>
            </w:r>
          </w:p>
        </w:tc>
      </w:tr>
    </w:tbl>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62</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jc w:val="both"/>
        <w:rPr>
          <w:rFonts w:ascii="Arial;Helvetica;Sans-Serif" w:hAnsi="Arial;Helvetica;Sans-Serif"/>
          <w:b/>
          <w:i w:val="false"/>
          <w:caps w:val="false"/>
          <w:smallCaps w:val="false"/>
          <w:sz w:val="28"/>
        </w:rPr>
      </w:pPr>
      <w:bookmarkStart w:id="107" w:name="lrarea098"/>
      <w:bookmarkStart w:id="108" w:name="lrareb008"/>
      <w:bookmarkEnd w:id="107"/>
      <w:bookmarkEnd w:id="108"/>
      <w:r>
        <w:rPr>
          <w:rFonts w:ascii="Arial;Helvetica;Sans-Serif" w:hAnsi="Arial;Helvetica;Sans-Serif"/>
          <w:b/>
          <w:i w:val="false"/>
          <w:caps w:val="false"/>
          <w:smallCaps w:val="false"/>
          <w:sz w:val="28"/>
        </w:rPr>
        <w:t>Option Exercises and Stock Vested</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certain information concerning the option awards exercised and stock awards vested for our named executive officers during fiscal 2022.</w:t>
      </w:r>
    </w:p>
    <w:p>
      <w:pPr>
        <w:pStyle w:val="TextBody"/>
        <w:jc w:val="both"/>
        <w:rPr>
          <w:caps w:val="false"/>
          <w:smallCaps w:val="false"/>
        </w:rPr>
      </w:pPr>
      <w:r>
        <w:rPr>
          <w:caps w:val="false"/>
          <w:smallCaps w:val="false"/>
        </w:rPr>
        <w:t> </w:t>
      </w:r>
    </w:p>
    <w:tbl>
      <w:tblPr>
        <w:tblW w:w="8950" w:type="dxa"/>
        <w:jc w:val="left"/>
        <w:tblInd w:w="0" w:type="dxa"/>
        <w:tblCellMar>
          <w:top w:w="0" w:type="dxa"/>
          <w:left w:w="0" w:type="dxa"/>
          <w:bottom w:w="0" w:type="dxa"/>
          <w:right w:w="0" w:type="dxa"/>
        </w:tblCellMar>
      </w:tblPr>
      <w:tblGrid>
        <w:gridCol w:w="2825"/>
        <w:gridCol w:w="60"/>
        <w:gridCol w:w="1730"/>
        <w:gridCol w:w="60"/>
        <w:gridCol w:w="1205"/>
        <w:gridCol w:w="60"/>
        <w:gridCol w:w="1730"/>
        <w:gridCol w:w="60"/>
        <w:gridCol w:w="1220"/>
      </w:tblGrid>
      <w:tr>
        <w:trPr/>
        <w:tc>
          <w:tcPr>
            <w:tcW w:w="28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right"/>
              <w:rPr/>
            </w:pPr>
            <w:r>
              <w:rPr/>
              <w:t> </w:t>
            </w:r>
          </w:p>
        </w:tc>
        <w:tc>
          <w:tcPr>
            <w:tcW w:w="2995" w:type="dxa"/>
            <w:gridSpan w:val="3"/>
            <w:tcBorders>
              <w:bottom w:val="single" w:sz="12" w:space="0" w:color="7CBC3E"/>
            </w:tcBorders>
            <w:shd w:fill="auto" w:val="clear"/>
            <w:tcMar>
              <w:bottom w:w="28" w:type="dxa"/>
            </w:tcMar>
            <w:vAlign w:val="center"/>
          </w:tcPr>
          <w:p>
            <w:pPr>
              <w:pStyle w:val="TableContents"/>
              <w:spacing w:before="0" w:after="283"/>
              <w:jc w:val="center"/>
              <w:rPr>
                <w:b/>
              </w:rPr>
            </w:pPr>
            <w:r>
              <w:rPr>
                <w:b/>
              </w:rPr>
              <w:t>Option Awards</w:t>
            </w:r>
          </w:p>
        </w:tc>
        <w:tc>
          <w:tcPr>
            <w:tcW w:w="60" w:type="dxa"/>
            <w:tcBorders/>
            <w:shd w:fill="auto" w:val="clear"/>
            <w:vAlign w:val="center"/>
          </w:tcPr>
          <w:p>
            <w:pPr>
              <w:pStyle w:val="TableContents"/>
              <w:spacing w:before="0" w:after="283"/>
              <w:jc w:val="right"/>
              <w:rPr/>
            </w:pPr>
            <w:r>
              <w:rPr/>
              <w:t> </w:t>
            </w:r>
          </w:p>
        </w:tc>
        <w:tc>
          <w:tcPr>
            <w:tcW w:w="3010" w:type="dxa"/>
            <w:gridSpan w:val="3"/>
            <w:tcBorders>
              <w:bottom w:val="single" w:sz="12" w:space="0" w:color="7CBC3E"/>
            </w:tcBorders>
            <w:shd w:fill="auto" w:val="clear"/>
            <w:tcMar>
              <w:bottom w:w="28" w:type="dxa"/>
            </w:tcMar>
            <w:vAlign w:val="center"/>
          </w:tcPr>
          <w:p>
            <w:pPr>
              <w:pStyle w:val="TableContents"/>
              <w:spacing w:before="0" w:after="283"/>
              <w:jc w:val="center"/>
              <w:rPr>
                <w:b/>
              </w:rPr>
            </w:pPr>
            <w:r>
              <w:rPr>
                <w:b/>
              </w:rPr>
              <w:t>Stock Awards</w:t>
            </w:r>
          </w:p>
        </w:tc>
      </w:tr>
      <w:tr>
        <w:trPr/>
        <w:tc>
          <w:tcPr>
            <w:tcW w:w="2825" w:type="dxa"/>
            <w:tcBorders>
              <w:bottom w:val="single" w:sz="12" w:space="0" w:color="7CBC3E"/>
            </w:tcBorders>
            <w:shd w:fill="auto" w:val="clear"/>
            <w:tcMar>
              <w:bottom w:w="28" w:type="dxa"/>
            </w:tcMar>
            <w:vAlign w:val="center"/>
          </w:tcPr>
          <w:p>
            <w:pPr>
              <w:pStyle w:val="TableContents"/>
              <w:spacing w:before="0" w:after="283"/>
              <w:rPr>
                <w:b/>
              </w:rPr>
            </w:pPr>
            <w:r>
              <w:rPr>
                <w:b/>
              </w:rPr>
              <w:t>Name</w:t>
            </w:r>
          </w:p>
        </w:tc>
        <w:tc>
          <w:tcPr>
            <w:tcW w:w="6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730" w:type="dxa"/>
            <w:tcBorders>
              <w:bottom w:val="single" w:sz="12" w:space="0" w:color="7CBC3E"/>
            </w:tcBorders>
            <w:shd w:fill="auto" w:val="clear"/>
            <w:tcMar>
              <w:bottom w:w="28" w:type="dxa"/>
            </w:tcMar>
            <w:vAlign w:val="center"/>
          </w:tcPr>
          <w:p>
            <w:pPr>
              <w:pStyle w:val="TableContents"/>
              <w:spacing w:before="0" w:after="283"/>
              <w:jc w:val="right"/>
              <w:rPr>
                <w:b/>
              </w:rPr>
            </w:pPr>
            <w:r>
              <w:rPr>
                <w:b/>
              </w:rPr>
              <w:t>Number of</w:t>
              <w:br/>
              <w:t>Shares Acquired</w:t>
              <w:br/>
              <w:t>on Exercise</w:t>
              <w:br/>
              <w:t>(#)</w:t>
            </w:r>
          </w:p>
        </w:tc>
        <w:tc>
          <w:tcPr>
            <w:tcW w:w="6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205" w:type="dxa"/>
            <w:tcBorders>
              <w:bottom w:val="single" w:sz="12" w:space="0" w:color="7CBC3E"/>
            </w:tcBorders>
            <w:shd w:fill="auto" w:val="clear"/>
            <w:tcMar>
              <w:bottom w:w="28" w:type="dxa"/>
            </w:tcMar>
            <w:vAlign w:val="center"/>
          </w:tcPr>
          <w:p>
            <w:pPr>
              <w:pStyle w:val="TableContents"/>
              <w:spacing w:before="0" w:after="283"/>
              <w:jc w:val="right"/>
              <w:rPr>
                <w:b/>
              </w:rPr>
            </w:pPr>
            <w:r>
              <w:rPr>
                <w:b/>
              </w:rPr>
              <w:t>Value</w:t>
              <w:br/>
              <w:t>Realized on</w:t>
              <w:br/>
              <w:t>Exercise</w:t>
              <w:br/>
              <w:t>($)</w:t>
            </w:r>
            <w:r>
              <w:rPr>
                <w:b/>
                <w:position w:val="8"/>
                <w:sz w:val="19"/>
              </w:rPr>
              <w:t>(1)</w:t>
            </w:r>
          </w:p>
        </w:tc>
        <w:tc>
          <w:tcPr>
            <w:tcW w:w="6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730" w:type="dxa"/>
            <w:tcBorders>
              <w:bottom w:val="single" w:sz="12" w:space="0" w:color="7CBC3E"/>
            </w:tcBorders>
            <w:shd w:fill="auto" w:val="clear"/>
            <w:tcMar>
              <w:bottom w:w="28" w:type="dxa"/>
            </w:tcMar>
            <w:vAlign w:val="center"/>
          </w:tcPr>
          <w:p>
            <w:pPr>
              <w:pStyle w:val="TableContents"/>
              <w:spacing w:before="0" w:after="283"/>
              <w:jc w:val="right"/>
              <w:rPr>
                <w:b/>
              </w:rPr>
            </w:pPr>
            <w:r>
              <w:rPr>
                <w:b/>
              </w:rPr>
              <w:t>Number of</w:t>
              <w:br/>
              <w:t>Shares Acquired</w:t>
              <w:br/>
              <w:t>on Vesting</w:t>
              <w:br/>
              <w:t>(#)</w:t>
            </w:r>
          </w:p>
        </w:tc>
        <w:tc>
          <w:tcPr>
            <w:tcW w:w="6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220" w:type="dxa"/>
            <w:tcBorders>
              <w:bottom w:val="single" w:sz="12" w:space="0" w:color="7CBC3E"/>
            </w:tcBorders>
            <w:shd w:fill="auto" w:val="clear"/>
            <w:tcMar>
              <w:bottom w:w="28" w:type="dxa"/>
            </w:tcMar>
            <w:vAlign w:val="center"/>
          </w:tcPr>
          <w:p>
            <w:pPr>
              <w:pStyle w:val="TableContents"/>
              <w:spacing w:before="0" w:after="283"/>
              <w:jc w:val="right"/>
              <w:rPr>
                <w:b/>
              </w:rPr>
            </w:pPr>
            <w:r>
              <w:rPr>
                <w:b/>
              </w:rPr>
              <w:t>Value</w:t>
              <w:br/>
              <w:t>Realized on</w:t>
              <w:br/>
              <w:t>Vesting</w:t>
              <w:br/>
              <w:t>($)</w:t>
            </w:r>
            <w:r>
              <w:rPr>
                <w:b/>
                <w:position w:val="8"/>
                <w:sz w:val="19"/>
              </w:rPr>
              <w:t>(2)</w:t>
            </w:r>
          </w:p>
        </w:tc>
      </w:tr>
      <w:tr>
        <w:trPr/>
        <w:tc>
          <w:tcPr>
            <w:tcW w:w="2825" w:type="dxa"/>
            <w:tcBorders/>
            <w:shd w:fill="auto" w:val="clear"/>
            <w:vAlign w:val="center"/>
          </w:tcPr>
          <w:p>
            <w:pPr>
              <w:pStyle w:val="TableContents"/>
              <w:spacing w:before="0" w:after="283"/>
              <w:rPr/>
            </w:pPr>
            <w:r>
              <w:rPr/>
              <w:t>Emil D. Kakkis, M.D., Ph.D.</w:t>
            </w:r>
          </w:p>
        </w:tc>
        <w:tc>
          <w:tcPr>
            <w:tcW w:w="60" w:type="dxa"/>
            <w:tcBorders/>
            <w:shd w:fill="auto" w:val="clear"/>
            <w:vAlign w:val="center"/>
          </w:tcPr>
          <w:p>
            <w:pPr>
              <w:pStyle w:val="TableContents"/>
              <w:spacing w:before="0" w:after="283"/>
              <w:jc w:val="right"/>
              <w:rPr/>
            </w:pPr>
            <w:r>
              <w:rPr/>
              <w:t> </w:t>
            </w:r>
          </w:p>
        </w:tc>
        <w:tc>
          <w:tcPr>
            <w:tcW w:w="173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right"/>
              <w:rPr/>
            </w:pPr>
            <w:r>
              <w:rPr/>
              <w:t> </w:t>
            </w:r>
          </w:p>
        </w:tc>
        <w:tc>
          <w:tcPr>
            <w:tcW w:w="120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right"/>
              <w:rPr/>
            </w:pPr>
            <w:r>
              <w:rPr/>
              <w:t> </w:t>
            </w:r>
          </w:p>
        </w:tc>
        <w:tc>
          <w:tcPr>
            <w:tcW w:w="1730" w:type="dxa"/>
            <w:tcBorders/>
            <w:shd w:fill="auto" w:val="clear"/>
            <w:vAlign w:val="center"/>
          </w:tcPr>
          <w:p>
            <w:pPr>
              <w:pStyle w:val="TableContents"/>
              <w:spacing w:before="0" w:after="283"/>
              <w:jc w:val="right"/>
              <w:rPr/>
            </w:pPr>
            <w:r>
              <w:rPr/>
              <w:t>28,979</w:t>
            </w:r>
          </w:p>
        </w:tc>
        <w:tc>
          <w:tcPr>
            <w:tcW w:w="60" w:type="dxa"/>
            <w:tcBorders/>
            <w:shd w:fill="auto" w:val="clear"/>
            <w:vAlign w:val="center"/>
          </w:tcPr>
          <w:p>
            <w:pPr>
              <w:pStyle w:val="TableContents"/>
              <w:spacing w:before="0" w:after="283"/>
              <w:jc w:val="right"/>
              <w:rPr/>
            </w:pPr>
            <w:r>
              <w:rPr/>
              <w:t> </w:t>
            </w:r>
          </w:p>
        </w:tc>
        <w:tc>
          <w:tcPr>
            <w:tcW w:w="1220" w:type="dxa"/>
            <w:tcBorders/>
            <w:shd w:fill="auto" w:val="clear"/>
            <w:vAlign w:val="center"/>
          </w:tcPr>
          <w:p>
            <w:pPr>
              <w:pStyle w:val="TableContents"/>
              <w:spacing w:before="0" w:after="283"/>
              <w:jc w:val="right"/>
              <w:rPr/>
            </w:pPr>
            <w:r>
              <w:rPr/>
              <w:t>1,952,315</w:t>
            </w:r>
          </w:p>
        </w:tc>
      </w:tr>
      <w:tr>
        <w:trPr/>
        <w:tc>
          <w:tcPr>
            <w:tcW w:w="2825" w:type="dxa"/>
            <w:tcBorders/>
            <w:shd w:fill="EFF6EA" w:val="clear"/>
            <w:vAlign w:val="center"/>
          </w:tcPr>
          <w:p>
            <w:pPr>
              <w:pStyle w:val="TableContents"/>
              <w:spacing w:before="0" w:after="283"/>
              <w:rPr/>
            </w:pPr>
            <w:r>
              <w:rPr/>
              <w:t>Camille L. Bedrosian, M.D</w:t>
            </w:r>
          </w:p>
        </w:tc>
        <w:tc>
          <w:tcPr>
            <w:tcW w:w="60" w:type="dxa"/>
            <w:tcBorders/>
            <w:shd w:fill="EFF6EA" w:val="clear"/>
            <w:vAlign w:val="center"/>
          </w:tcPr>
          <w:p>
            <w:pPr>
              <w:pStyle w:val="TableContents"/>
              <w:spacing w:before="0" w:after="283"/>
              <w:jc w:val="right"/>
              <w:rPr/>
            </w:pPr>
            <w:r>
              <w:rPr/>
              <w:t> </w:t>
            </w:r>
          </w:p>
        </w:tc>
        <w:tc>
          <w:tcPr>
            <w:tcW w:w="1730" w:type="dxa"/>
            <w:tcBorders/>
            <w:shd w:fill="EFF6EA" w:val="clear"/>
            <w:vAlign w:val="center"/>
          </w:tcPr>
          <w:p>
            <w:pPr>
              <w:pStyle w:val="TableContents"/>
              <w:spacing w:before="0" w:after="283"/>
              <w:jc w:val="right"/>
              <w:rPr/>
            </w:pPr>
            <w:r>
              <w:rPr/>
              <w:t>—</w:t>
            </w:r>
          </w:p>
        </w:tc>
        <w:tc>
          <w:tcPr>
            <w:tcW w:w="60" w:type="dxa"/>
            <w:tcBorders/>
            <w:shd w:fill="EFF6EA" w:val="clear"/>
            <w:vAlign w:val="center"/>
          </w:tcPr>
          <w:p>
            <w:pPr>
              <w:pStyle w:val="TableContents"/>
              <w:spacing w:before="0" w:after="283"/>
              <w:jc w:val="right"/>
              <w:rPr/>
            </w:pPr>
            <w:r>
              <w:rPr/>
              <w:t> </w:t>
            </w:r>
          </w:p>
        </w:tc>
        <w:tc>
          <w:tcPr>
            <w:tcW w:w="1205" w:type="dxa"/>
            <w:tcBorders/>
            <w:shd w:fill="EFF6EA" w:val="clear"/>
            <w:vAlign w:val="center"/>
          </w:tcPr>
          <w:p>
            <w:pPr>
              <w:pStyle w:val="TableContents"/>
              <w:spacing w:before="0" w:after="283"/>
              <w:jc w:val="right"/>
              <w:rPr/>
            </w:pPr>
            <w:r>
              <w:rPr/>
              <w:t>—</w:t>
            </w:r>
          </w:p>
        </w:tc>
        <w:tc>
          <w:tcPr>
            <w:tcW w:w="60" w:type="dxa"/>
            <w:tcBorders/>
            <w:shd w:fill="EFF6EA" w:val="clear"/>
            <w:vAlign w:val="center"/>
          </w:tcPr>
          <w:p>
            <w:pPr>
              <w:pStyle w:val="TableContents"/>
              <w:spacing w:before="0" w:after="283"/>
              <w:jc w:val="right"/>
              <w:rPr/>
            </w:pPr>
            <w:r>
              <w:rPr/>
              <w:t> </w:t>
            </w:r>
          </w:p>
        </w:tc>
        <w:tc>
          <w:tcPr>
            <w:tcW w:w="1730" w:type="dxa"/>
            <w:tcBorders/>
            <w:shd w:fill="EFF6EA" w:val="clear"/>
            <w:vAlign w:val="center"/>
          </w:tcPr>
          <w:p>
            <w:pPr>
              <w:pStyle w:val="TableContents"/>
              <w:spacing w:before="0" w:after="283"/>
              <w:jc w:val="right"/>
              <w:rPr/>
            </w:pPr>
            <w:r>
              <w:rPr/>
              <w:t>12,556</w:t>
            </w:r>
          </w:p>
        </w:tc>
        <w:tc>
          <w:tcPr>
            <w:tcW w:w="60" w:type="dxa"/>
            <w:tcBorders/>
            <w:shd w:fill="EFF6EA" w:val="clear"/>
            <w:vAlign w:val="center"/>
          </w:tcPr>
          <w:p>
            <w:pPr>
              <w:pStyle w:val="TableContents"/>
              <w:spacing w:before="0" w:after="283"/>
              <w:jc w:val="right"/>
              <w:rPr/>
            </w:pPr>
            <w:r>
              <w:rPr/>
              <w:t> </w:t>
            </w:r>
          </w:p>
        </w:tc>
        <w:tc>
          <w:tcPr>
            <w:tcW w:w="1220" w:type="dxa"/>
            <w:tcBorders/>
            <w:shd w:fill="EFF6EA" w:val="clear"/>
            <w:vAlign w:val="center"/>
          </w:tcPr>
          <w:p>
            <w:pPr>
              <w:pStyle w:val="TableContents"/>
              <w:spacing w:before="0" w:after="283"/>
              <w:jc w:val="right"/>
              <w:rPr/>
            </w:pPr>
            <w:r>
              <w:rPr/>
              <w:t>839,733</w:t>
            </w:r>
          </w:p>
        </w:tc>
      </w:tr>
      <w:tr>
        <w:trPr/>
        <w:tc>
          <w:tcPr>
            <w:tcW w:w="2825" w:type="dxa"/>
            <w:tcBorders/>
            <w:shd w:fill="auto" w:val="clear"/>
            <w:vAlign w:val="center"/>
          </w:tcPr>
          <w:p>
            <w:pPr>
              <w:pStyle w:val="TableContents"/>
              <w:spacing w:before="0" w:after="283"/>
              <w:rPr/>
            </w:pPr>
            <w:r>
              <w:rPr/>
              <w:t>Erik Harris</w:t>
            </w:r>
          </w:p>
        </w:tc>
        <w:tc>
          <w:tcPr>
            <w:tcW w:w="60" w:type="dxa"/>
            <w:tcBorders/>
            <w:shd w:fill="auto" w:val="clear"/>
            <w:vAlign w:val="center"/>
          </w:tcPr>
          <w:p>
            <w:pPr>
              <w:pStyle w:val="TableContents"/>
              <w:spacing w:before="0" w:after="283"/>
              <w:jc w:val="right"/>
              <w:rPr/>
            </w:pPr>
            <w:r>
              <w:rPr/>
              <w:t> </w:t>
            </w:r>
          </w:p>
        </w:tc>
        <w:tc>
          <w:tcPr>
            <w:tcW w:w="173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right"/>
              <w:rPr/>
            </w:pPr>
            <w:r>
              <w:rPr/>
              <w:t> </w:t>
            </w:r>
          </w:p>
        </w:tc>
        <w:tc>
          <w:tcPr>
            <w:tcW w:w="120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right"/>
              <w:rPr/>
            </w:pPr>
            <w:r>
              <w:rPr/>
              <w:t> </w:t>
            </w:r>
          </w:p>
        </w:tc>
        <w:tc>
          <w:tcPr>
            <w:tcW w:w="1730" w:type="dxa"/>
            <w:tcBorders/>
            <w:shd w:fill="auto" w:val="clear"/>
            <w:vAlign w:val="center"/>
          </w:tcPr>
          <w:p>
            <w:pPr>
              <w:pStyle w:val="TableContents"/>
              <w:spacing w:before="0" w:after="283"/>
              <w:jc w:val="right"/>
              <w:rPr/>
            </w:pPr>
            <w:r>
              <w:rPr/>
              <w:t>8,468</w:t>
            </w:r>
          </w:p>
        </w:tc>
        <w:tc>
          <w:tcPr>
            <w:tcW w:w="60" w:type="dxa"/>
            <w:tcBorders/>
            <w:shd w:fill="auto" w:val="clear"/>
            <w:vAlign w:val="center"/>
          </w:tcPr>
          <w:p>
            <w:pPr>
              <w:pStyle w:val="TableContents"/>
              <w:spacing w:before="0" w:after="283"/>
              <w:jc w:val="right"/>
              <w:rPr/>
            </w:pPr>
            <w:r>
              <w:rPr/>
              <w:t> </w:t>
            </w:r>
          </w:p>
        </w:tc>
        <w:tc>
          <w:tcPr>
            <w:tcW w:w="1220" w:type="dxa"/>
            <w:tcBorders/>
            <w:shd w:fill="auto" w:val="clear"/>
            <w:vAlign w:val="center"/>
          </w:tcPr>
          <w:p>
            <w:pPr>
              <w:pStyle w:val="TableContents"/>
              <w:spacing w:before="0" w:after="283"/>
              <w:jc w:val="right"/>
              <w:rPr/>
            </w:pPr>
            <w:r>
              <w:rPr/>
              <w:t>558,169</w:t>
            </w:r>
          </w:p>
        </w:tc>
      </w:tr>
      <w:tr>
        <w:trPr/>
        <w:tc>
          <w:tcPr>
            <w:tcW w:w="2825" w:type="dxa"/>
            <w:tcBorders/>
            <w:shd w:fill="EFF6EA" w:val="clear"/>
            <w:vAlign w:val="center"/>
          </w:tcPr>
          <w:p>
            <w:pPr>
              <w:pStyle w:val="TableContents"/>
              <w:spacing w:before="0" w:after="283"/>
              <w:rPr/>
            </w:pPr>
            <w:r>
              <w:rPr/>
              <w:t>John R. Pinion II</w:t>
            </w:r>
          </w:p>
        </w:tc>
        <w:tc>
          <w:tcPr>
            <w:tcW w:w="60" w:type="dxa"/>
            <w:tcBorders/>
            <w:shd w:fill="EFF6EA" w:val="clear"/>
            <w:vAlign w:val="center"/>
          </w:tcPr>
          <w:p>
            <w:pPr>
              <w:pStyle w:val="TableContents"/>
              <w:spacing w:before="0" w:after="283"/>
              <w:jc w:val="right"/>
              <w:rPr/>
            </w:pPr>
            <w:r>
              <w:rPr/>
              <w:t> </w:t>
            </w:r>
          </w:p>
        </w:tc>
        <w:tc>
          <w:tcPr>
            <w:tcW w:w="1730" w:type="dxa"/>
            <w:tcBorders/>
            <w:shd w:fill="EFF6EA" w:val="clear"/>
            <w:vAlign w:val="center"/>
          </w:tcPr>
          <w:p>
            <w:pPr>
              <w:pStyle w:val="TableContents"/>
              <w:spacing w:before="0" w:after="283"/>
              <w:jc w:val="right"/>
              <w:rPr/>
            </w:pPr>
            <w:r>
              <w:rPr/>
              <w:t>—</w:t>
            </w:r>
          </w:p>
        </w:tc>
        <w:tc>
          <w:tcPr>
            <w:tcW w:w="60" w:type="dxa"/>
            <w:tcBorders/>
            <w:shd w:fill="EFF6EA" w:val="clear"/>
            <w:vAlign w:val="center"/>
          </w:tcPr>
          <w:p>
            <w:pPr>
              <w:pStyle w:val="TableContents"/>
              <w:spacing w:before="0" w:after="283"/>
              <w:jc w:val="right"/>
              <w:rPr/>
            </w:pPr>
            <w:r>
              <w:rPr/>
              <w:t> </w:t>
            </w:r>
          </w:p>
        </w:tc>
        <w:tc>
          <w:tcPr>
            <w:tcW w:w="1205" w:type="dxa"/>
            <w:tcBorders/>
            <w:shd w:fill="EFF6EA" w:val="clear"/>
            <w:vAlign w:val="center"/>
          </w:tcPr>
          <w:p>
            <w:pPr>
              <w:pStyle w:val="TableContents"/>
              <w:spacing w:before="0" w:after="283"/>
              <w:jc w:val="right"/>
              <w:rPr/>
            </w:pPr>
            <w:r>
              <w:rPr/>
              <w:t>—</w:t>
            </w:r>
          </w:p>
        </w:tc>
        <w:tc>
          <w:tcPr>
            <w:tcW w:w="60" w:type="dxa"/>
            <w:tcBorders/>
            <w:shd w:fill="EFF6EA" w:val="clear"/>
            <w:vAlign w:val="center"/>
          </w:tcPr>
          <w:p>
            <w:pPr>
              <w:pStyle w:val="TableContents"/>
              <w:spacing w:before="0" w:after="283"/>
              <w:jc w:val="right"/>
              <w:rPr/>
            </w:pPr>
            <w:r>
              <w:rPr/>
              <w:t> </w:t>
            </w:r>
          </w:p>
        </w:tc>
        <w:tc>
          <w:tcPr>
            <w:tcW w:w="1730" w:type="dxa"/>
            <w:tcBorders/>
            <w:shd w:fill="EFF6EA" w:val="clear"/>
            <w:vAlign w:val="center"/>
          </w:tcPr>
          <w:p>
            <w:pPr>
              <w:pStyle w:val="TableContents"/>
              <w:spacing w:before="0" w:after="283"/>
              <w:jc w:val="right"/>
              <w:rPr/>
            </w:pPr>
            <w:r>
              <w:rPr/>
              <w:t>12,681</w:t>
            </w:r>
          </w:p>
        </w:tc>
        <w:tc>
          <w:tcPr>
            <w:tcW w:w="60" w:type="dxa"/>
            <w:tcBorders/>
            <w:shd w:fill="EFF6EA" w:val="clear"/>
            <w:vAlign w:val="center"/>
          </w:tcPr>
          <w:p>
            <w:pPr>
              <w:pStyle w:val="TableContents"/>
              <w:spacing w:before="0" w:after="283"/>
              <w:jc w:val="right"/>
              <w:rPr/>
            </w:pPr>
            <w:r>
              <w:rPr/>
              <w:t> </w:t>
            </w:r>
          </w:p>
        </w:tc>
        <w:tc>
          <w:tcPr>
            <w:tcW w:w="1220" w:type="dxa"/>
            <w:tcBorders/>
            <w:shd w:fill="EFF6EA" w:val="clear"/>
            <w:vAlign w:val="center"/>
          </w:tcPr>
          <w:p>
            <w:pPr>
              <w:pStyle w:val="TableContents"/>
              <w:spacing w:before="0" w:after="283"/>
              <w:jc w:val="right"/>
              <w:rPr/>
            </w:pPr>
            <w:r>
              <w:rPr/>
              <w:t>854,319</w:t>
            </w:r>
          </w:p>
        </w:tc>
      </w:tr>
      <w:tr>
        <w:trPr/>
        <w:tc>
          <w:tcPr>
            <w:tcW w:w="2825" w:type="dxa"/>
            <w:tcBorders>
              <w:bottom w:val="single" w:sz="12" w:space="0" w:color="7CBC3E"/>
            </w:tcBorders>
            <w:shd w:fill="auto" w:val="clear"/>
            <w:tcMar>
              <w:bottom w:w="28" w:type="dxa"/>
            </w:tcMar>
            <w:vAlign w:val="center"/>
          </w:tcPr>
          <w:p>
            <w:pPr>
              <w:pStyle w:val="TableContents"/>
              <w:spacing w:before="0" w:after="283"/>
              <w:rPr/>
            </w:pPr>
            <w:r>
              <w:rPr/>
              <w:t>Mardi C. Dier</w:t>
            </w:r>
          </w:p>
        </w:tc>
        <w:tc>
          <w:tcPr>
            <w:tcW w:w="6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730"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6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205"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6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730" w:type="dxa"/>
            <w:tcBorders>
              <w:bottom w:val="single" w:sz="12" w:space="0" w:color="7CBC3E"/>
            </w:tcBorders>
            <w:shd w:fill="auto" w:val="clear"/>
            <w:tcMar>
              <w:bottom w:w="28" w:type="dxa"/>
            </w:tcMar>
            <w:vAlign w:val="center"/>
          </w:tcPr>
          <w:p>
            <w:pPr>
              <w:pStyle w:val="TableContents"/>
              <w:spacing w:before="0" w:after="283"/>
              <w:jc w:val="right"/>
              <w:rPr/>
            </w:pPr>
            <w:r>
              <w:rPr/>
              <w:t>11,375</w:t>
            </w:r>
          </w:p>
        </w:tc>
        <w:tc>
          <w:tcPr>
            <w:tcW w:w="60" w:type="dxa"/>
            <w:tcBorders>
              <w:bottom w:val="single" w:sz="12" w:space="0" w:color="7CBC3E"/>
            </w:tcBorders>
            <w:shd w:fill="auto" w:val="clear"/>
            <w:tcMar>
              <w:bottom w:w="28" w:type="dxa"/>
            </w:tcMar>
            <w:vAlign w:val="center"/>
          </w:tcPr>
          <w:p>
            <w:pPr>
              <w:pStyle w:val="TableContents"/>
              <w:spacing w:before="0" w:after="283"/>
              <w:jc w:val="right"/>
              <w:rPr/>
            </w:pPr>
            <w:r>
              <w:rPr/>
              <w:t> </w:t>
            </w:r>
          </w:p>
        </w:tc>
        <w:tc>
          <w:tcPr>
            <w:tcW w:w="1220" w:type="dxa"/>
            <w:tcBorders>
              <w:bottom w:val="single" w:sz="12" w:space="0" w:color="7CBC3E"/>
            </w:tcBorders>
            <w:shd w:fill="auto" w:val="clear"/>
            <w:tcMar>
              <w:bottom w:w="28" w:type="dxa"/>
            </w:tcMar>
            <w:vAlign w:val="center"/>
          </w:tcPr>
          <w:p>
            <w:pPr>
              <w:pStyle w:val="TableContents"/>
              <w:spacing w:before="0" w:after="283"/>
              <w:jc w:val="right"/>
              <w:rPr/>
            </w:pPr>
            <w:r>
              <w:rPr/>
              <w:t>477,334</w:t>
            </w:r>
          </w:p>
        </w:tc>
      </w:tr>
    </w:tbl>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jc w:val="both"/>
              <w:rPr/>
            </w:pPr>
            <w:r>
              <w:rPr/>
              <w:t>(1)</w:t>
            </w:r>
          </w:p>
        </w:tc>
        <w:tc>
          <w:tcPr>
            <w:tcW w:w="9954" w:type="dxa"/>
            <w:tcBorders/>
            <w:shd w:fill="auto" w:val="clear"/>
            <w:vAlign w:val="center"/>
          </w:tcPr>
          <w:p>
            <w:pPr>
              <w:pStyle w:val="TableContents"/>
              <w:spacing w:before="0" w:after="283"/>
              <w:jc w:val="both"/>
              <w:rPr/>
            </w:pPr>
            <w:r>
              <w:rPr/>
              <w:t>Value realized does not represent proceeds from any sale of any common stock acquired upon exercise, but is determined by multiplying the number of shares acquired upon exercise by the difference between the exercise price of the option and the closing price of our common stock on The Nasdaq Global Select Market on each exercise date.</w:t>
            </w:r>
          </w:p>
        </w:tc>
      </w:tr>
      <w:tr>
        <w:trPr/>
        <w:tc>
          <w:tcPr>
            <w:tcW w:w="251" w:type="dxa"/>
            <w:tcBorders/>
            <w:shd w:fill="auto" w:val="clear"/>
            <w:vAlign w:val="center"/>
          </w:tcPr>
          <w:p>
            <w:pPr>
              <w:pStyle w:val="TableContents"/>
              <w:spacing w:before="0" w:after="283"/>
              <w:jc w:val="both"/>
              <w:rPr/>
            </w:pPr>
            <w:r>
              <w:rPr/>
              <w:t>(2)</w:t>
            </w:r>
          </w:p>
        </w:tc>
        <w:tc>
          <w:tcPr>
            <w:tcW w:w="9954" w:type="dxa"/>
            <w:tcBorders/>
            <w:shd w:fill="auto" w:val="clear"/>
            <w:vAlign w:val="center"/>
          </w:tcPr>
          <w:p>
            <w:pPr>
              <w:pStyle w:val="TableContents"/>
              <w:spacing w:before="0" w:after="283"/>
              <w:jc w:val="both"/>
              <w:rPr/>
            </w:pPr>
            <w:r>
              <w:rPr/>
              <w:t>Value realized is equal to the closing price of our common stock on The Nasdaq Global Select Market on each vesting date multiplied by the number of stock awards that vested.</w:t>
            </w:r>
          </w:p>
        </w:tc>
      </w:tr>
    </w:tbl>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109" w:name="lrarea099"/>
      <w:bookmarkStart w:id="110" w:name="lrareb009"/>
      <w:bookmarkEnd w:id="109"/>
      <w:bookmarkEnd w:id="110"/>
      <w:r>
        <w:rPr>
          <w:rFonts w:ascii="Arial;Helvetica;Sans-Serif" w:hAnsi="Arial;Helvetica;Sans-Serif"/>
          <w:b/>
          <w:i w:val="false"/>
          <w:caps w:val="false"/>
          <w:smallCaps w:val="false"/>
          <w:sz w:val="28"/>
        </w:rPr>
        <w:t>Pension Benefits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do not have a defined benefit plan. Our named executive officers did not participate in, or otherwise receive any special benefits under, any pension or defined benefit retirement plan sponsored by us during fiscal 2022.</w:t>
      </w:r>
    </w:p>
    <w:p>
      <w:pPr>
        <w:pStyle w:val="TextBody"/>
        <w:jc w:val="both"/>
        <w:rPr>
          <w:caps w:val="false"/>
          <w:smallCaps w:val="false"/>
        </w:rPr>
      </w:pPr>
      <w:r>
        <w:rPr>
          <w:caps w:val="false"/>
          <w:smallCaps w:val="false"/>
        </w:rPr>
        <w:t> </w:t>
      </w:r>
    </w:p>
    <w:p>
      <w:pPr>
        <w:pStyle w:val="Heading3"/>
        <w:jc w:val="both"/>
        <w:rPr>
          <w:rFonts w:ascii="Arial;Helvetica;Sans-Serif" w:hAnsi="Arial;Helvetica;Sans-Serif"/>
          <w:b/>
          <w:i w:val="false"/>
          <w:caps w:val="false"/>
          <w:smallCaps w:val="false"/>
          <w:sz w:val="28"/>
        </w:rPr>
      </w:pPr>
      <w:bookmarkStart w:id="111" w:name="lrarea100"/>
      <w:bookmarkStart w:id="112" w:name="lrareb010"/>
      <w:bookmarkEnd w:id="111"/>
      <w:bookmarkEnd w:id="112"/>
      <w:r>
        <w:rPr>
          <w:rFonts w:ascii="Arial;Helvetica;Sans-Serif" w:hAnsi="Arial;Helvetica;Sans-Serif"/>
          <w:b/>
          <w:i w:val="false"/>
          <w:caps w:val="false"/>
          <w:smallCaps w:val="false"/>
          <w:sz w:val="28"/>
        </w:rPr>
        <w:t>Nonqualified Deferred Compensation</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June 2021, we adopted a non-qualified deferred compensation plan (Deferred Compensation Plan). Our Deferred Compensation Plan permits highly-compensated U.S. based employees, including our named executive officers, as well as non-employee members of the Board to defer up to 75% of their base salary and up to 100% of director compensation and other types of compensation, including annual cash bonuses, RSUs and PSUs awarded.</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Generally, a deferral election must be made no later than December 31 of the previous year, and is irrevocable. Deferrals with respect to salary are deducted from the participant’s salary in equal installments for the period of January 1 to December 31 of each year. These deferral elections are for the salary earned by the participant for the particular salary pay period during that year, which would otherwise be payable to the participant in such pay period. The election to defer salary under the Deferred Compensation Plan is in addition to any deferral election made by the participant under our 401(k) Plan. Deferrals for performance-based annual bonuses are for those bonuses earned during the year for which the election applies, which are payable the following year. The Deferred Compensation Plan is intended to provide participants with a tax deferral opportunity for compensation paid by us. The deferred amounts are not subject to income tax or income tax withholding when earned and deferred, but are fully taxable (and withheld appropriately) when distributed.</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Deferred Compensation Plan authorizes the company to make matching contributions at our sole discretion. The participant is 100% vested at all times in his or her deferred cash account (including any company matching contributions), and deferrals of any compensation subject to vesting (such as RSUs and PSUs) shall vest in accordance with the provisions of the underlying award.</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Deferred Compensation Plan provides for payment of deferred compensation and earnings thereon. A distribution is made upon a participant’s separation from service with us, his or her retirement, a date specified by the participant in his or her compensation deferral agreement, the death of a participant (in such a case, to the designated beneficiary) or a “change in control.” Payment distributions can be made in a lump sum, annual installments of up to five years at the participant’s election or for “specified date accounts only”, installments of up to 15 years, at the participant’s election.</w:t>
      </w:r>
    </w:p>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63</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Deferred Compensation Plan credits gains and losses to deferred amounts based upon “deemed” investments in mutual funds investing in equity instruments or debt securities chosen by each participant (which the participant may change at any time) from a “menu” of fund options provided by us. The investment returns credited to participants’ accounts in the Deferred Compensation Plan correspond to actual returns of the chosen funds. The performance of the mutual funds fluctuates with the conditions of the capital markets and the economy generally, and is affected by prevailing interest rates and credit risks. The investment options under the Deferred Compensation Plan include:</w:t>
      </w:r>
    </w:p>
    <w:p>
      <w:pPr>
        <w:pStyle w:val="TextBody"/>
        <w:jc w:val="both"/>
        <w:rPr>
          <w:caps w:val="false"/>
          <w:smallCaps w:val="false"/>
        </w:rPr>
      </w:pPr>
      <w:r>
        <w:rPr>
          <w:caps w:val="false"/>
          <w:smallCaps w:val="false"/>
        </w:rPr>
        <w:t> </w:t>
      </w:r>
    </w:p>
    <w:tbl>
      <w:tblPr>
        <w:tblW w:w="7750" w:type="dxa"/>
        <w:jc w:val="left"/>
        <w:tblInd w:w="0" w:type="dxa"/>
        <w:tblCellMar>
          <w:top w:w="0" w:type="dxa"/>
          <w:left w:w="0" w:type="dxa"/>
          <w:bottom w:w="28" w:type="dxa"/>
          <w:right w:w="0" w:type="dxa"/>
        </w:tblCellMar>
      </w:tblPr>
      <w:tblGrid>
        <w:gridCol w:w="5135"/>
        <w:gridCol w:w="60"/>
        <w:gridCol w:w="2555"/>
      </w:tblGrid>
      <w:tr>
        <w:trPr/>
        <w:tc>
          <w:tcPr>
            <w:tcW w:w="5135" w:type="dxa"/>
            <w:tcBorders>
              <w:bottom w:val="single" w:sz="12" w:space="0" w:color="7CBC3E"/>
            </w:tcBorders>
            <w:shd w:fill="auto" w:val="clear"/>
            <w:vAlign w:val="center"/>
          </w:tcPr>
          <w:p>
            <w:pPr>
              <w:pStyle w:val="TableContents"/>
              <w:spacing w:before="0" w:after="283"/>
              <w:jc w:val="both"/>
              <w:rPr>
                <w:b/>
              </w:rPr>
            </w:pPr>
            <w:r>
              <w:rPr>
                <w:b/>
              </w:rPr>
              <w:t>Fund</w:t>
            </w:r>
          </w:p>
        </w:tc>
        <w:tc>
          <w:tcPr>
            <w:tcW w:w="60" w:type="dxa"/>
            <w:tcBorders>
              <w:bottom w:val="single" w:sz="12" w:space="0" w:color="7CBC3E"/>
            </w:tcBorders>
            <w:shd w:fill="auto" w:val="clear"/>
            <w:vAlign w:val="center"/>
          </w:tcPr>
          <w:p>
            <w:pPr>
              <w:pStyle w:val="TableContents"/>
              <w:spacing w:before="0" w:after="283"/>
              <w:jc w:val="right"/>
              <w:rPr/>
            </w:pPr>
            <w:r>
              <w:rPr/>
              <w:t> </w:t>
            </w:r>
          </w:p>
        </w:tc>
        <w:tc>
          <w:tcPr>
            <w:tcW w:w="2555" w:type="dxa"/>
            <w:tcBorders>
              <w:bottom w:val="single" w:sz="12" w:space="0" w:color="7CBC3E"/>
            </w:tcBorders>
            <w:shd w:fill="auto" w:val="clear"/>
            <w:vAlign w:val="center"/>
          </w:tcPr>
          <w:p>
            <w:pPr>
              <w:pStyle w:val="TableContents"/>
              <w:spacing w:before="0" w:after="283"/>
              <w:jc w:val="right"/>
              <w:rPr>
                <w:b/>
              </w:rPr>
            </w:pPr>
            <w:r>
              <w:rPr>
                <w:b/>
              </w:rPr>
              <w:t>2022 Rate of Return (%)</w:t>
            </w:r>
          </w:p>
        </w:tc>
      </w:tr>
      <w:tr>
        <w:trPr/>
        <w:tc>
          <w:tcPr>
            <w:tcW w:w="5135" w:type="dxa"/>
            <w:tcBorders/>
            <w:shd w:fill="auto" w:val="clear"/>
            <w:tcMar>
              <w:bottom w:w="0" w:type="dxa"/>
            </w:tcMar>
            <w:vAlign w:val="center"/>
          </w:tcPr>
          <w:p>
            <w:pPr>
              <w:pStyle w:val="TableContents"/>
              <w:spacing w:before="0" w:after="283"/>
              <w:jc w:val="both"/>
              <w:rPr/>
            </w:pPr>
            <w:r>
              <w:rPr/>
              <w:t>PIMCO VIT Short-Term Admin</w:t>
            </w:r>
          </w:p>
        </w:tc>
        <w:tc>
          <w:tcPr>
            <w:tcW w:w="60" w:type="dxa"/>
            <w:tcBorders/>
            <w:shd w:fill="auto" w:val="clear"/>
            <w:tcMar>
              <w:bottom w:w="0" w:type="dxa"/>
            </w:tcMar>
            <w:vAlign w:val="center"/>
          </w:tcPr>
          <w:p>
            <w:pPr>
              <w:pStyle w:val="TableContents"/>
              <w:spacing w:before="0" w:after="283"/>
              <w:jc w:val="right"/>
              <w:rPr/>
            </w:pPr>
            <w:r>
              <w:rPr/>
              <w:t> </w:t>
            </w:r>
          </w:p>
        </w:tc>
        <w:tc>
          <w:tcPr>
            <w:tcW w:w="2555" w:type="dxa"/>
            <w:tcBorders/>
            <w:shd w:fill="auto" w:val="clear"/>
            <w:tcMar>
              <w:bottom w:w="0" w:type="dxa"/>
            </w:tcMar>
            <w:vAlign w:val="center"/>
          </w:tcPr>
          <w:p>
            <w:pPr>
              <w:pStyle w:val="TableContents"/>
              <w:spacing w:before="0" w:after="283"/>
              <w:jc w:val="right"/>
              <w:rPr/>
            </w:pPr>
            <w:r>
              <w:rPr/>
              <w:t>(0.15)</w:t>
            </w:r>
          </w:p>
        </w:tc>
      </w:tr>
      <w:tr>
        <w:trPr/>
        <w:tc>
          <w:tcPr>
            <w:tcW w:w="5135" w:type="dxa"/>
            <w:tcBorders/>
            <w:shd w:fill="EFF6EA" w:val="clear"/>
            <w:tcMar>
              <w:bottom w:w="0" w:type="dxa"/>
            </w:tcMar>
            <w:vAlign w:val="center"/>
          </w:tcPr>
          <w:p>
            <w:pPr>
              <w:pStyle w:val="TableContents"/>
              <w:spacing w:before="0" w:after="283"/>
              <w:jc w:val="both"/>
              <w:rPr/>
            </w:pPr>
            <w:r>
              <w:rPr/>
              <w:t>Vanguard VIF Total Bond Market Index</w:t>
            </w:r>
          </w:p>
        </w:tc>
        <w:tc>
          <w:tcPr>
            <w:tcW w:w="60" w:type="dxa"/>
            <w:tcBorders/>
            <w:shd w:fill="EFF6EA" w:val="clear"/>
            <w:tcMar>
              <w:bottom w:w="0" w:type="dxa"/>
            </w:tcMar>
            <w:vAlign w:val="center"/>
          </w:tcPr>
          <w:p>
            <w:pPr>
              <w:pStyle w:val="TableContents"/>
              <w:spacing w:before="0" w:after="283"/>
              <w:jc w:val="right"/>
              <w:rPr/>
            </w:pPr>
            <w:r>
              <w:rPr/>
              <w:t> </w:t>
            </w:r>
          </w:p>
        </w:tc>
        <w:tc>
          <w:tcPr>
            <w:tcW w:w="2555" w:type="dxa"/>
            <w:tcBorders/>
            <w:shd w:fill="EFF6EA" w:val="clear"/>
            <w:tcMar>
              <w:bottom w:w="0" w:type="dxa"/>
            </w:tcMar>
            <w:vAlign w:val="center"/>
          </w:tcPr>
          <w:p>
            <w:pPr>
              <w:pStyle w:val="TableContents"/>
              <w:spacing w:before="0" w:after="283"/>
              <w:jc w:val="right"/>
              <w:rPr/>
            </w:pPr>
            <w:r>
              <w:rPr/>
              <w:t>(13.21)</w:t>
            </w:r>
          </w:p>
        </w:tc>
      </w:tr>
      <w:tr>
        <w:trPr/>
        <w:tc>
          <w:tcPr>
            <w:tcW w:w="5135" w:type="dxa"/>
            <w:tcBorders/>
            <w:shd w:fill="auto" w:val="clear"/>
            <w:tcMar>
              <w:bottom w:w="0" w:type="dxa"/>
            </w:tcMar>
            <w:vAlign w:val="center"/>
          </w:tcPr>
          <w:p>
            <w:pPr>
              <w:pStyle w:val="TableContents"/>
              <w:spacing w:before="0" w:after="283"/>
              <w:jc w:val="both"/>
              <w:rPr/>
            </w:pPr>
            <w:r>
              <w:rPr/>
              <w:t>Western Asset Core Plus Vit I</w:t>
            </w:r>
          </w:p>
        </w:tc>
        <w:tc>
          <w:tcPr>
            <w:tcW w:w="60" w:type="dxa"/>
            <w:tcBorders/>
            <w:shd w:fill="auto" w:val="clear"/>
            <w:tcMar>
              <w:bottom w:w="0" w:type="dxa"/>
            </w:tcMar>
            <w:vAlign w:val="center"/>
          </w:tcPr>
          <w:p>
            <w:pPr>
              <w:pStyle w:val="TableContents"/>
              <w:spacing w:before="0" w:after="283"/>
              <w:jc w:val="right"/>
              <w:rPr/>
            </w:pPr>
            <w:r>
              <w:rPr/>
              <w:t> </w:t>
            </w:r>
          </w:p>
        </w:tc>
        <w:tc>
          <w:tcPr>
            <w:tcW w:w="2555" w:type="dxa"/>
            <w:tcBorders/>
            <w:shd w:fill="auto" w:val="clear"/>
            <w:tcMar>
              <w:bottom w:w="0" w:type="dxa"/>
            </w:tcMar>
            <w:vAlign w:val="center"/>
          </w:tcPr>
          <w:p>
            <w:pPr>
              <w:pStyle w:val="TableContents"/>
              <w:spacing w:before="0" w:after="283"/>
              <w:jc w:val="right"/>
              <w:rPr/>
            </w:pPr>
            <w:r>
              <w:rPr/>
              <w:t>(17.23)</w:t>
            </w:r>
          </w:p>
        </w:tc>
      </w:tr>
      <w:tr>
        <w:trPr/>
        <w:tc>
          <w:tcPr>
            <w:tcW w:w="5135" w:type="dxa"/>
            <w:tcBorders/>
            <w:shd w:fill="EFF6EA" w:val="clear"/>
            <w:tcMar>
              <w:bottom w:w="0" w:type="dxa"/>
            </w:tcMar>
            <w:vAlign w:val="center"/>
          </w:tcPr>
          <w:p>
            <w:pPr>
              <w:pStyle w:val="TableContents"/>
              <w:spacing w:before="0" w:after="283"/>
              <w:jc w:val="both"/>
              <w:rPr/>
            </w:pPr>
            <w:r>
              <w:rPr/>
              <w:t>DFA VIT Inflation-Protected Secs Instl.</w:t>
            </w:r>
          </w:p>
        </w:tc>
        <w:tc>
          <w:tcPr>
            <w:tcW w:w="60" w:type="dxa"/>
            <w:tcBorders/>
            <w:shd w:fill="EFF6EA" w:val="clear"/>
            <w:tcMar>
              <w:bottom w:w="0" w:type="dxa"/>
            </w:tcMar>
            <w:vAlign w:val="center"/>
          </w:tcPr>
          <w:p>
            <w:pPr>
              <w:pStyle w:val="TableContents"/>
              <w:spacing w:before="0" w:after="283"/>
              <w:jc w:val="right"/>
              <w:rPr/>
            </w:pPr>
            <w:r>
              <w:rPr/>
              <w:t> </w:t>
            </w:r>
          </w:p>
        </w:tc>
        <w:tc>
          <w:tcPr>
            <w:tcW w:w="2555" w:type="dxa"/>
            <w:tcBorders/>
            <w:shd w:fill="EFF6EA" w:val="clear"/>
            <w:tcMar>
              <w:bottom w:w="0" w:type="dxa"/>
            </w:tcMar>
            <w:vAlign w:val="center"/>
          </w:tcPr>
          <w:p>
            <w:pPr>
              <w:pStyle w:val="TableContents"/>
              <w:spacing w:before="0" w:after="283"/>
              <w:jc w:val="right"/>
              <w:rPr/>
            </w:pPr>
            <w:r>
              <w:rPr/>
              <w:t>(12.45)</w:t>
            </w:r>
          </w:p>
        </w:tc>
      </w:tr>
      <w:tr>
        <w:trPr/>
        <w:tc>
          <w:tcPr>
            <w:tcW w:w="5135" w:type="dxa"/>
            <w:tcBorders/>
            <w:shd w:fill="auto" w:val="clear"/>
            <w:tcMar>
              <w:bottom w:w="0" w:type="dxa"/>
            </w:tcMar>
            <w:vAlign w:val="center"/>
          </w:tcPr>
          <w:p>
            <w:pPr>
              <w:pStyle w:val="TableContents"/>
              <w:spacing w:before="0" w:after="283"/>
              <w:jc w:val="both"/>
              <w:rPr/>
            </w:pPr>
            <w:r>
              <w:rPr/>
              <w:t>Empower Multi-Sector Bond Investor (MXLMX)</w:t>
            </w:r>
          </w:p>
        </w:tc>
        <w:tc>
          <w:tcPr>
            <w:tcW w:w="60" w:type="dxa"/>
            <w:tcBorders/>
            <w:shd w:fill="auto" w:val="clear"/>
            <w:tcMar>
              <w:bottom w:w="0" w:type="dxa"/>
            </w:tcMar>
            <w:vAlign w:val="center"/>
          </w:tcPr>
          <w:p>
            <w:pPr>
              <w:pStyle w:val="TableContents"/>
              <w:spacing w:before="0" w:after="283"/>
              <w:jc w:val="right"/>
              <w:rPr/>
            </w:pPr>
            <w:r>
              <w:rPr/>
              <w:t> </w:t>
            </w:r>
          </w:p>
        </w:tc>
        <w:tc>
          <w:tcPr>
            <w:tcW w:w="2555" w:type="dxa"/>
            <w:tcBorders/>
            <w:shd w:fill="auto" w:val="clear"/>
            <w:tcMar>
              <w:bottom w:w="0" w:type="dxa"/>
            </w:tcMar>
            <w:vAlign w:val="center"/>
          </w:tcPr>
          <w:p>
            <w:pPr>
              <w:pStyle w:val="TableContents"/>
              <w:spacing w:before="0" w:after="283"/>
              <w:jc w:val="right"/>
              <w:rPr/>
            </w:pPr>
            <w:r>
              <w:rPr/>
              <w:t>(11.42)</w:t>
            </w:r>
          </w:p>
        </w:tc>
      </w:tr>
      <w:tr>
        <w:trPr/>
        <w:tc>
          <w:tcPr>
            <w:tcW w:w="5135" w:type="dxa"/>
            <w:tcBorders/>
            <w:shd w:fill="EFF6EA" w:val="clear"/>
            <w:tcMar>
              <w:bottom w:w="0" w:type="dxa"/>
            </w:tcMar>
            <w:vAlign w:val="center"/>
          </w:tcPr>
          <w:p>
            <w:pPr>
              <w:pStyle w:val="TableContents"/>
              <w:spacing w:before="0" w:after="283"/>
              <w:jc w:val="both"/>
              <w:rPr/>
            </w:pPr>
            <w:r>
              <w:rPr/>
              <w:t>American Funds IS</w:t>
            </w:r>
            <w:r>
              <w:rPr>
                <w:position w:val="8"/>
                <w:sz w:val="19"/>
              </w:rPr>
              <w:t>®</w:t>
            </w:r>
            <w:r>
              <w:rPr/>
              <w:t xml:space="preserve"> Capital World Bond 2</w:t>
            </w:r>
          </w:p>
        </w:tc>
        <w:tc>
          <w:tcPr>
            <w:tcW w:w="60" w:type="dxa"/>
            <w:tcBorders/>
            <w:shd w:fill="EFF6EA" w:val="clear"/>
            <w:tcMar>
              <w:bottom w:w="0" w:type="dxa"/>
            </w:tcMar>
            <w:vAlign w:val="center"/>
          </w:tcPr>
          <w:p>
            <w:pPr>
              <w:pStyle w:val="TableContents"/>
              <w:spacing w:before="0" w:after="283"/>
              <w:jc w:val="right"/>
              <w:rPr/>
            </w:pPr>
            <w:r>
              <w:rPr/>
              <w:t> </w:t>
            </w:r>
          </w:p>
        </w:tc>
        <w:tc>
          <w:tcPr>
            <w:tcW w:w="2555" w:type="dxa"/>
            <w:tcBorders/>
            <w:shd w:fill="EFF6EA" w:val="clear"/>
            <w:tcMar>
              <w:bottom w:w="0" w:type="dxa"/>
            </w:tcMar>
            <w:vAlign w:val="center"/>
          </w:tcPr>
          <w:p>
            <w:pPr>
              <w:pStyle w:val="TableContents"/>
              <w:spacing w:before="0" w:after="283"/>
              <w:jc w:val="right"/>
              <w:rPr/>
            </w:pPr>
            <w:r>
              <w:rPr/>
              <w:t>(17.69)</w:t>
            </w:r>
          </w:p>
        </w:tc>
      </w:tr>
      <w:tr>
        <w:trPr/>
        <w:tc>
          <w:tcPr>
            <w:tcW w:w="5135" w:type="dxa"/>
            <w:tcBorders/>
            <w:shd w:fill="auto" w:val="clear"/>
            <w:tcMar>
              <w:bottom w:w="0" w:type="dxa"/>
            </w:tcMar>
            <w:vAlign w:val="center"/>
          </w:tcPr>
          <w:p>
            <w:pPr>
              <w:pStyle w:val="TableContents"/>
              <w:spacing w:before="0" w:after="283"/>
              <w:jc w:val="both"/>
              <w:rPr/>
            </w:pPr>
            <w:r>
              <w:rPr/>
              <w:t>Vanguard VIF Equity Income</w:t>
            </w:r>
          </w:p>
        </w:tc>
        <w:tc>
          <w:tcPr>
            <w:tcW w:w="60" w:type="dxa"/>
            <w:tcBorders/>
            <w:shd w:fill="auto" w:val="clear"/>
            <w:tcMar>
              <w:bottom w:w="0" w:type="dxa"/>
            </w:tcMar>
            <w:vAlign w:val="center"/>
          </w:tcPr>
          <w:p>
            <w:pPr>
              <w:pStyle w:val="TableContents"/>
              <w:spacing w:before="0" w:after="283"/>
              <w:jc w:val="right"/>
              <w:rPr/>
            </w:pPr>
            <w:r>
              <w:rPr/>
              <w:t> </w:t>
            </w:r>
          </w:p>
        </w:tc>
        <w:tc>
          <w:tcPr>
            <w:tcW w:w="2555" w:type="dxa"/>
            <w:tcBorders/>
            <w:shd w:fill="auto" w:val="clear"/>
            <w:tcMar>
              <w:bottom w:w="0" w:type="dxa"/>
            </w:tcMar>
            <w:vAlign w:val="center"/>
          </w:tcPr>
          <w:p>
            <w:pPr>
              <w:pStyle w:val="TableContents"/>
              <w:spacing w:before="0" w:after="283"/>
              <w:jc w:val="right"/>
              <w:rPr/>
            </w:pPr>
            <w:r>
              <w:rPr/>
              <w:t>(0.66)</w:t>
            </w:r>
          </w:p>
        </w:tc>
      </w:tr>
      <w:tr>
        <w:trPr/>
        <w:tc>
          <w:tcPr>
            <w:tcW w:w="5135" w:type="dxa"/>
            <w:tcBorders/>
            <w:shd w:fill="EFF6EA" w:val="clear"/>
            <w:tcMar>
              <w:bottom w:w="0" w:type="dxa"/>
            </w:tcMar>
            <w:vAlign w:val="center"/>
          </w:tcPr>
          <w:p>
            <w:pPr>
              <w:pStyle w:val="TableContents"/>
              <w:spacing w:before="0" w:after="283"/>
              <w:jc w:val="both"/>
              <w:rPr/>
            </w:pPr>
            <w:r>
              <w:rPr/>
              <w:t>Fidelity</w:t>
            </w:r>
            <w:r>
              <w:rPr>
                <w:position w:val="8"/>
                <w:sz w:val="19"/>
              </w:rPr>
              <w:t>®</w:t>
            </w:r>
            <w:r>
              <w:rPr/>
              <w:t xml:space="preserve"> VIP Index 500 Initial</w:t>
            </w:r>
          </w:p>
        </w:tc>
        <w:tc>
          <w:tcPr>
            <w:tcW w:w="60" w:type="dxa"/>
            <w:tcBorders/>
            <w:shd w:fill="EFF6EA" w:val="clear"/>
            <w:tcMar>
              <w:bottom w:w="0" w:type="dxa"/>
            </w:tcMar>
            <w:vAlign w:val="center"/>
          </w:tcPr>
          <w:p>
            <w:pPr>
              <w:pStyle w:val="TableContents"/>
              <w:spacing w:before="0" w:after="283"/>
              <w:jc w:val="right"/>
              <w:rPr/>
            </w:pPr>
            <w:r>
              <w:rPr/>
              <w:t> </w:t>
            </w:r>
          </w:p>
        </w:tc>
        <w:tc>
          <w:tcPr>
            <w:tcW w:w="2555" w:type="dxa"/>
            <w:tcBorders/>
            <w:shd w:fill="EFF6EA" w:val="clear"/>
            <w:tcMar>
              <w:bottom w:w="0" w:type="dxa"/>
            </w:tcMar>
            <w:vAlign w:val="center"/>
          </w:tcPr>
          <w:p>
            <w:pPr>
              <w:pStyle w:val="TableContents"/>
              <w:spacing w:before="0" w:after="283"/>
              <w:jc w:val="right"/>
              <w:rPr/>
            </w:pPr>
            <w:r>
              <w:rPr/>
              <w:t>(18.21)</w:t>
            </w:r>
          </w:p>
        </w:tc>
      </w:tr>
      <w:tr>
        <w:trPr/>
        <w:tc>
          <w:tcPr>
            <w:tcW w:w="5135" w:type="dxa"/>
            <w:tcBorders/>
            <w:shd w:fill="auto" w:val="clear"/>
            <w:tcMar>
              <w:bottom w:w="0" w:type="dxa"/>
            </w:tcMar>
            <w:vAlign w:val="center"/>
          </w:tcPr>
          <w:p>
            <w:pPr>
              <w:pStyle w:val="TableContents"/>
              <w:spacing w:before="0" w:after="283"/>
              <w:jc w:val="both"/>
              <w:rPr/>
            </w:pPr>
            <w:r>
              <w:rPr/>
              <w:t>Invesco VI Equally Wtd S&amp;P 500 I</w:t>
            </w:r>
          </w:p>
        </w:tc>
        <w:tc>
          <w:tcPr>
            <w:tcW w:w="60" w:type="dxa"/>
            <w:tcBorders/>
            <w:shd w:fill="auto" w:val="clear"/>
            <w:tcMar>
              <w:bottom w:w="0" w:type="dxa"/>
            </w:tcMar>
            <w:vAlign w:val="center"/>
          </w:tcPr>
          <w:p>
            <w:pPr>
              <w:pStyle w:val="TableContents"/>
              <w:spacing w:before="0" w:after="283"/>
              <w:jc w:val="right"/>
              <w:rPr/>
            </w:pPr>
            <w:r>
              <w:rPr/>
              <w:t> </w:t>
            </w:r>
          </w:p>
        </w:tc>
        <w:tc>
          <w:tcPr>
            <w:tcW w:w="2555" w:type="dxa"/>
            <w:tcBorders/>
            <w:shd w:fill="auto" w:val="clear"/>
            <w:tcMar>
              <w:bottom w:w="0" w:type="dxa"/>
            </w:tcMar>
            <w:vAlign w:val="center"/>
          </w:tcPr>
          <w:p>
            <w:pPr>
              <w:pStyle w:val="TableContents"/>
              <w:spacing w:before="0" w:after="283"/>
              <w:jc w:val="right"/>
              <w:rPr/>
            </w:pPr>
            <w:r>
              <w:rPr/>
              <w:t>(11.81)</w:t>
            </w:r>
          </w:p>
        </w:tc>
      </w:tr>
      <w:tr>
        <w:trPr/>
        <w:tc>
          <w:tcPr>
            <w:tcW w:w="5135" w:type="dxa"/>
            <w:tcBorders/>
            <w:shd w:fill="EFF6EA" w:val="clear"/>
            <w:tcMar>
              <w:bottom w:w="0" w:type="dxa"/>
            </w:tcMar>
            <w:vAlign w:val="center"/>
          </w:tcPr>
          <w:p>
            <w:pPr>
              <w:pStyle w:val="TableContents"/>
              <w:spacing w:before="0" w:after="283"/>
              <w:jc w:val="both"/>
              <w:rPr/>
            </w:pPr>
            <w:r>
              <w:rPr/>
              <w:t>T. Rowe Price Blue Chip Growth Port</w:t>
            </w:r>
          </w:p>
        </w:tc>
        <w:tc>
          <w:tcPr>
            <w:tcW w:w="60" w:type="dxa"/>
            <w:tcBorders/>
            <w:shd w:fill="EFF6EA" w:val="clear"/>
            <w:tcMar>
              <w:bottom w:w="0" w:type="dxa"/>
            </w:tcMar>
            <w:vAlign w:val="center"/>
          </w:tcPr>
          <w:p>
            <w:pPr>
              <w:pStyle w:val="TableContents"/>
              <w:spacing w:before="0" w:after="283"/>
              <w:jc w:val="right"/>
              <w:rPr/>
            </w:pPr>
            <w:r>
              <w:rPr/>
              <w:t> </w:t>
            </w:r>
          </w:p>
        </w:tc>
        <w:tc>
          <w:tcPr>
            <w:tcW w:w="2555" w:type="dxa"/>
            <w:tcBorders/>
            <w:shd w:fill="EFF6EA" w:val="clear"/>
            <w:tcMar>
              <w:bottom w:w="0" w:type="dxa"/>
            </w:tcMar>
            <w:vAlign w:val="center"/>
          </w:tcPr>
          <w:p>
            <w:pPr>
              <w:pStyle w:val="TableContents"/>
              <w:spacing w:before="0" w:after="283"/>
              <w:jc w:val="right"/>
              <w:rPr/>
            </w:pPr>
            <w:r>
              <w:rPr/>
              <w:t>(38.50)</w:t>
            </w:r>
          </w:p>
        </w:tc>
      </w:tr>
      <w:tr>
        <w:trPr/>
        <w:tc>
          <w:tcPr>
            <w:tcW w:w="5135" w:type="dxa"/>
            <w:tcBorders/>
            <w:shd w:fill="auto" w:val="clear"/>
            <w:tcMar>
              <w:bottom w:w="0" w:type="dxa"/>
            </w:tcMar>
            <w:vAlign w:val="center"/>
          </w:tcPr>
          <w:p>
            <w:pPr>
              <w:pStyle w:val="TableContents"/>
              <w:spacing w:before="0" w:after="283"/>
              <w:jc w:val="both"/>
              <w:rPr/>
            </w:pPr>
            <w:r>
              <w:rPr/>
              <w:t>American Century Vp Mid Cap Value I (AVIPX)</w:t>
            </w:r>
          </w:p>
        </w:tc>
        <w:tc>
          <w:tcPr>
            <w:tcW w:w="60" w:type="dxa"/>
            <w:tcBorders/>
            <w:shd w:fill="auto" w:val="clear"/>
            <w:tcMar>
              <w:bottom w:w="0" w:type="dxa"/>
            </w:tcMar>
            <w:vAlign w:val="center"/>
          </w:tcPr>
          <w:p>
            <w:pPr>
              <w:pStyle w:val="TableContents"/>
              <w:spacing w:before="0" w:after="283"/>
              <w:jc w:val="right"/>
              <w:rPr/>
            </w:pPr>
            <w:r>
              <w:rPr/>
              <w:t> </w:t>
            </w:r>
          </w:p>
        </w:tc>
        <w:tc>
          <w:tcPr>
            <w:tcW w:w="2555" w:type="dxa"/>
            <w:tcBorders/>
            <w:shd w:fill="auto" w:val="clear"/>
            <w:tcMar>
              <w:bottom w:w="0" w:type="dxa"/>
            </w:tcMar>
            <w:vAlign w:val="center"/>
          </w:tcPr>
          <w:p>
            <w:pPr>
              <w:pStyle w:val="TableContents"/>
              <w:spacing w:before="0" w:after="283"/>
              <w:jc w:val="right"/>
              <w:rPr/>
            </w:pPr>
            <w:r>
              <w:rPr/>
              <w:t>(1.19)</w:t>
            </w:r>
          </w:p>
        </w:tc>
      </w:tr>
      <w:tr>
        <w:trPr/>
        <w:tc>
          <w:tcPr>
            <w:tcW w:w="5135" w:type="dxa"/>
            <w:tcBorders/>
            <w:shd w:fill="EFF6EA" w:val="clear"/>
            <w:tcMar>
              <w:bottom w:w="0" w:type="dxa"/>
            </w:tcMar>
            <w:vAlign w:val="center"/>
          </w:tcPr>
          <w:p>
            <w:pPr>
              <w:pStyle w:val="TableContents"/>
              <w:spacing w:before="0" w:after="283"/>
              <w:jc w:val="both"/>
              <w:rPr/>
            </w:pPr>
            <w:r>
              <w:rPr/>
              <w:t>Empower S&amp;P Mid Cap 400</w:t>
            </w:r>
            <w:r>
              <w:rPr>
                <w:position w:val="8"/>
                <w:sz w:val="19"/>
              </w:rPr>
              <w:t>®</w:t>
            </w:r>
            <w:r>
              <w:rPr/>
              <w:t xml:space="preserve"> Index Inv (MXMDX)</w:t>
            </w:r>
          </w:p>
        </w:tc>
        <w:tc>
          <w:tcPr>
            <w:tcW w:w="60" w:type="dxa"/>
            <w:tcBorders/>
            <w:shd w:fill="EFF6EA" w:val="clear"/>
            <w:tcMar>
              <w:bottom w:w="0" w:type="dxa"/>
            </w:tcMar>
            <w:vAlign w:val="center"/>
          </w:tcPr>
          <w:p>
            <w:pPr>
              <w:pStyle w:val="TableContents"/>
              <w:spacing w:before="0" w:after="283"/>
              <w:jc w:val="right"/>
              <w:rPr/>
            </w:pPr>
            <w:r>
              <w:rPr/>
              <w:t> </w:t>
            </w:r>
          </w:p>
        </w:tc>
        <w:tc>
          <w:tcPr>
            <w:tcW w:w="2555" w:type="dxa"/>
            <w:tcBorders/>
            <w:shd w:fill="EFF6EA" w:val="clear"/>
            <w:tcMar>
              <w:bottom w:w="0" w:type="dxa"/>
            </w:tcMar>
            <w:vAlign w:val="center"/>
          </w:tcPr>
          <w:p>
            <w:pPr>
              <w:pStyle w:val="TableContents"/>
              <w:spacing w:before="0" w:after="283"/>
              <w:jc w:val="right"/>
              <w:rPr/>
            </w:pPr>
            <w:r>
              <w:rPr/>
              <w:t>(13.55)</w:t>
            </w:r>
          </w:p>
        </w:tc>
      </w:tr>
      <w:tr>
        <w:trPr/>
        <w:tc>
          <w:tcPr>
            <w:tcW w:w="5135" w:type="dxa"/>
            <w:tcBorders/>
            <w:shd w:fill="auto" w:val="clear"/>
            <w:tcMar>
              <w:bottom w:w="0" w:type="dxa"/>
            </w:tcMar>
            <w:vAlign w:val="center"/>
          </w:tcPr>
          <w:p>
            <w:pPr>
              <w:pStyle w:val="TableContents"/>
              <w:spacing w:before="0" w:after="283"/>
              <w:jc w:val="both"/>
              <w:rPr/>
            </w:pPr>
            <w:r>
              <w:rPr/>
              <w:t>MFS</w:t>
            </w:r>
            <w:r>
              <w:rPr>
                <w:position w:val="8"/>
                <w:sz w:val="19"/>
              </w:rPr>
              <w:t>®</w:t>
            </w:r>
            <w:r>
              <w:rPr/>
              <w:t xml:space="preserve"> VIT Mid Cap Growth Init</w:t>
            </w:r>
          </w:p>
        </w:tc>
        <w:tc>
          <w:tcPr>
            <w:tcW w:w="60" w:type="dxa"/>
            <w:tcBorders/>
            <w:shd w:fill="auto" w:val="clear"/>
            <w:tcMar>
              <w:bottom w:w="0" w:type="dxa"/>
            </w:tcMar>
            <w:vAlign w:val="center"/>
          </w:tcPr>
          <w:p>
            <w:pPr>
              <w:pStyle w:val="TableContents"/>
              <w:spacing w:before="0" w:after="283"/>
              <w:jc w:val="right"/>
              <w:rPr/>
            </w:pPr>
            <w:r>
              <w:rPr/>
              <w:t> </w:t>
            </w:r>
          </w:p>
        </w:tc>
        <w:tc>
          <w:tcPr>
            <w:tcW w:w="2555" w:type="dxa"/>
            <w:tcBorders/>
            <w:shd w:fill="auto" w:val="clear"/>
            <w:tcMar>
              <w:bottom w:w="0" w:type="dxa"/>
            </w:tcMar>
            <w:vAlign w:val="center"/>
          </w:tcPr>
          <w:p>
            <w:pPr>
              <w:pStyle w:val="TableContents"/>
              <w:spacing w:before="0" w:after="283"/>
              <w:jc w:val="right"/>
              <w:rPr/>
            </w:pPr>
            <w:r>
              <w:rPr/>
              <w:t>(28.70)</w:t>
            </w:r>
          </w:p>
        </w:tc>
      </w:tr>
      <w:tr>
        <w:trPr/>
        <w:tc>
          <w:tcPr>
            <w:tcW w:w="5135" w:type="dxa"/>
            <w:tcBorders/>
            <w:shd w:fill="EFF6EA" w:val="clear"/>
            <w:tcMar>
              <w:bottom w:w="0" w:type="dxa"/>
            </w:tcMar>
            <w:vAlign w:val="center"/>
          </w:tcPr>
          <w:p>
            <w:pPr>
              <w:pStyle w:val="TableContents"/>
              <w:spacing w:before="0" w:after="283"/>
              <w:jc w:val="both"/>
              <w:rPr/>
            </w:pPr>
            <w:r>
              <w:rPr/>
              <w:t>DFA VA US Targeted Value</w:t>
            </w:r>
          </w:p>
        </w:tc>
        <w:tc>
          <w:tcPr>
            <w:tcW w:w="60" w:type="dxa"/>
            <w:tcBorders/>
            <w:shd w:fill="EFF6EA" w:val="clear"/>
            <w:tcMar>
              <w:bottom w:w="0" w:type="dxa"/>
            </w:tcMar>
            <w:vAlign w:val="center"/>
          </w:tcPr>
          <w:p>
            <w:pPr>
              <w:pStyle w:val="TableContents"/>
              <w:spacing w:before="0" w:after="283"/>
              <w:jc w:val="right"/>
              <w:rPr/>
            </w:pPr>
            <w:r>
              <w:rPr/>
              <w:t> </w:t>
            </w:r>
          </w:p>
        </w:tc>
        <w:tc>
          <w:tcPr>
            <w:tcW w:w="2555" w:type="dxa"/>
            <w:tcBorders/>
            <w:shd w:fill="EFF6EA" w:val="clear"/>
            <w:tcMar>
              <w:bottom w:w="0" w:type="dxa"/>
            </w:tcMar>
            <w:vAlign w:val="center"/>
          </w:tcPr>
          <w:p>
            <w:pPr>
              <w:pStyle w:val="TableContents"/>
              <w:spacing w:before="0" w:after="283"/>
              <w:jc w:val="right"/>
              <w:rPr/>
            </w:pPr>
            <w:r>
              <w:rPr/>
              <w:t>(4.21)</w:t>
            </w:r>
          </w:p>
        </w:tc>
      </w:tr>
      <w:tr>
        <w:trPr/>
        <w:tc>
          <w:tcPr>
            <w:tcW w:w="5135" w:type="dxa"/>
            <w:tcBorders/>
            <w:shd w:fill="auto" w:val="clear"/>
            <w:tcMar>
              <w:bottom w:w="0" w:type="dxa"/>
            </w:tcMar>
            <w:vAlign w:val="center"/>
          </w:tcPr>
          <w:p>
            <w:pPr>
              <w:pStyle w:val="TableContents"/>
              <w:spacing w:before="0" w:after="283"/>
              <w:jc w:val="both"/>
              <w:rPr/>
            </w:pPr>
            <w:r>
              <w:rPr/>
              <w:t>Empower S&amp;P Smallcap 600</w:t>
            </w:r>
            <w:r>
              <w:rPr>
                <w:position w:val="8"/>
                <w:sz w:val="19"/>
              </w:rPr>
              <w:t>®</w:t>
            </w:r>
            <w:r>
              <w:rPr/>
              <w:t xml:space="preserve"> Index Inv (MXISX)</w:t>
            </w:r>
          </w:p>
        </w:tc>
        <w:tc>
          <w:tcPr>
            <w:tcW w:w="60" w:type="dxa"/>
            <w:tcBorders/>
            <w:shd w:fill="auto" w:val="clear"/>
            <w:tcMar>
              <w:bottom w:w="0" w:type="dxa"/>
            </w:tcMar>
            <w:vAlign w:val="center"/>
          </w:tcPr>
          <w:p>
            <w:pPr>
              <w:pStyle w:val="TableContents"/>
              <w:spacing w:before="0" w:after="283"/>
              <w:jc w:val="right"/>
              <w:rPr/>
            </w:pPr>
            <w:r>
              <w:rPr/>
              <w:t> </w:t>
            </w:r>
          </w:p>
        </w:tc>
        <w:tc>
          <w:tcPr>
            <w:tcW w:w="2555" w:type="dxa"/>
            <w:tcBorders/>
            <w:shd w:fill="auto" w:val="clear"/>
            <w:tcMar>
              <w:bottom w:w="0" w:type="dxa"/>
            </w:tcMar>
            <w:vAlign w:val="center"/>
          </w:tcPr>
          <w:p>
            <w:pPr>
              <w:pStyle w:val="TableContents"/>
              <w:spacing w:before="0" w:after="283"/>
              <w:jc w:val="right"/>
              <w:rPr/>
            </w:pPr>
            <w:r>
              <w:rPr/>
              <w:t>(16.51)</w:t>
            </w:r>
          </w:p>
        </w:tc>
      </w:tr>
      <w:tr>
        <w:trPr/>
        <w:tc>
          <w:tcPr>
            <w:tcW w:w="5135" w:type="dxa"/>
            <w:tcBorders/>
            <w:shd w:fill="EFF6EA" w:val="clear"/>
            <w:tcMar>
              <w:bottom w:w="0" w:type="dxa"/>
            </w:tcMar>
            <w:vAlign w:val="center"/>
          </w:tcPr>
          <w:p>
            <w:pPr>
              <w:pStyle w:val="TableContents"/>
              <w:spacing w:before="0" w:after="283"/>
              <w:jc w:val="both"/>
              <w:rPr/>
            </w:pPr>
            <w:r>
              <w:rPr/>
              <w:t>Clearbridge Variable Small Cap Growth I (QLMSIX)</w:t>
            </w:r>
          </w:p>
        </w:tc>
        <w:tc>
          <w:tcPr>
            <w:tcW w:w="60" w:type="dxa"/>
            <w:tcBorders/>
            <w:shd w:fill="EFF6EA" w:val="clear"/>
            <w:tcMar>
              <w:bottom w:w="0" w:type="dxa"/>
            </w:tcMar>
            <w:vAlign w:val="center"/>
          </w:tcPr>
          <w:p>
            <w:pPr>
              <w:pStyle w:val="TableContents"/>
              <w:spacing w:before="0" w:after="283"/>
              <w:jc w:val="right"/>
              <w:rPr/>
            </w:pPr>
            <w:r>
              <w:rPr/>
              <w:t> </w:t>
            </w:r>
          </w:p>
        </w:tc>
        <w:tc>
          <w:tcPr>
            <w:tcW w:w="2555" w:type="dxa"/>
            <w:tcBorders/>
            <w:shd w:fill="EFF6EA" w:val="clear"/>
            <w:tcMar>
              <w:bottom w:w="0" w:type="dxa"/>
            </w:tcMar>
            <w:vAlign w:val="center"/>
          </w:tcPr>
          <w:p>
            <w:pPr>
              <w:pStyle w:val="TableContents"/>
              <w:spacing w:before="0" w:after="283"/>
              <w:jc w:val="right"/>
              <w:rPr/>
            </w:pPr>
            <w:r>
              <w:rPr/>
              <w:t>(28.85)</w:t>
            </w:r>
          </w:p>
        </w:tc>
      </w:tr>
      <w:tr>
        <w:trPr/>
        <w:tc>
          <w:tcPr>
            <w:tcW w:w="5135" w:type="dxa"/>
            <w:tcBorders/>
            <w:shd w:fill="auto" w:val="clear"/>
            <w:tcMar>
              <w:bottom w:w="0" w:type="dxa"/>
            </w:tcMar>
            <w:vAlign w:val="center"/>
          </w:tcPr>
          <w:p>
            <w:pPr>
              <w:pStyle w:val="TableContents"/>
              <w:spacing w:before="0" w:after="283"/>
              <w:jc w:val="both"/>
              <w:rPr/>
            </w:pPr>
            <w:r>
              <w:rPr/>
              <w:t>Vanguard VIF Total Intl Stock Market Index</w:t>
            </w:r>
          </w:p>
        </w:tc>
        <w:tc>
          <w:tcPr>
            <w:tcW w:w="60" w:type="dxa"/>
            <w:tcBorders/>
            <w:shd w:fill="auto" w:val="clear"/>
            <w:tcMar>
              <w:bottom w:w="0" w:type="dxa"/>
            </w:tcMar>
            <w:vAlign w:val="center"/>
          </w:tcPr>
          <w:p>
            <w:pPr>
              <w:pStyle w:val="TableContents"/>
              <w:spacing w:before="0" w:after="283"/>
              <w:jc w:val="right"/>
              <w:rPr/>
            </w:pPr>
            <w:r>
              <w:rPr/>
              <w:t> </w:t>
            </w:r>
          </w:p>
        </w:tc>
        <w:tc>
          <w:tcPr>
            <w:tcW w:w="2555" w:type="dxa"/>
            <w:tcBorders/>
            <w:shd w:fill="auto" w:val="clear"/>
            <w:tcMar>
              <w:bottom w:w="0" w:type="dxa"/>
            </w:tcMar>
            <w:vAlign w:val="center"/>
          </w:tcPr>
          <w:p>
            <w:pPr>
              <w:pStyle w:val="TableContents"/>
              <w:spacing w:before="0" w:after="283"/>
              <w:jc w:val="right"/>
              <w:rPr/>
            </w:pPr>
            <w:r>
              <w:rPr/>
              <w:t>(16.01)</w:t>
            </w:r>
          </w:p>
        </w:tc>
      </w:tr>
      <w:tr>
        <w:trPr/>
        <w:tc>
          <w:tcPr>
            <w:tcW w:w="5135" w:type="dxa"/>
            <w:tcBorders/>
            <w:shd w:fill="EFF6EA" w:val="clear"/>
            <w:tcMar>
              <w:bottom w:w="0" w:type="dxa"/>
            </w:tcMar>
            <w:vAlign w:val="center"/>
          </w:tcPr>
          <w:p>
            <w:pPr>
              <w:pStyle w:val="TableContents"/>
              <w:spacing w:before="0" w:after="283"/>
              <w:jc w:val="both"/>
              <w:rPr/>
            </w:pPr>
            <w:r>
              <w:rPr/>
              <w:t>Vanguard VIF International</w:t>
            </w:r>
          </w:p>
        </w:tc>
        <w:tc>
          <w:tcPr>
            <w:tcW w:w="60" w:type="dxa"/>
            <w:tcBorders/>
            <w:shd w:fill="EFF6EA" w:val="clear"/>
            <w:tcMar>
              <w:bottom w:w="0" w:type="dxa"/>
            </w:tcMar>
            <w:vAlign w:val="center"/>
          </w:tcPr>
          <w:p>
            <w:pPr>
              <w:pStyle w:val="TableContents"/>
              <w:spacing w:before="0" w:after="283"/>
              <w:jc w:val="right"/>
              <w:rPr/>
            </w:pPr>
            <w:r>
              <w:rPr/>
              <w:t> </w:t>
            </w:r>
          </w:p>
        </w:tc>
        <w:tc>
          <w:tcPr>
            <w:tcW w:w="2555" w:type="dxa"/>
            <w:tcBorders/>
            <w:shd w:fill="EFF6EA" w:val="clear"/>
            <w:tcMar>
              <w:bottom w:w="0" w:type="dxa"/>
            </w:tcMar>
            <w:vAlign w:val="center"/>
          </w:tcPr>
          <w:p>
            <w:pPr>
              <w:pStyle w:val="TableContents"/>
              <w:spacing w:before="0" w:after="283"/>
              <w:jc w:val="right"/>
              <w:rPr/>
            </w:pPr>
            <w:r>
              <w:rPr/>
              <w:t>(30.12)</w:t>
            </w:r>
          </w:p>
        </w:tc>
      </w:tr>
      <w:tr>
        <w:trPr/>
        <w:tc>
          <w:tcPr>
            <w:tcW w:w="5135" w:type="dxa"/>
            <w:tcBorders/>
            <w:shd w:fill="auto" w:val="clear"/>
            <w:tcMar>
              <w:bottom w:w="0" w:type="dxa"/>
            </w:tcMar>
            <w:vAlign w:val="center"/>
          </w:tcPr>
          <w:p>
            <w:pPr>
              <w:pStyle w:val="TableContents"/>
              <w:spacing w:before="0" w:after="283"/>
              <w:jc w:val="both"/>
              <w:rPr/>
            </w:pPr>
            <w:r>
              <w:rPr/>
              <w:t>American Funds IS</w:t>
            </w:r>
            <w:r>
              <w:rPr>
                <w:position w:val="8"/>
                <w:sz w:val="19"/>
              </w:rPr>
              <w:t>®</w:t>
            </w:r>
            <w:r>
              <w:rPr/>
              <w:t xml:space="preserve"> New World 2</w:t>
            </w:r>
          </w:p>
        </w:tc>
        <w:tc>
          <w:tcPr>
            <w:tcW w:w="60" w:type="dxa"/>
            <w:tcBorders/>
            <w:shd w:fill="auto" w:val="clear"/>
            <w:tcMar>
              <w:bottom w:w="0" w:type="dxa"/>
            </w:tcMar>
            <w:vAlign w:val="center"/>
          </w:tcPr>
          <w:p>
            <w:pPr>
              <w:pStyle w:val="TableContents"/>
              <w:spacing w:before="0" w:after="283"/>
              <w:jc w:val="right"/>
              <w:rPr/>
            </w:pPr>
            <w:r>
              <w:rPr/>
              <w:t> </w:t>
            </w:r>
          </w:p>
        </w:tc>
        <w:tc>
          <w:tcPr>
            <w:tcW w:w="2555" w:type="dxa"/>
            <w:tcBorders/>
            <w:shd w:fill="auto" w:val="clear"/>
            <w:tcMar>
              <w:bottom w:w="0" w:type="dxa"/>
            </w:tcMar>
            <w:vAlign w:val="center"/>
          </w:tcPr>
          <w:p>
            <w:pPr>
              <w:pStyle w:val="TableContents"/>
              <w:spacing w:before="0" w:after="283"/>
              <w:jc w:val="right"/>
              <w:rPr/>
            </w:pPr>
            <w:r>
              <w:rPr/>
              <w:t>(22.10)</w:t>
            </w:r>
          </w:p>
        </w:tc>
      </w:tr>
      <w:tr>
        <w:trPr/>
        <w:tc>
          <w:tcPr>
            <w:tcW w:w="5135" w:type="dxa"/>
            <w:tcBorders>
              <w:bottom w:val="single" w:sz="12" w:space="0" w:color="7CBC3E"/>
            </w:tcBorders>
            <w:shd w:fill="EFF6EA" w:val="clear"/>
            <w:vAlign w:val="center"/>
          </w:tcPr>
          <w:p>
            <w:pPr>
              <w:pStyle w:val="TableContents"/>
              <w:spacing w:before="0" w:after="283"/>
              <w:jc w:val="both"/>
              <w:rPr/>
            </w:pPr>
            <w:r>
              <w:rPr/>
              <w:t>MFS</w:t>
            </w:r>
            <w:r>
              <w:rPr>
                <w:position w:val="8"/>
                <w:sz w:val="19"/>
              </w:rPr>
              <w:t xml:space="preserve">® </w:t>
            </w:r>
            <w:r>
              <w:rPr/>
              <w:t>VIT III Global Real Estate Initial</w:t>
            </w:r>
          </w:p>
        </w:tc>
        <w:tc>
          <w:tcPr>
            <w:tcW w:w="60" w:type="dxa"/>
            <w:tcBorders>
              <w:bottom w:val="single" w:sz="12" w:space="0" w:color="7CBC3E"/>
            </w:tcBorders>
            <w:shd w:fill="EFF6EA" w:val="clear"/>
            <w:vAlign w:val="center"/>
          </w:tcPr>
          <w:p>
            <w:pPr>
              <w:pStyle w:val="TableContents"/>
              <w:spacing w:before="0" w:after="283"/>
              <w:jc w:val="right"/>
              <w:rPr/>
            </w:pPr>
            <w:r>
              <w:rPr/>
              <w:t> </w:t>
            </w:r>
          </w:p>
        </w:tc>
        <w:tc>
          <w:tcPr>
            <w:tcW w:w="2555" w:type="dxa"/>
            <w:tcBorders>
              <w:bottom w:val="single" w:sz="12" w:space="0" w:color="7CBC3E"/>
            </w:tcBorders>
            <w:shd w:fill="EFF6EA" w:val="clear"/>
            <w:vAlign w:val="center"/>
          </w:tcPr>
          <w:p>
            <w:pPr>
              <w:pStyle w:val="TableContents"/>
              <w:spacing w:before="0" w:after="283"/>
              <w:jc w:val="right"/>
              <w:rPr/>
            </w:pPr>
            <w:r>
              <w:rPr/>
              <w:t>(26.94)</w:t>
            </w:r>
          </w:p>
        </w:tc>
      </w:tr>
    </w:tbl>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fiscal year 2022, other than Ms. Dier, none of our named executive officers participated in the Deferred Compensation Plan. Ms. Dier elected to defer a portion of her cash bonus for fiscal year 2021 performance, which was paid in March 2022.</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3238"/>
        <w:gridCol w:w="60"/>
        <w:gridCol w:w="1445"/>
        <w:gridCol w:w="60"/>
        <w:gridCol w:w="1445"/>
        <w:gridCol w:w="60"/>
        <w:gridCol w:w="1081"/>
        <w:gridCol w:w="60"/>
        <w:gridCol w:w="1400"/>
        <w:gridCol w:w="60"/>
        <w:gridCol w:w="1296"/>
      </w:tblGrid>
      <w:tr>
        <w:trPr/>
        <w:tc>
          <w:tcPr>
            <w:tcW w:w="3238" w:type="dxa"/>
            <w:tcBorders>
              <w:bottom w:val="single" w:sz="12" w:space="0" w:color="7CBC3E"/>
            </w:tcBorders>
            <w:shd w:fill="auto" w:val="clear"/>
            <w:vAlign w:val="center"/>
          </w:tcPr>
          <w:p>
            <w:pPr>
              <w:pStyle w:val="TableContents"/>
              <w:spacing w:before="0" w:after="283"/>
              <w:rPr>
                <w:b/>
              </w:rPr>
            </w:pPr>
            <w:r>
              <w:rPr>
                <w:b/>
              </w:rPr>
              <w:t>Name</w:t>
            </w:r>
          </w:p>
        </w:tc>
        <w:tc>
          <w:tcPr>
            <w:tcW w:w="60" w:type="dxa"/>
            <w:tcBorders>
              <w:bottom w:val="single" w:sz="12" w:space="0" w:color="7CBC3E"/>
            </w:tcBorders>
            <w:shd w:fill="auto" w:val="clear"/>
            <w:vAlign w:val="center"/>
          </w:tcPr>
          <w:p>
            <w:pPr>
              <w:pStyle w:val="TableContents"/>
              <w:spacing w:before="0" w:after="283"/>
              <w:jc w:val="right"/>
              <w:rPr/>
            </w:pPr>
            <w:r>
              <w:rPr/>
              <w:t> </w:t>
            </w:r>
          </w:p>
        </w:tc>
        <w:tc>
          <w:tcPr>
            <w:tcW w:w="1445" w:type="dxa"/>
            <w:tcBorders>
              <w:bottom w:val="single" w:sz="12" w:space="0" w:color="7CBC3E"/>
            </w:tcBorders>
            <w:shd w:fill="auto" w:val="clear"/>
            <w:vAlign w:val="center"/>
          </w:tcPr>
          <w:p>
            <w:pPr>
              <w:pStyle w:val="TableContents"/>
              <w:spacing w:before="0" w:after="283"/>
              <w:jc w:val="right"/>
              <w:rPr>
                <w:b/>
              </w:rPr>
            </w:pPr>
            <w:r>
              <w:rPr>
                <w:b/>
              </w:rPr>
              <w:t>Executive</w:t>
              <w:br/>
              <w:t>Contributions</w:t>
              <w:br/>
              <w:t>in Last FY</w:t>
              <w:br/>
              <w:t>($)</w:t>
            </w:r>
            <w:r>
              <w:rPr>
                <w:b/>
                <w:position w:val="8"/>
                <w:sz w:val="19"/>
              </w:rPr>
              <w:t>(1)</w:t>
            </w:r>
          </w:p>
        </w:tc>
        <w:tc>
          <w:tcPr>
            <w:tcW w:w="60" w:type="dxa"/>
            <w:tcBorders>
              <w:bottom w:val="single" w:sz="12" w:space="0" w:color="7CBC3E"/>
            </w:tcBorders>
            <w:shd w:fill="auto" w:val="clear"/>
            <w:vAlign w:val="center"/>
          </w:tcPr>
          <w:p>
            <w:pPr>
              <w:pStyle w:val="TableContents"/>
              <w:spacing w:before="0" w:after="283"/>
              <w:jc w:val="right"/>
              <w:rPr/>
            </w:pPr>
            <w:r>
              <w:rPr/>
              <w:t> </w:t>
            </w:r>
          </w:p>
        </w:tc>
        <w:tc>
          <w:tcPr>
            <w:tcW w:w="1445" w:type="dxa"/>
            <w:tcBorders>
              <w:bottom w:val="single" w:sz="12" w:space="0" w:color="7CBC3E"/>
            </w:tcBorders>
            <w:shd w:fill="auto" w:val="clear"/>
            <w:vAlign w:val="center"/>
          </w:tcPr>
          <w:p>
            <w:pPr>
              <w:pStyle w:val="TableContents"/>
              <w:spacing w:before="0" w:after="283"/>
              <w:jc w:val="right"/>
              <w:rPr>
                <w:b/>
              </w:rPr>
            </w:pPr>
            <w:r>
              <w:rPr>
                <w:b/>
              </w:rPr>
              <w:t>Company</w:t>
              <w:br/>
              <w:t>Contributions</w:t>
              <w:br/>
              <w:t>in Last FY</w:t>
              <w:br/>
              <w:t>($)</w:t>
            </w:r>
          </w:p>
        </w:tc>
        <w:tc>
          <w:tcPr>
            <w:tcW w:w="60" w:type="dxa"/>
            <w:tcBorders>
              <w:bottom w:val="single" w:sz="12" w:space="0" w:color="7CBC3E"/>
            </w:tcBorders>
            <w:shd w:fill="auto" w:val="clear"/>
            <w:vAlign w:val="center"/>
          </w:tcPr>
          <w:p>
            <w:pPr>
              <w:pStyle w:val="TableContents"/>
              <w:spacing w:before="0" w:after="283"/>
              <w:jc w:val="right"/>
              <w:rPr/>
            </w:pPr>
            <w:r>
              <w:rPr/>
              <w:t> </w:t>
            </w:r>
          </w:p>
        </w:tc>
        <w:tc>
          <w:tcPr>
            <w:tcW w:w="1081" w:type="dxa"/>
            <w:tcBorders>
              <w:bottom w:val="single" w:sz="12" w:space="0" w:color="7CBC3E"/>
            </w:tcBorders>
            <w:shd w:fill="auto" w:val="clear"/>
            <w:vAlign w:val="center"/>
          </w:tcPr>
          <w:p>
            <w:pPr>
              <w:pStyle w:val="TableContents"/>
              <w:spacing w:before="0" w:after="283"/>
              <w:jc w:val="right"/>
              <w:rPr>
                <w:b/>
              </w:rPr>
            </w:pPr>
            <w:r>
              <w:rPr>
                <w:b/>
              </w:rPr>
              <w:t>Aggregate</w:t>
              <w:br/>
              <w:t>Earnings</w:t>
              <w:br/>
              <w:t>in Last FY</w:t>
              <w:br/>
              <w:t>($)</w:t>
            </w:r>
          </w:p>
        </w:tc>
        <w:tc>
          <w:tcPr>
            <w:tcW w:w="60" w:type="dxa"/>
            <w:tcBorders>
              <w:bottom w:val="single" w:sz="12" w:space="0" w:color="7CBC3E"/>
            </w:tcBorders>
            <w:shd w:fill="auto" w:val="clear"/>
            <w:vAlign w:val="center"/>
          </w:tcPr>
          <w:p>
            <w:pPr>
              <w:pStyle w:val="TableContents"/>
              <w:spacing w:before="0" w:after="283"/>
              <w:jc w:val="right"/>
              <w:rPr/>
            </w:pPr>
            <w:r>
              <w:rPr/>
              <w:t> </w:t>
            </w:r>
          </w:p>
        </w:tc>
        <w:tc>
          <w:tcPr>
            <w:tcW w:w="1400" w:type="dxa"/>
            <w:tcBorders>
              <w:bottom w:val="single" w:sz="12" w:space="0" w:color="7CBC3E"/>
            </w:tcBorders>
            <w:shd w:fill="auto" w:val="clear"/>
            <w:vAlign w:val="center"/>
          </w:tcPr>
          <w:p>
            <w:pPr>
              <w:pStyle w:val="TableContents"/>
              <w:spacing w:before="0" w:after="283"/>
              <w:jc w:val="right"/>
              <w:rPr>
                <w:b/>
              </w:rPr>
            </w:pPr>
            <w:r>
              <w:rPr>
                <w:b/>
              </w:rPr>
              <w:t>Aggregate</w:t>
              <w:br/>
              <w:t>Withdrawals/</w:t>
              <w:br/>
              <w:t>Distributions</w:t>
              <w:br/>
              <w:t>($)</w:t>
            </w:r>
          </w:p>
        </w:tc>
        <w:tc>
          <w:tcPr>
            <w:tcW w:w="60" w:type="dxa"/>
            <w:tcBorders>
              <w:bottom w:val="single" w:sz="12" w:space="0" w:color="7CBC3E"/>
            </w:tcBorders>
            <w:shd w:fill="auto" w:val="clear"/>
            <w:vAlign w:val="center"/>
          </w:tcPr>
          <w:p>
            <w:pPr>
              <w:pStyle w:val="TableContents"/>
              <w:spacing w:before="0" w:after="283"/>
              <w:jc w:val="right"/>
              <w:rPr/>
            </w:pPr>
            <w:r>
              <w:rPr/>
              <w:t> </w:t>
            </w:r>
          </w:p>
        </w:tc>
        <w:tc>
          <w:tcPr>
            <w:tcW w:w="1296" w:type="dxa"/>
            <w:tcBorders>
              <w:bottom w:val="single" w:sz="12" w:space="0" w:color="7CBC3E"/>
            </w:tcBorders>
            <w:shd w:fill="auto" w:val="clear"/>
            <w:vAlign w:val="center"/>
          </w:tcPr>
          <w:p>
            <w:pPr>
              <w:pStyle w:val="TableContents"/>
              <w:spacing w:before="0" w:after="283"/>
              <w:jc w:val="right"/>
              <w:rPr>
                <w:b/>
              </w:rPr>
            </w:pPr>
            <w:r>
              <w:rPr>
                <w:b/>
              </w:rPr>
              <w:t>Aggregate</w:t>
              <w:br/>
              <w:t>Balance</w:t>
              <w:br/>
              <w:t>at Last FYE</w:t>
              <w:br/>
              <w:t>($)</w:t>
            </w:r>
            <w:r>
              <w:rPr>
                <w:b/>
                <w:position w:val="8"/>
                <w:sz w:val="19"/>
              </w:rPr>
              <w:t>(2)</w:t>
            </w:r>
          </w:p>
        </w:tc>
      </w:tr>
      <w:tr>
        <w:trPr/>
        <w:tc>
          <w:tcPr>
            <w:tcW w:w="3238" w:type="dxa"/>
            <w:tcBorders/>
            <w:shd w:fill="auto" w:val="clear"/>
            <w:tcMar>
              <w:bottom w:w="0" w:type="dxa"/>
            </w:tcMar>
            <w:vAlign w:val="center"/>
          </w:tcPr>
          <w:p>
            <w:pPr>
              <w:pStyle w:val="TableContents"/>
              <w:spacing w:before="0" w:after="283"/>
              <w:rPr/>
            </w:pPr>
            <w:r>
              <w:rPr/>
              <w:t>Emil D. Kakkis, M.D., Ph.D., President and Chief Executive Officer</w:t>
            </w:r>
          </w:p>
        </w:tc>
        <w:tc>
          <w:tcPr>
            <w:tcW w:w="60" w:type="dxa"/>
            <w:tcBorders/>
            <w:shd w:fill="auto" w:val="clear"/>
            <w:tcMar>
              <w:bottom w:w="0" w:type="dxa"/>
            </w:tcMar>
            <w:vAlign w:val="center"/>
          </w:tcPr>
          <w:p>
            <w:pPr>
              <w:pStyle w:val="TableContents"/>
              <w:spacing w:before="0" w:after="283"/>
              <w:jc w:val="right"/>
              <w:rPr/>
            </w:pPr>
            <w:r>
              <w:rPr/>
              <w:t> </w:t>
            </w:r>
          </w:p>
        </w:tc>
        <w:tc>
          <w:tcPr>
            <w:tcW w:w="1445" w:type="dxa"/>
            <w:tcBorders/>
            <w:shd w:fill="auto" w:val="clear"/>
            <w:tcMar>
              <w:bottom w:w="0" w:type="dxa"/>
            </w:tcMar>
            <w:vAlign w:val="center"/>
          </w:tcPr>
          <w:p>
            <w:pPr>
              <w:pStyle w:val="TableContents"/>
              <w:spacing w:before="0" w:after="283"/>
              <w:jc w:val="right"/>
              <w:rPr/>
            </w:pPr>
            <w:r>
              <w:rPr/>
              <w:t>—</w:t>
            </w:r>
          </w:p>
        </w:tc>
        <w:tc>
          <w:tcPr>
            <w:tcW w:w="60" w:type="dxa"/>
            <w:tcBorders/>
            <w:shd w:fill="auto" w:val="clear"/>
            <w:tcMar>
              <w:bottom w:w="0" w:type="dxa"/>
            </w:tcMar>
            <w:vAlign w:val="center"/>
          </w:tcPr>
          <w:p>
            <w:pPr>
              <w:pStyle w:val="TableContents"/>
              <w:spacing w:before="0" w:after="283"/>
              <w:jc w:val="right"/>
              <w:rPr/>
            </w:pPr>
            <w:r>
              <w:rPr/>
              <w:t> </w:t>
            </w:r>
          </w:p>
        </w:tc>
        <w:tc>
          <w:tcPr>
            <w:tcW w:w="1445" w:type="dxa"/>
            <w:tcBorders/>
            <w:shd w:fill="auto" w:val="clear"/>
            <w:tcMar>
              <w:bottom w:w="0" w:type="dxa"/>
            </w:tcMar>
            <w:vAlign w:val="center"/>
          </w:tcPr>
          <w:p>
            <w:pPr>
              <w:pStyle w:val="TableContents"/>
              <w:spacing w:before="0" w:after="283"/>
              <w:jc w:val="right"/>
              <w:rPr/>
            </w:pPr>
            <w:r>
              <w:rPr/>
              <w:t>—</w:t>
            </w:r>
          </w:p>
        </w:tc>
        <w:tc>
          <w:tcPr>
            <w:tcW w:w="60" w:type="dxa"/>
            <w:tcBorders/>
            <w:shd w:fill="auto" w:val="clear"/>
            <w:tcMar>
              <w:bottom w:w="0" w:type="dxa"/>
            </w:tcMar>
            <w:vAlign w:val="center"/>
          </w:tcPr>
          <w:p>
            <w:pPr>
              <w:pStyle w:val="TableContents"/>
              <w:spacing w:before="0" w:after="283"/>
              <w:jc w:val="right"/>
              <w:rPr/>
            </w:pPr>
            <w:r>
              <w:rPr/>
              <w:t> </w:t>
            </w:r>
          </w:p>
        </w:tc>
        <w:tc>
          <w:tcPr>
            <w:tcW w:w="1081" w:type="dxa"/>
            <w:tcBorders/>
            <w:shd w:fill="auto" w:val="clear"/>
            <w:tcMar>
              <w:bottom w:w="0" w:type="dxa"/>
            </w:tcMar>
            <w:vAlign w:val="center"/>
          </w:tcPr>
          <w:p>
            <w:pPr>
              <w:pStyle w:val="TableContents"/>
              <w:spacing w:before="0" w:after="283"/>
              <w:jc w:val="right"/>
              <w:rPr/>
            </w:pPr>
            <w:r>
              <w:rPr/>
              <w:t>—</w:t>
            </w:r>
          </w:p>
        </w:tc>
        <w:tc>
          <w:tcPr>
            <w:tcW w:w="60" w:type="dxa"/>
            <w:tcBorders/>
            <w:shd w:fill="auto" w:val="clear"/>
            <w:tcMar>
              <w:bottom w:w="0" w:type="dxa"/>
            </w:tcMar>
            <w:vAlign w:val="center"/>
          </w:tcPr>
          <w:p>
            <w:pPr>
              <w:pStyle w:val="TableContents"/>
              <w:spacing w:before="0" w:after="283"/>
              <w:jc w:val="right"/>
              <w:rPr/>
            </w:pPr>
            <w:r>
              <w:rPr/>
              <w:t> </w:t>
            </w:r>
          </w:p>
        </w:tc>
        <w:tc>
          <w:tcPr>
            <w:tcW w:w="1400" w:type="dxa"/>
            <w:tcBorders/>
            <w:shd w:fill="auto" w:val="clear"/>
            <w:tcMar>
              <w:bottom w:w="0" w:type="dxa"/>
            </w:tcMar>
            <w:vAlign w:val="center"/>
          </w:tcPr>
          <w:p>
            <w:pPr>
              <w:pStyle w:val="TableContents"/>
              <w:spacing w:before="0" w:after="283"/>
              <w:jc w:val="right"/>
              <w:rPr/>
            </w:pPr>
            <w:r>
              <w:rPr/>
              <w:t>—</w:t>
            </w:r>
          </w:p>
        </w:tc>
        <w:tc>
          <w:tcPr>
            <w:tcW w:w="60" w:type="dxa"/>
            <w:tcBorders/>
            <w:shd w:fill="auto" w:val="clear"/>
            <w:tcMar>
              <w:bottom w:w="0" w:type="dxa"/>
            </w:tcMar>
            <w:vAlign w:val="center"/>
          </w:tcPr>
          <w:p>
            <w:pPr>
              <w:pStyle w:val="TableContents"/>
              <w:spacing w:before="0" w:after="283"/>
              <w:jc w:val="right"/>
              <w:rPr/>
            </w:pPr>
            <w:r>
              <w:rPr/>
              <w:t> </w:t>
            </w:r>
          </w:p>
        </w:tc>
        <w:tc>
          <w:tcPr>
            <w:tcW w:w="1296" w:type="dxa"/>
            <w:tcBorders/>
            <w:shd w:fill="auto" w:val="clear"/>
            <w:tcMar>
              <w:bottom w:w="0" w:type="dxa"/>
            </w:tcMar>
            <w:vAlign w:val="center"/>
          </w:tcPr>
          <w:p>
            <w:pPr>
              <w:pStyle w:val="TableContents"/>
              <w:spacing w:before="0" w:after="283"/>
              <w:jc w:val="right"/>
              <w:rPr/>
            </w:pPr>
            <w:r>
              <w:rPr/>
              <w:t>—</w:t>
            </w:r>
          </w:p>
        </w:tc>
      </w:tr>
      <w:tr>
        <w:trPr/>
        <w:tc>
          <w:tcPr>
            <w:tcW w:w="3238" w:type="dxa"/>
            <w:tcBorders/>
            <w:shd w:fill="EFF6EA" w:val="clear"/>
            <w:tcMar>
              <w:bottom w:w="0" w:type="dxa"/>
            </w:tcMar>
            <w:vAlign w:val="center"/>
          </w:tcPr>
          <w:p>
            <w:pPr>
              <w:pStyle w:val="TableContents"/>
              <w:spacing w:before="0" w:after="283"/>
              <w:rPr/>
            </w:pPr>
            <w:r>
              <w:rPr/>
              <w:t>Camille L. Bedrosian, M.D., Chief Medical Officer and Executive Vice President</w:t>
            </w:r>
          </w:p>
        </w:tc>
        <w:tc>
          <w:tcPr>
            <w:tcW w:w="60" w:type="dxa"/>
            <w:tcBorders/>
            <w:shd w:fill="EFF6EA" w:val="clear"/>
            <w:tcMar>
              <w:bottom w:w="0" w:type="dxa"/>
            </w:tcMar>
            <w:vAlign w:val="center"/>
          </w:tcPr>
          <w:p>
            <w:pPr>
              <w:pStyle w:val="TableContents"/>
              <w:spacing w:before="0" w:after="283"/>
              <w:jc w:val="right"/>
              <w:rPr/>
            </w:pPr>
            <w:r>
              <w:rPr/>
              <w:t> </w:t>
            </w:r>
          </w:p>
        </w:tc>
        <w:tc>
          <w:tcPr>
            <w:tcW w:w="1445"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jc w:val="right"/>
              <w:rPr/>
            </w:pPr>
            <w:r>
              <w:rPr/>
              <w:t> </w:t>
            </w:r>
          </w:p>
        </w:tc>
        <w:tc>
          <w:tcPr>
            <w:tcW w:w="1445"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jc w:val="right"/>
              <w:rPr/>
            </w:pPr>
            <w:r>
              <w:rPr/>
              <w:t> </w:t>
            </w:r>
          </w:p>
        </w:tc>
        <w:tc>
          <w:tcPr>
            <w:tcW w:w="1081"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jc w:val="right"/>
              <w:rPr/>
            </w:pPr>
            <w:r>
              <w:rPr/>
              <w:t> </w:t>
            </w:r>
          </w:p>
        </w:tc>
        <w:tc>
          <w:tcPr>
            <w:tcW w:w="1400"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jc w:val="right"/>
              <w:rPr/>
            </w:pPr>
            <w:r>
              <w:rPr/>
              <w:t> </w:t>
            </w:r>
          </w:p>
        </w:tc>
        <w:tc>
          <w:tcPr>
            <w:tcW w:w="1296" w:type="dxa"/>
            <w:tcBorders/>
            <w:shd w:fill="EFF6EA" w:val="clear"/>
            <w:tcMar>
              <w:bottom w:w="0" w:type="dxa"/>
            </w:tcMar>
            <w:vAlign w:val="center"/>
          </w:tcPr>
          <w:p>
            <w:pPr>
              <w:pStyle w:val="TableContents"/>
              <w:spacing w:before="0" w:after="283"/>
              <w:jc w:val="right"/>
              <w:rPr/>
            </w:pPr>
            <w:r>
              <w:rPr/>
              <w:t>—</w:t>
            </w:r>
          </w:p>
        </w:tc>
      </w:tr>
      <w:tr>
        <w:trPr/>
        <w:tc>
          <w:tcPr>
            <w:tcW w:w="3238" w:type="dxa"/>
            <w:tcBorders/>
            <w:shd w:fill="auto" w:val="clear"/>
            <w:tcMar>
              <w:bottom w:w="0" w:type="dxa"/>
            </w:tcMar>
            <w:vAlign w:val="center"/>
          </w:tcPr>
          <w:p>
            <w:pPr>
              <w:pStyle w:val="TableContents"/>
              <w:spacing w:before="0" w:after="283"/>
              <w:rPr/>
            </w:pPr>
            <w:r>
              <w:rPr/>
              <w:t>Erik Harris, Chief Commercial Officer and Executive Vice</w:t>
            </w:r>
          </w:p>
        </w:tc>
        <w:tc>
          <w:tcPr>
            <w:tcW w:w="60" w:type="dxa"/>
            <w:tcBorders/>
            <w:shd w:fill="auto" w:val="clear"/>
            <w:tcMar>
              <w:bottom w:w="0" w:type="dxa"/>
            </w:tcMar>
            <w:vAlign w:val="center"/>
          </w:tcPr>
          <w:p>
            <w:pPr>
              <w:pStyle w:val="TableContents"/>
              <w:spacing w:before="0" w:after="283"/>
              <w:jc w:val="right"/>
              <w:rPr/>
            </w:pPr>
            <w:r>
              <w:rPr/>
              <w:t> </w:t>
            </w:r>
          </w:p>
        </w:tc>
        <w:tc>
          <w:tcPr>
            <w:tcW w:w="1445"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445"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081"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400"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296" w:type="dxa"/>
            <w:tcBorders/>
            <w:shd w:fill="auto" w:val="clear"/>
            <w:tcMar>
              <w:bottom w:w="0" w:type="dxa"/>
            </w:tcMar>
            <w:vAlign w:val="center"/>
          </w:tcPr>
          <w:p>
            <w:pPr>
              <w:pStyle w:val="TableContents"/>
              <w:spacing w:before="0" w:after="283"/>
              <w:jc w:val="right"/>
              <w:rPr/>
            </w:pPr>
            <w:r>
              <w:rPr/>
              <w:t> </w:t>
            </w:r>
          </w:p>
        </w:tc>
      </w:tr>
      <w:tr>
        <w:trPr/>
        <w:tc>
          <w:tcPr>
            <w:tcW w:w="3238" w:type="dxa"/>
            <w:tcBorders/>
            <w:shd w:fill="auto" w:val="clear"/>
            <w:tcMar>
              <w:bottom w:w="0" w:type="dxa"/>
            </w:tcMar>
            <w:vAlign w:val="center"/>
          </w:tcPr>
          <w:p>
            <w:pPr>
              <w:pStyle w:val="TableContents"/>
              <w:spacing w:before="0" w:after="283"/>
              <w:rPr/>
            </w:pPr>
            <w:r>
              <w:rPr/>
              <w:t>President</w:t>
            </w:r>
          </w:p>
        </w:tc>
        <w:tc>
          <w:tcPr>
            <w:tcW w:w="60" w:type="dxa"/>
            <w:tcBorders/>
            <w:shd w:fill="auto" w:val="clear"/>
            <w:tcMar>
              <w:bottom w:w="0" w:type="dxa"/>
            </w:tcMar>
            <w:vAlign w:val="center"/>
          </w:tcPr>
          <w:p>
            <w:pPr>
              <w:pStyle w:val="TableContents"/>
              <w:spacing w:before="0" w:after="283"/>
              <w:jc w:val="right"/>
              <w:rPr/>
            </w:pPr>
            <w:r>
              <w:rPr/>
              <w:t> </w:t>
            </w:r>
          </w:p>
        </w:tc>
        <w:tc>
          <w:tcPr>
            <w:tcW w:w="1445" w:type="dxa"/>
            <w:tcBorders/>
            <w:shd w:fill="auto" w:val="clear"/>
            <w:tcMar>
              <w:bottom w:w="0" w:type="dxa"/>
            </w:tcMar>
            <w:vAlign w:val="center"/>
          </w:tcPr>
          <w:p>
            <w:pPr>
              <w:pStyle w:val="TableContents"/>
              <w:spacing w:before="0" w:after="283"/>
              <w:jc w:val="right"/>
              <w:rPr/>
            </w:pPr>
            <w:r>
              <w:rPr/>
              <w:t>—</w:t>
            </w:r>
          </w:p>
        </w:tc>
        <w:tc>
          <w:tcPr>
            <w:tcW w:w="60" w:type="dxa"/>
            <w:tcBorders/>
            <w:shd w:fill="auto" w:val="clear"/>
            <w:tcMar>
              <w:bottom w:w="0" w:type="dxa"/>
            </w:tcMar>
            <w:vAlign w:val="center"/>
          </w:tcPr>
          <w:p>
            <w:pPr>
              <w:pStyle w:val="TableContents"/>
              <w:spacing w:before="0" w:after="283"/>
              <w:jc w:val="right"/>
              <w:rPr/>
            </w:pPr>
            <w:r>
              <w:rPr/>
              <w:t> </w:t>
            </w:r>
          </w:p>
        </w:tc>
        <w:tc>
          <w:tcPr>
            <w:tcW w:w="1445" w:type="dxa"/>
            <w:tcBorders/>
            <w:shd w:fill="auto" w:val="clear"/>
            <w:tcMar>
              <w:bottom w:w="0" w:type="dxa"/>
            </w:tcMar>
            <w:vAlign w:val="center"/>
          </w:tcPr>
          <w:p>
            <w:pPr>
              <w:pStyle w:val="TableContents"/>
              <w:spacing w:before="0" w:after="283"/>
              <w:jc w:val="right"/>
              <w:rPr/>
            </w:pPr>
            <w:r>
              <w:rPr/>
              <w:t>—</w:t>
            </w:r>
          </w:p>
        </w:tc>
        <w:tc>
          <w:tcPr>
            <w:tcW w:w="60" w:type="dxa"/>
            <w:tcBorders/>
            <w:shd w:fill="auto" w:val="clear"/>
            <w:tcMar>
              <w:bottom w:w="0" w:type="dxa"/>
            </w:tcMar>
            <w:vAlign w:val="center"/>
          </w:tcPr>
          <w:p>
            <w:pPr>
              <w:pStyle w:val="TableContents"/>
              <w:spacing w:before="0" w:after="283"/>
              <w:jc w:val="right"/>
              <w:rPr/>
            </w:pPr>
            <w:r>
              <w:rPr/>
              <w:t> </w:t>
            </w:r>
          </w:p>
        </w:tc>
        <w:tc>
          <w:tcPr>
            <w:tcW w:w="1081" w:type="dxa"/>
            <w:tcBorders/>
            <w:shd w:fill="auto" w:val="clear"/>
            <w:tcMar>
              <w:bottom w:w="0" w:type="dxa"/>
            </w:tcMar>
            <w:vAlign w:val="center"/>
          </w:tcPr>
          <w:p>
            <w:pPr>
              <w:pStyle w:val="TableContents"/>
              <w:spacing w:before="0" w:after="283"/>
              <w:jc w:val="right"/>
              <w:rPr/>
            </w:pPr>
            <w:r>
              <w:rPr/>
              <w:t>—</w:t>
            </w:r>
          </w:p>
        </w:tc>
        <w:tc>
          <w:tcPr>
            <w:tcW w:w="60" w:type="dxa"/>
            <w:tcBorders/>
            <w:shd w:fill="auto" w:val="clear"/>
            <w:tcMar>
              <w:bottom w:w="0" w:type="dxa"/>
            </w:tcMar>
            <w:vAlign w:val="center"/>
          </w:tcPr>
          <w:p>
            <w:pPr>
              <w:pStyle w:val="TableContents"/>
              <w:spacing w:before="0" w:after="283"/>
              <w:jc w:val="right"/>
              <w:rPr/>
            </w:pPr>
            <w:r>
              <w:rPr/>
              <w:t> </w:t>
            </w:r>
          </w:p>
        </w:tc>
        <w:tc>
          <w:tcPr>
            <w:tcW w:w="1400" w:type="dxa"/>
            <w:tcBorders/>
            <w:shd w:fill="auto" w:val="clear"/>
            <w:tcMar>
              <w:bottom w:w="0" w:type="dxa"/>
            </w:tcMar>
            <w:vAlign w:val="center"/>
          </w:tcPr>
          <w:p>
            <w:pPr>
              <w:pStyle w:val="TableContents"/>
              <w:spacing w:before="0" w:after="283"/>
              <w:jc w:val="right"/>
              <w:rPr/>
            </w:pPr>
            <w:r>
              <w:rPr/>
              <w:t>—</w:t>
            </w:r>
          </w:p>
        </w:tc>
        <w:tc>
          <w:tcPr>
            <w:tcW w:w="60" w:type="dxa"/>
            <w:tcBorders/>
            <w:shd w:fill="auto" w:val="clear"/>
            <w:tcMar>
              <w:bottom w:w="0" w:type="dxa"/>
            </w:tcMar>
            <w:vAlign w:val="center"/>
          </w:tcPr>
          <w:p>
            <w:pPr>
              <w:pStyle w:val="TableContents"/>
              <w:spacing w:before="0" w:after="283"/>
              <w:jc w:val="right"/>
              <w:rPr/>
            </w:pPr>
            <w:r>
              <w:rPr/>
              <w:t> </w:t>
            </w:r>
          </w:p>
        </w:tc>
        <w:tc>
          <w:tcPr>
            <w:tcW w:w="1296" w:type="dxa"/>
            <w:tcBorders/>
            <w:shd w:fill="auto" w:val="clear"/>
            <w:tcMar>
              <w:bottom w:w="0" w:type="dxa"/>
            </w:tcMar>
            <w:vAlign w:val="center"/>
          </w:tcPr>
          <w:p>
            <w:pPr>
              <w:pStyle w:val="TableContents"/>
              <w:spacing w:before="0" w:after="283"/>
              <w:jc w:val="right"/>
              <w:rPr/>
            </w:pPr>
            <w:r>
              <w:rPr/>
              <w:t>—</w:t>
            </w:r>
          </w:p>
        </w:tc>
      </w:tr>
      <w:tr>
        <w:trPr/>
        <w:tc>
          <w:tcPr>
            <w:tcW w:w="3238" w:type="dxa"/>
            <w:tcBorders/>
            <w:shd w:fill="EFF6EA" w:val="clear"/>
            <w:tcMar>
              <w:bottom w:w="0" w:type="dxa"/>
            </w:tcMar>
            <w:vAlign w:val="center"/>
          </w:tcPr>
          <w:p>
            <w:pPr>
              <w:pStyle w:val="TableContents"/>
              <w:spacing w:before="0" w:after="283"/>
              <w:rPr/>
            </w:pPr>
            <w:r>
              <w:rPr/>
              <w:t>John R. Pinion II, Chief Quality Officer and Executive Vice President, Translational Sciences</w:t>
            </w:r>
          </w:p>
        </w:tc>
        <w:tc>
          <w:tcPr>
            <w:tcW w:w="60" w:type="dxa"/>
            <w:tcBorders/>
            <w:shd w:fill="EFF6EA" w:val="clear"/>
            <w:tcMar>
              <w:bottom w:w="0" w:type="dxa"/>
            </w:tcMar>
            <w:vAlign w:val="center"/>
          </w:tcPr>
          <w:p>
            <w:pPr>
              <w:pStyle w:val="TableContents"/>
              <w:spacing w:before="0" w:after="283"/>
              <w:jc w:val="right"/>
              <w:rPr/>
            </w:pPr>
            <w:r>
              <w:rPr/>
              <w:t> </w:t>
            </w:r>
          </w:p>
        </w:tc>
        <w:tc>
          <w:tcPr>
            <w:tcW w:w="1445"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jc w:val="right"/>
              <w:rPr/>
            </w:pPr>
            <w:r>
              <w:rPr/>
              <w:t> </w:t>
            </w:r>
          </w:p>
        </w:tc>
        <w:tc>
          <w:tcPr>
            <w:tcW w:w="1445"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jc w:val="right"/>
              <w:rPr/>
            </w:pPr>
            <w:r>
              <w:rPr/>
              <w:t> </w:t>
            </w:r>
          </w:p>
        </w:tc>
        <w:tc>
          <w:tcPr>
            <w:tcW w:w="1081"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jc w:val="right"/>
              <w:rPr/>
            </w:pPr>
            <w:r>
              <w:rPr/>
              <w:t> </w:t>
            </w:r>
          </w:p>
        </w:tc>
        <w:tc>
          <w:tcPr>
            <w:tcW w:w="1400"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jc w:val="right"/>
              <w:rPr/>
            </w:pPr>
            <w:r>
              <w:rPr/>
              <w:t> </w:t>
            </w:r>
          </w:p>
        </w:tc>
        <w:tc>
          <w:tcPr>
            <w:tcW w:w="1296" w:type="dxa"/>
            <w:tcBorders/>
            <w:shd w:fill="EFF6EA" w:val="clear"/>
            <w:tcMar>
              <w:bottom w:w="0" w:type="dxa"/>
            </w:tcMar>
            <w:vAlign w:val="center"/>
          </w:tcPr>
          <w:p>
            <w:pPr>
              <w:pStyle w:val="TableContents"/>
              <w:spacing w:before="0" w:after="283"/>
              <w:jc w:val="right"/>
              <w:rPr/>
            </w:pPr>
            <w:r>
              <w:rPr/>
              <w:t>—</w:t>
            </w:r>
          </w:p>
        </w:tc>
      </w:tr>
      <w:tr>
        <w:trPr/>
        <w:tc>
          <w:tcPr>
            <w:tcW w:w="3238" w:type="dxa"/>
            <w:tcBorders>
              <w:bottom w:val="single" w:sz="12" w:space="0" w:color="7CBC3E"/>
            </w:tcBorders>
            <w:shd w:fill="auto" w:val="clear"/>
            <w:vAlign w:val="center"/>
          </w:tcPr>
          <w:p>
            <w:pPr>
              <w:pStyle w:val="TableContents"/>
              <w:spacing w:before="0" w:after="283"/>
              <w:rPr/>
            </w:pPr>
            <w:r>
              <w:rPr/>
              <w:t>Mardi C. Dier, Chief Financial Officer and Executive Vice President</w:t>
            </w:r>
          </w:p>
        </w:tc>
        <w:tc>
          <w:tcPr>
            <w:tcW w:w="60" w:type="dxa"/>
            <w:tcBorders>
              <w:bottom w:val="single" w:sz="12" w:space="0" w:color="7CBC3E"/>
            </w:tcBorders>
            <w:shd w:fill="auto" w:val="clear"/>
            <w:vAlign w:val="center"/>
          </w:tcPr>
          <w:p>
            <w:pPr>
              <w:pStyle w:val="TableContents"/>
              <w:spacing w:before="0" w:after="283"/>
              <w:jc w:val="right"/>
              <w:rPr/>
            </w:pPr>
            <w:r>
              <w:rPr/>
              <w:t> </w:t>
            </w:r>
          </w:p>
        </w:tc>
        <w:tc>
          <w:tcPr>
            <w:tcW w:w="1445" w:type="dxa"/>
            <w:tcBorders>
              <w:bottom w:val="single" w:sz="12" w:space="0" w:color="7CBC3E"/>
            </w:tcBorders>
            <w:shd w:fill="auto" w:val="clear"/>
            <w:vAlign w:val="center"/>
          </w:tcPr>
          <w:p>
            <w:pPr>
              <w:pStyle w:val="TableContents"/>
              <w:spacing w:before="0" w:after="283"/>
              <w:jc w:val="right"/>
              <w:rPr/>
            </w:pPr>
            <w:r>
              <w:rPr/>
              <w:t>111,385</w:t>
            </w:r>
          </w:p>
        </w:tc>
        <w:tc>
          <w:tcPr>
            <w:tcW w:w="60" w:type="dxa"/>
            <w:tcBorders>
              <w:bottom w:val="single" w:sz="12" w:space="0" w:color="7CBC3E"/>
            </w:tcBorders>
            <w:shd w:fill="auto" w:val="clear"/>
            <w:vAlign w:val="center"/>
          </w:tcPr>
          <w:p>
            <w:pPr>
              <w:pStyle w:val="TableContents"/>
              <w:spacing w:before="0" w:after="283"/>
              <w:jc w:val="right"/>
              <w:rPr/>
            </w:pPr>
            <w:r>
              <w:rPr/>
              <w:t> </w:t>
            </w:r>
          </w:p>
        </w:tc>
        <w:tc>
          <w:tcPr>
            <w:tcW w:w="1445" w:type="dxa"/>
            <w:tcBorders>
              <w:bottom w:val="single" w:sz="12" w:space="0" w:color="7CBC3E"/>
            </w:tcBorders>
            <w:shd w:fill="auto" w:val="clear"/>
            <w:vAlign w:val="center"/>
          </w:tcPr>
          <w:p>
            <w:pPr>
              <w:pStyle w:val="TableContents"/>
              <w:spacing w:before="0" w:after="283"/>
              <w:jc w:val="right"/>
              <w:rPr/>
            </w:pPr>
            <w:r>
              <w:rPr/>
              <w:t>—</w:t>
            </w:r>
          </w:p>
        </w:tc>
        <w:tc>
          <w:tcPr>
            <w:tcW w:w="60" w:type="dxa"/>
            <w:tcBorders>
              <w:bottom w:val="single" w:sz="12" w:space="0" w:color="7CBC3E"/>
            </w:tcBorders>
            <w:shd w:fill="auto" w:val="clear"/>
            <w:vAlign w:val="center"/>
          </w:tcPr>
          <w:p>
            <w:pPr>
              <w:pStyle w:val="TableContents"/>
              <w:spacing w:before="0" w:after="283"/>
              <w:jc w:val="right"/>
              <w:rPr/>
            </w:pPr>
            <w:r>
              <w:rPr/>
              <w:t> </w:t>
            </w:r>
          </w:p>
        </w:tc>
        <w:tc>
          <w:tcPr>
            <w:tcW w:w="1081" w:type="dxa"/>
            <w:tcBorders>
              <w:bottom w:val="single" w:sz="12" w:space="0" w:color="7CBC3E"/>
            </w:tcBorders>
            <w:shd w:fill="auto" w:val="clear"/>
            <w:vAlign w:val="center"/>
          </w:tcPr>
          <w:p>
            <w:pPr>
              <w:pStyle w:val="TableContents"/>
              <w:spacing w:before="0" w:after="283"/>
              <w:jc w:val="right"/>
              <w:rPr/>
            </w:pPr>
            <w:r>
              <w:rPr/>
              <w:t>(8,095)</w:t>
            </w:r>
          </w:p>
        </w:tc>
        <w:tc>
          <w:tcPr>
            <w:tcW w:w="60" w:type="dxa"/>
            <w:tcBorders>
              <w:bottom w:val="single" w:sz="12" w:space="0" w:color="7CBC3E"/>
            </w:tcBorders>
            <w:shd w:fill="auto" w:val="clear"/>
            <w:vAlign w:val="center"/>
          </w:tcPr>
          <w:p>
            <w:pPr>
              <w:pStyle w:val="TableContents"/>
              <w:spacing w:before="0" w:after="283"/>
              <w:jc w:val="right"/>
              <w:rPr/>
            </w:pPr>
            <w:r>
              <w:rPr/>
              <w:t> </w:t>
            </w:r>
          </w:p>
        </w:tc>
        <w:tc>
          <w:tcPr>
            <w:tcW w:w="1400" w:type="dxa"/>
            <w:tcBorders>
              <w:bottom w:val="single" w:sz="12" w:space="0" w:color="7CBC3E"/>
            </w:tcBorders>
            <w:shd w:fill="auto" w:val="clear"/>
            <w:vAlign w:val="center"/>
          </w:tcPr>
          <w:p>
            <w:pPr>
              <w:pStyle w:val="TableContents"/>
              <w:spacing w:before="0" w:after="283"/>
              <w:jc w:val="right"/>
              <w:rPr/>
            </w:pPr>
            <w:r>
              <w:rPr/>
              <w:t>—</w:t>
            </w:r>
          </w:p>
        </w:tc>
        <w:tc>
          <w:tcPr>
            <w:tcW w:w="60" w:type="dxa"/>
            <w:tcBorders>
              <w:bottom w:val="single" w:sz="12" w:space="0" w:color="7CBC3E"/>
            </w:tcBorders>
            <w:shd w:fill="auto" w:val="clear"/>
            <w:vAlign w:val="center"/>
          </w:tcPr>
          <w:p>
            <w:pPr>
              <w:pStyle w:val="TableContents"/>
              <w:spacing w:before="0" w:after="283"/>
              <w:jc w:val="right"/>
              <w:rPr/>
            </w:pPr>
            <w:r>
              <w:rPr/>
              <w:t> </w:t>
            </w:r>
          </w:p>
        </w:tc>
        <w:tc>
          <w:tcPr>
            <w:tcW w:w="1296" w:type="dxa"/>
            <w:tcBorders>
              <w:bottom w:val="single" w:sz="12" w:space="0" w:color="7CBC3E"/>
            </w:tcBorders>
            <w:shd w:fill="auto" w:val="clear"/>
            <w:vAlign w:val="center"/>
          </w:tcPr>
          <w:p>
            <w:pPr>
              <w:pStyle w:val="TableContents"/>
              <w:spacing w:before="0" w:after="283"/>
              <w:jc w:val="right"/>
              <w:rPr/>
            </w:pPr>
            <w:r>
              <w:rPr/>
              <w:t>103,290</w:t>
            </w:r>
          </w:p>
        </w:tc>
      </w:tr>
    </w:tbl>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283"/>
              <w:rPr/>
            </w:pPr>
            <w:r>
              <w:rPr/>
              <w:t>(1)</w:t>
            </w:r>
          </w:p>
        </w:tc>
        <w:tc>
          <w:tcPr>
            <w:tcW w:w="9936" w:type="dxa"/>
            <w:tcBorders/>
            <w:shd w:fill="auto" w:val="clear"/>
            <w:vAlign w:val="center"/>
          </w:tcPr>
          <w:p>
            <w:pPr>
              <w:pStyle w:val="TableContents"/>
              <w:spacing w:before="0" w:after="283"/>
              <w:jc w:val="both"/>
              <w:rPr/>
            </w:pPr>
            <w:r>
              <w:rPr/>
              <w:t>The amounts disclosed in this column are also disclosed in the “Non-Equity Incentive Plan Compensation” column for the named executive officer in the Summary Compensation Table.</w:t>
            </w:r>
          </w:p>
        </w:tc>
      </w:tr>
      <w:tr>
        <w:trPr/>
        <w:tc>
          <w:tcPr>
            <w:tcW w:w="269" w:type="dxa"/>
            <w:tcBorders/>
            <w:shd w:fill="auto" w:val="clear"/>
            <w:vAlign w:val="center"/>
          </w:tcPr>
          <w:p>
            <w:pPr>
              <w:pStyle w:val="TableContents"/>
              <w:spacing w:before="0" w:after="283"/>
              <w:rPr/>
            </w:pPr>
            <w:r>
              <w:rPr/>
              <w:t>(2)</w:t>
            </w:r>
          </w:p>
        </w:tc>
        <w:tc>
          <w:tcPr>
            <w:tcW w:w="9936" w:type="dxa"/>
            <w:tcBorders/>
            <w:shd w:fill="auto" w:val="clear"/>
            <w:vAlign w:val="center"/>
          </w:tcPr>
          <w:p>
            <w:pPr>
              <w:pStyle w:val="TableContents"/>
              <w:spacing w:before="0" w:after="283"/>
              <w:jc w:val="both"/>
              <w:rPr/>
            </w:pPr>
            <w:r>
              <w:rPr/>
              <w:t>The amount disclosed in this column for Ms. Dier includes $111,385 reported in prior year Summary Compensation Tables.</w:t>
            </w:r>
          </w:p>
        </w:tc>
      </w:tr>
    </w:tbl>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64</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jc w:val="both"/>
        <w:rPr>
          <w:rFonts w:ascii="Arial;Helvetica;Sans-Serif" w:hAnsi="Arial;Helvetica;Sans-Serif"/>
          <w:b/>
          <w:i w:val="false"/>
          <w:caps w:val="false"/>
          <w:smallCaps w:val="false"/>
          <w:sz w:val="28"/>
        </w:rPr>
      </w:pPr>
      <w:bookmarkStart w:id="113" w:name="lrarea101"/>
      <w:bookmarkStart w:id="114" w:name="lrareb011"/>
      <w:bookmarkEnd w:id="113"/>
      <w:bookmarkEnd w:id="114"/>
      <w:r>
        <w:rPr>
          <w:rFonts w:ascii="Arial;Helvetica;Sans-Serif" w:hAnsi="Arial;Helvetica;Sans-Serif"/>
          <w:b/>
          <w:i w:val="false"/>
          <w:caps w:val="false"/>
          <w:smallCaps w:val="false"/>
          <w:sz w:val="28"/>
        </w:rPr>
        <w:t>Potential Payments Upon Termination or Change of Control</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amount of compensation and benefits payable to each named executive officer in various termination and change in control situations, as described above under “—Narrative Disclosure to Summary Compensation Table—Involuntary Termination of Employment” and “—Narrative Disclosure to Summary Compensation Table—Covered Transaction, has been estimated in the tables below. The tables below do not include the values of any amounts that a named executive officer may receive under the Deferred Plan as a result of a termination of employment or a change in control, as all amounts under the Deferred Plan are fully vested benefits. In connection with her resignation in November 2022, Ms. Dier did not receive any termination-related payments or benefits.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value of the option, RSU, and PSU vesting acceleration was calculated for each of the tables below based on the assumption that the change in control and executive’s employment termination occurred on December 31, 2022. The closing price of our common stock on The Nasdaq Global Select Market as of December 30, 2022, the last trading day of 2022, was $46.33, which was used as the value of our common stock for purposes of the following tables. The value of the option vesting acceleration was calculated by multiplying the number of unvested option shares subject to vesting acceleration as of December 31, 2022 by the difference between the closing price of our common stock as of December 31, 2022 and the exercise price for such unvested option shares. No value is attributed to unvested options subject to acceleration which have exercise prices above the closing market price of our common stock as of December 31, 2022. The value of the RSU and PSU vesting acceleration was calculated by multiplying the number of unvested RSUs, earned but unvested PSUs and unearned PSUs (based on an assumed target level of performance) subject to vesting acceleration as of December 31, 2022 by the closing price of our common stock as of December 31, 2022. The value of COBRA reimbursements was calculated for each of the tables below based on the elections for each named executive officer in effect in December 2022 and the applicable COBRA premiums for December 2022</w:t>
      </w:r>
    </w:p>
    <w:p>
      <w:pPr>
        <w:pStyle w:val="TextBody"/>
        <w:jc w:val="both"/>
        <w:rPr>
          <w:caps w:val="false"/>
          <w:smallCaps w:val="false"/>
        </w:rPr>
      </w:pPr>
      <w:r>
        <w:rPr>
          <w:caps w:val="false"/>
          <w:smallCaps w:val="false"/>
        </w:rPr>
        <w:t> </w:t>
      </w:r>
    </w:p>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Dr. Emil Kakkis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describes the potential payments upon employment termination for Emil Kakkis, our President and Chief Executive Officer, as if his employment terminated as of December 31, 2022, the last business day of the fiscal year. Qualifying termination includes a termination by the Company without cause or a resignation by Dr. Kakkis for good reason.</w:t>
      </w:r>
    </w:p>
    <w:p>
      <w:pPr>
        <w:pStyle w:val="TextBody"/>
        <w:jc w:val="both"/>
        <w:rPr>
          <w:caps w:val="false"/>
          <w:smallCaps w:val="false"/>
        </w:rPr>
      </w:pPr>
      <w:r>
        <w:rPr>
          <w:caps w:val="false"/>
          <w:smallCaps w:val="false"/>
        </w:rPr>
        <w:t> </w:t>
      </w:r>
    </w:p>
    <w:tbl>
      <w:tblPr>
        <w:tblW w:w="7860" w:type="dxa"/>
        <w:jc w:val="left"/>
        <w:tblInd w:w="0" w:type="dxa"/>
        <w:tblCellMar>
          <w:top w:w="0" w:type="dxa"/>
          <w:left w:w="0" w:type="dxa"/>
          <w:bottom w:w="28" w:type="dxa"/>
          <w:right w:w="0" w:type="dxa"/>
        </w:tblCellMar>
      </w:tblPr>
      <w:tblGrid>
        <w:gridCol w:w="3950"/>
        <w:gridCol w:w="60"/>
        <w:gridCol w:w="161"/>
        <w:gridCol w:w="1134"/>
        <w:gridCol w:w="60"/>
        <w:gridCol w:w="60"/>
        <w:gridCol w:w="1128"/>
        <w:gridCol w:w="1307"/>
      </w:tblGrid>
      <w:tr>
        <w:trPr/>
        <w:tc>
          <w:tcPr>
            <w:tcW w:w="3950" w:type="dxa"/>
            <w:tcBorders>
              <w:bottom w:val="single" w:sz="12" w:space="0" w:color="7CBC3E"/>
            </w:tcBorders>
            <w:shd w:fill="auto" w:val="clear"/>
            <w:vAlign w:val="center"/>
          </w:tcPr>
          <w:p>
            <w:pPr>
              <w:pStyle w:val="TableContents"/>
              <w:spacing w:before="0" w:after="283"/>
              <w:jc w:val="left"/>
              <w:rPr>
                <w:b/>
              </w:rPr>
            </w:pPr>
            <w:r>
              <w:rPr>
                <w:b/>
              </w:rPr>
              <w:t>Potential Payments Upon Termination</w:t>
              <w:br/>
              <w:t>or Change of Control</w:t>
            </w:r>
          </w:p>
        </w:tc>
        <w:tc>
          <w:tcPr>
            <w:tcW w:w="60" w:type="dxa"/>
            <w:tcBorders>
              <w:bottom w:val="single" w:sz="12" w:space="0" w:color="7CBC3E"/>
            </w:tcBorders>
            <w:shd w:fill="auto" w:val="clear"/>
            <w:vAlign w:val="center"/>
          </w:tcPr>
          <w:p>
            <w:pPr>
              <w:pStyle w:val="TableContents"/>
              <w:spacing w:before="0" w:after="283"/>
              <w:rPr/>
            </w:pPr>
            <w:r>
              <w:rPr/>
              <w:t> </w:t>
            </w:r>
          </w:p>
        </w:tc>
        <w:tc>
          <w:tcPr>
            <w:tcW w:w="1295" w:type="dxa"/>
            <w:gridSpan w:val="2"/>
            <w:tcBorders>
              <w:bottom w:val="single" w:sz="12" w:space="0" w:color="7CBC3E"/>
            </w:tcBorders>
            <w:shd w:fill="auto" w:val="clear"/>
            <w:vAlign w:val="center"/>
          </w:tcPr>
          <w:p>
            <w:pPr>
              <w:pStyle w:val="TableContents"/>
              <w:spacing w:before="0" w:after="283"/>
              <w:jc w:val="right"/>
              <w:rPr>
                <w:b/>
              </w:rPr>
            </w:pPr>
            <w:r>
              <w:rPr>
                <w:b/>
              </w:rPr>
              <w:t>Qualifying</w:t>
              <w:br/>
              <w:t>Termination</w:t>
            </w:r>
          </w:p>
        </w:tc>
        <w:tc>
          <w:tcPr>
            <w:tcW w:w="60" w:type="dxa"/>
            <w:tcBorders>
              <w:bottom w:val="single" w:sz="12" w:space="0" w:color="7CBC3E"/>
            </w:tcBorders>
            <w:shd w:fill="auto" w:val="clear"/>
            <w:vAlign w:val="center"/>
          </w:tcPr>
          <w:p>
            <w:pPr>
              <w:pStyle w:val="TableContents"/>
              <w:spacing w:before="0" w:after="283"/>
              <w:jc w:val="left"/>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2435" w:type="dxa"/>
            <w:gridSpan w:val="2"/>
            <w:tcBorders>
              <w:bottom w:val="single" w:sz="12" w:space="0" w:color="7CBC3E"/>
            </w:tcBorders>
            <w:shd w:fill="auto" w:val="clear"/>
            <w:vAlign w:val="center"/>
          </w:tcPr>
          <w:p>
            <w:pPr>
              <w:pStyle w:val="TableContents"/>
              <w:spacing w:before="0" w:after="283"/>
              <w:jc w:val="right"/>
              <w:rPr>
                <w:b/>
              </w:rPr>
            </w:pPr>
            <w:r>
              <w:rPr>
                <w:b/>
              </w:rPr>
              <w:t>Qualifying Termination</w:t>
              <w:br/>
              <w:t>following a Covered</w:t>
              <w:br/>
              <w:t>Transaction</w:t>
            </w:r>
          </w:p>
        </w:tc>
      </w:tr>
      <w:tr>
        <w:trPr/>
        <w:tc>
          <w:tcPr>
            <w:tcW w:w="3950" w:type="dxa"/>
            <w:tcBorders/>
            <w:shd w:fill="auto" w:val="clear"/>
            <w:tcMar>
              <w:bottom w:w="0" w:type="dxa"/>
            </w:tcMar>
            <w:vAlign w:val="center"/>
          </w:tcPr>
          <w:p>
            <w:pPr>
              <w:pStyle w:val="TableContents"/>
              <w:spacing w:before="0" w:after="283"/>
              <w:jc w:val="left"/>
              <w:rPr/>
            </w:pPr>
            <w:r>
              <w:rPr/>
              <w:t>Base Salary</w:t>
            </w:r>
          </w:p>
        </w:tc>
        <w:tc>
          <w:tcPr>
            <w:tcW w:w="60" w:type="dxa"/>
            <w:tcBorders/>
            <w:shd w:fill="auto" w:val="clear"/>
            <w:tcMar>
              <w:bottom w:w="0" w:type="dxa"/>
            </w:tcMar>
            <w:vAlign w:val="center"/>
          </w:tcPr>
          <w:p>
            <w:pPr>
              <w:pStyle w:val="TableContents"/>
              <w:spacing w:before="0" w:after="283"/>
              <w:rPr/>
            </w:pPr>
            <w:r>
              <w:rPr/>
              <w:t> </w:t>
            </w:r>
          </w:p>
        </w:tc>
        <w:tc>
          <w:tcPr>
            <w:tcW w:w="161" w:type="dxa"/>
            <w:tcBorders/>
            <w:shd w:fill="auto" w:val="clear"/>
            <w:tcMar>
              <w:bottom w:w="0" w:type="dxa"/>
            </w:tcMar>
            <w:vAlign w:val="center"/>
          </w:tcPr>
          <w:p>
            <w:pPr>
              <w:pStyle w:val="TableContents"/>
              <w:spacing w:before="0" w:after="283"/>
              <w:jc w:val="right"/>
              <w:rPr/>
            </w:pPr>
            <w:r>
              <w:rPr/>
              <w:t>$</w:t>
            </w:r>
          </w:p>
        </w:tc>
        <w:tc>
          <w:tcPr>
            <w:tcW w:w="1134" w:type="dxa"/>
            <w:tcBorders/>
            <w:shd w:fill="auto" w:val="clear"/>
            <w:tcMar>
              <w:bottom w:w="0" w:type="dxa"/>
            </w:tcMar>
            <w:vAlign w:val="center"/>
          </w:tcPr>
          <w:p>
            <w:pPr>
              <w:pStyle w:val="TableContents"/>
              <w:spacing w:before="0" w:after="283"/>
              <w:jc w:val="right"/>
              <w:rPr/>
            </w:pPr>
            <w:r>
              <w:rPr/>
              <w:t>1,600,000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128" w:type="dxa"/>
            <w:tcBorders/>
            <w:shd w:fill="auto" w:val="clear"/>
            <w:tcMar>
              <w:bottom w:w="0" w:type="dxa"/>
            </w:tcMar>
            <w:vAlign w:val="center"/>
          </w:tcPr>
          <w:p>
            <w:pPr>
              <w:pStyle w:val="TableContents"/>
              <w:spacing w:before="0" w:after="283"/>
              <w:jc w:val="right"/>
              <w:rPr/>
            </w:pPr>
            <w:r>
              <w:rPr/>
              <w:t>            </w:t>
            </w:r>
            <w:r>
              <w:rPr/>
              <w:t>$</w:t>
            </w:r>
          </w:p>
        </w:tc>
        <w:tc>
          <w:tcPr>
            <w:tcW w:w="1307" w:type="dxa"/>
            <w:tcBorders/>
            <w:shd w:fill="auto" w:val="clear"/>
            <w:tcMar>
              <w:bottom w:w="0" w:type="dxa"/>
            </w:tcMar>
            <w:vAlign w:val="center"/>
          </w:tcPr>
          <w:p>
            <w:pPr>
              <w:pStyle w:val="TableContents"/>
              <w:spacing w:before="0" w:after="283"/>
              <w:jc w:val="right"/>
              <w:rPr/>
            </w:pPr>
            <w:r>
              <w:rPr/>
              <w:t>1,600,000</w:t>
            </w:r>
          </w:p>
        </w:tc>
      </w:tr>
      <w:tr>
        <w:trPr/>
        <w:tc>
          <w:tcPr>
            <w:tcW w:w="3950" w:type="dxa"/>
            <w:tcBorders/>
            <w:shd w:fill="EFF6EA" w:val="clear"/>
            <w:tcMar>
              <w:bottom w:w="0" w:type="dxa"/>
            </w:tcMar>
            <w:vAlign w:val="center"/>
          </w:tcPr>
          <w:p>
            <w:pPr>
              <w:pStyle w:val="TableContents"/>
              <w:spacing w:before="0" w:after="283"/>
              <w:rPr/>
            </w:pPr>
            <w:r>
              <w:rPr/>
              <w:t>Bonus</w:t>
            </w:r>
          </w:p>
        </w:tc>
        <w:tc>
          <w:tcPr>
            <w:tcW w:w="60" w:type="dxa"/>
            <w:tcBorders/>
            <w:shd w:fill="EFF6EA" w:val="clear"/>
            <w:tcMar>
              <w:bottom w:w="0" w:type="dxa"/>
            </w:tcMar>
            <w:vAlign w:val="center"/>
          </w:tcPr>
          <w:p>
            <w:pPr>
              <w:pStyle w:val="TableContents"/>
              <w:spacing w:before="0" w:after="283"/>
              <w:rPr/>
            </w:pPr>
            <w:r>
              <w:rPr/>
              <w:t> </w:t>
            </w:r>
          </w:p>
        </w:tc>
        <w:tc>
          <w:tcPr>
            <w:tcW w:w="161" w:type="dxa"/>
            <w:tcBorders/>
            <w:shd w:fill="EFF6EA" w:val="clear"/>
            <w:tcMar>
              <w:bottom w:w="0" w:type="dxa"/>
            </w:tcMar>
            <w:vAlign w:val="center"/>
          </w:tcPr>
          <w:p>
            <w:pPr>
              <w:pStyle w:val="TableContents"/>
              <w:spacing w:before="0" w:after="283"/>
              <w:jc w:val="right"/>
              <w:rPr/>
            </w:pPr>
            <w:r>
              <w:rPr/>
              <w:t> </w:t>
            </w:r>
          </w:p>
        </w:tc>
        <w:tc>
          <w:tcPr>
            <w:tcW w:w="1134" w:type="dxa"/>
            <w:tcBorders/>
            <w:shd w:fill="EFF6EA" w:val="clear"/>
            <w:tcMar>
              <w:bottom w:w="0" w:type="dxa"/>
            </w:tcMar>
            <w:vAlign w:val="center"/>
          </w:tcPr>
          <w:p>
            <w:pPr>
              <w:pStyle w:val="TableContents"/>
              <w:spacing w:before="0" w:after="283"/>
              <w:jc w:val="right"/>
              <w:rPr/>
            </w:pPr>
            <w:r>
              <w:rPr/>
              <w:t>600,000</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128" w:type="dxa"/>
            <w:tcBorders/>
            <w:shd w:fill="EFF6EA" w:val="clear"/>
            <w:tcMar>
              <w:bottom w:w="0" w:type="dxa"/>
            </w:tcMar>
            <w:vAlign w:val="center"/>
          </w:tcPr>
          <w:p>
            <w:pPr>
              <w:pStyle w:val="TableContents"/>
              <w:spacing w:before="0" w:after="283"/>
              <w:jc w:val="right"/>
              <w:rPr/>
            </w:pPr>
            <w:r>
              <w:rPr/>
              <w:t> </w:t>
            </w:r>
          </w:p>
        </w:tc>
        <w:tc>
          <w:tcPr>
            <w:tcW w:w="1307" w:type="dxa"/>
            <w:tcBorders/>
            <w:shd w:fill="EFF6EA" w:val="clear"/>
            <w:tcMar>
              <w:bottom w:w="0" w:type="dxa"/>
            </w:tcMar>
            <w:vAlign w:val="center"/>
          </w:tcPr>
          <w:p>
            <w:pPr>
              <w:pStyle w:val="TableContents"/>
              <w:spacing w:before="0" w:after="283"/>
              <w:jc w:val="right"/>
              <w:rPr/>
            </w:pPr>
            <w:r>
              <w:rPr/>
              <w:t>1,200,000</w:t>
            </w:r>
          </w:p>
        </w:tc>
      </w:tr>
      <w:tr>
        <w:trPr/>
        <w:tc>
          <w:tcPr>
            <w:tcW w:w="3950" w:type="dxa"/>
            <w:tcBorders/>
            <w:shd w:fill="FFFFFF" w:val="clear"/>
            <w:tcMar>
              <w:bottom w:w="0" w:type="dxa"/>
            </w:tcMar>
            <w:vAlign w:val="center"/>
          </w:tcPr>
          <w:p>
            <w:pPr>
              <w:pStyle w:val="TableContents"/>
              <w:spacing w:before="0" w:after="283"/>
              <w:jc w:val="left"/>
              <w:rPr/>
            </w:pPr>
            <w:r>
              <w:rPr/>
              <w:t>Acceleration of equity awards</w:t>
            </w:r>
          </w:p>
        </w:tc>
        <w:tc>
          <w:tcPr>
            <w:tcW w:w="60" w:type="dxa"/>
            <w:tcBorders/>
            <w:shd w:fill="FFFFFF" w:val="clear"/>
            <w:tcMar>
              <w:bottom w:w="0" w:type="dxa"/>
            </w:tcMar>
            <w:vAlign w:val="center"/>
          </w:tcPr>
          <w:p>
            <w:pPr>
              <w:pStyle w:val="TableContents"/>
              <w:spacing w:before="0" w:after="283"/>
              <w:rPr/>
            </w:pPr>
            <w:r>
              <w:rPr/>
              <w:t> </w:t>
            </w:r>
          </w:p>
        </w:tc>
        <w:tc>
          <w:tcPr>
            <w:tcW w:w="161" w:type="dxa"/>
            <w:tcBorders/>
            <w:shd w:fill="FFFFFF" w:val="clear"/>
            <w:tcMar>
              <w:bottom w:w="0" w:type="dxa"/>
            </w:tcMar>
            <w:vAlign w:val="center"/>
          </w:tcPr>
          <w:p>
            <w:pPr>
              <w:pStyle w:val="TableContents"/>
              <w:spacing w:before="0" w:after="283"/>
              <w:jc w:val="right"/>
              <w:rPr/>
            </w:pPr>
            <w:r>
              <w:rPr/>
              <w:t> </w:t>
            </w:r>
          </w:p>
        </w:tc>
        <w:tc>
          <w:tcPr>
            <w:tcW w:w="1134"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28" w:type="dxa"/>
            <w:tcBorders/>
            <w:shd w:fill="FFFFFF" w:val="clear"/>
            <w:tcMar>
              <w:bottom w:w="0" w:type="dxa"/>
            </w:tcMar>
            <w:vAlign w:val="center"/>
          </w:tcPr>
          <w:p>
            <w:pPr>
              <w:pStyle w:val="TableContents"/>
              <w:spacing w:before="0" w:after="283"/>
              <w:jc w:val="right"/>
              <w:rPr/>
            </w:pPr>
            <w:r>
              <w:rPr/>
              <w:t> </w:t>
            </w:r>
          </w:p>
        </w:tc>
        <w:tc>
          <w:tcPr>
            <w:tcW w:w="1307" w:type="dxa"/>
            <w:tcBorders/>
            <w:shd w:fill="FFFFFF" w:val="clear"/>
            <w:tcMar>
              <w:bottom w:w="0" w:type="dxa"/>
            </w:tcMar>
            <w:vAlign w:val="center"/>
          </w:tcPr>
          <w:p>
            <w:pPr>
              <w:pStyle w:val="TableContents"/>
              <w:spacing w:before="0" w:after="283"/>
              <w:jc w:val="right"/>
              <w:rPr/>
            </w:pPr>
            <w:r>
              <w:rPr/>
              <w:t>6,643,629</w:t>
            </w:r>
          </w:p>
        </w:tc>
      </w:tr>
      <w:tr>
        <w:trPr/>
        <w:tc>
          <w:tcPr>
            <w:tcW w:w="3950" w:type="dxa"/>
            <w:tcBorders>
              <w:bottom w:val="single" w:sz="2" w:space="0" w:color="7CBC3E"/>
            </w:tcBorders>
            <w:shd w:fill="EFF6EA" w:val="clear"/>
            <w:vAlign w:val="center"/>
          </w:tcPr>
          <w:p>
            <w:pPr>
              <w:pStyle w:val="TableContents"/>
              <w:spacing w:before="0" w:after="283"/>
              <w:jc w:val="left"/>
              <w:rPr/>
            </w:pPr>
            <w:r>
              <w:rPr/>
              <w:t>COBRA reimbursements</w:t>
            </w:r>
          </w:p>
        </w:tc>
        <w:tc>
          <w:tcPr>
            <w:tcW w:w="60" w:type="dxa"/>
            <w:tcBorders>
              <w:bottom w:val="single" w:sz="2" w:space="0" w:color="7CBC3E"/>
            </w:tcBorders>
            <w:shd w:fill="EFF6EA" w:val="clear"/>
            <w:vAlign w:val="center"/>
          </w:tcPr>
          <w:p>
            <w:pPr>
              <w:pStyle w:val="TableContents"/>
              <w:spacing w:before="0" w:after="283"/>
              <w:rPr/>
            </w:pPr>
            <w:r>
              <w:rPr/>
              <w:t> </w:t>
            </w:r>
          </w:p>
        </w:tc>
        <w:tc>
          <w:tcPr>
            <w:tcW w:w="161" w:type="dxa"/>
            <w:tcBorders>
              <w:bottom w:val="single" w:sz="2" w:space="0" w:color="7CBC3E"/>
            </w:tcBorders>
            <w:shd w:fill="EFF6EA" w:val="clear"/>
            <w:vAlign w:val="center"/>
          </w:tcPr>
          <w:p>
            <w:pPr>
              <w:pStyle w:val="TableContents"/>
              <w:spacing w:before="0" w:after="283"/>
              <w:jc w:val="right"/>
              <w:rPr/>
            </w:pPr>
            <w:r>
              <w:rPr/>
              <w:t> </w:t>
            </w:r>
          </w:p>
        </w:tc>
        <w:tc>
          <w:tcPr>
            <w:tcW w:w="1134" w:type="dxa"/>
            <w:tcBorders>
              <w:bottom w:val="single" w:sz="2" w:space="0" w:color="7CBC3E"/>
            </w:tcBorders>
            <w:shd w:fill="EFF6EA" w:val="clear"/>
            <w:vAlign w:val="center"/>
          </w:tcPr>
          <w:p>
            <w:pPr>
              <w:pStyle w:val="TableContents"/>
              <w:spacing w:before="0" w:after="283"/>
              <w:jc w:val="right"/>
              <w:rPr/>
            </w:pPr>
            <w:r>
              <w:rPr/>
              <w:t>55,913</w:t>
            </w:r>
          </w:p>
        </w:tc>
        <w:tc>
          <w:tcPr>
            <w:tcW w:w="60" w:type="dxa"/>
            <w:tcBorders>
              <w:bottom w:val="single" w:sz="2" w:space="0" w:color="7CBC3E"/>
            </w:tcBorders>
            <w:shd w:fill="EFF6EA" w:val="clear"/>
            <w:vAlign w:val="center"/>
          </w:tcPr>
          <w:p>
            <w:pPr>
              <w:pStyle w:val="TableContents"/>
              <w:spacing w:before="0" w:after="283"/>
              <w:jc w:val="left"/>
              <w:rPr/>
            </w:pPr>
            <w:r>
              <w:rPr/>
              <w:t> </w:t>
            </w:r>
          </w:p>
        </w:tc>
        <w:tc>
          <w:tcPr>
            <w:tcW w:w="60" w:type="dxa"/>
            <w:tcBorders>
              <w:bottom w:val="single" w:sz="2" w:space="0" w:color="7CBC3E"/>
            </w:tcBorders>
            <w:shd w:fill="EFF6EA" w:val="clear"/>
            <w:vAlign w:val="center"/>
          </w:tcPr>
          <w:p>
            <w:pPr>
              <w:pStyle w:val="TableContents"/>
              <w:spacing w:before="0" w:after="283"/>
              <w:rPr/>
            </w:pPr>
            <w:r>
              <w:rPr/>
              <w:t> </w:t>
            </w:r>
          </w:p>
        </w:tc>
        <w:tc>
          <w:tcPr>
            <w:tcW w:w="1128" w:type="dxa"/>
            <w:tcBorders>
              <w:bottom w:val="single" w:sz="2" w:space="0" w:color="7CBC3E"/>
            </w:tcBorders>
            <w:shd w:fill="EFF6EA" w:val="clear"/>
            <w:vAlign w:val="center"/>
          </w:tcPr>
          <w:p>
            <w:pPr>
              <w:pStyle w:val="TableContents"/>
              <w:spacing w:before="0" w:after="283"/>
              <w:jc w:val="right"/>
              <w:rPr/>
            </w:pPr>
            <w:r>
              <w:rPr/>
              <w:t> </w:t>
            </w:r>
          </w:p>
        </w:tc>
        <w:tc>
          <w:tcPr>
            <w:tcW w:w="1307" w:type="dxa"/>
            <w:tcBorders>
              <w:bottom w:val="single" w:sz="2" w:space="0" w:color="7CBC3E"/>
            </w:tcBorders>
            <w:shd w:fill="EFF6EA" w:val="clear"/>
            <w:vAlign w:val="center"/>
          </w:tcPr>
          <w:p>
            <w:pPr>
              <w:pStyle w:val="TableContents"/>
              <w:spacing w:before="0" w:after="283"/>
              <w:jc w:val="right"/>
              <w:rPr/>
            </w:pPr>
            <w:r>
              <w:rPr/>
              <w:t>55,913</w:t>
            </w:r>
          </w:p>
        </w:tc>
      </w:tr>
      <w:tr>
        <w:trPr/>
        <w:tc>
          <w:tcPr>
            <w:tcW w:w="3950" w:type="dxa"/>
            <w:tcBorders>
              <w:bottom w:val="single" w:sz="12" w:space="0" w:color="7CBC3E"/>
            </w:tcBorders>
            <w:shd w:fill="FFFFFF" w:val="clear"/>
            <w:vAlign w:val="center"/>
          </w:tcPr>
          <w:p>
            <w:pPr>
              <w:pStyle w:val="TableContents"/>
              <w:spacing w:before="0" w:after="283"/>
              <w:rPr>
                <w:b/>
                <w:color w:val="7CBC3E"/>
              </w:rPr>
            </w:pPr>
            <w:r>
              <w:rPr>
                <w:b/>
                <w:color w:val="7CBC3E"/>
              </w:rPr>
              <w:t>TOTAL</w:t>
            </w:r>
          </w:p>
        </w:tc>
        <w:tc>
          <w:tcPr>
            <w:tcW w:w="60" w:type="dxa"/>
            <w:tcBorders>
              <w:bottom w:val="single" w:sz="12" w:space="0" w:color="7CBC3E"/>
            </w:tcBorders>
            <w:shd w:fill="FFFFFF" w:val="clear"/>
            <w:vAlign w:val="center"/>
          </w:tcPr>
          <w:p>
            <w:pPr>
              <w:pStyle w:val="TableContents"/>
              <w:spacing w:before="0" w:after="283"/>
              <w:rPr>
                <w:color w:val="7CBC3E"/>
              </w:rPr>
            </w:pPr>
            <w:r>
              <w:rPr>
                <w:color w:val="7CBC3E"/>
              </w:rPr>
              <w:t> </w:t>
            </w:r>
          </w:p>
        </w:tc>
        <w:tc>
          <w:tcPr>
            <w:tcW w:w="161" w:type="dxa"/>
            <w:tcBorders>
              <w:bottom w:val="single" w:sz="12" w:space="0" w:color="7CBC3E"/>
            </w:tcBorders>
            <w:shd w:fill="FFFFFF" w:val="clear"/>
            <w:vAlign w:val="center"/>
          </w:tcPr>
          <w:p>
            <w:pPr>
              <w:pStyle w:val="TableContents"/>
              <w:spacing w:before="0" w:after="283"/>
              <w:jc w:val="right"/>
              <w:rPr>
                <w:b/>
                <w:color w:val="7CBC3E"/>
              </w:rPr>
            </w:pPr>
            <w:r>
              <w:rPr>
                <w:b/>
                <w:color w:val="7CBC3E"/>
              </w:rPr>
              <w:t>$</w:t>
            </w:r>
          </w:p>
        </w:tc>
        <w:tc>
          <w:tcPr>
            <w:tcW w:w="1134" w:type="dxa"/>
            <w:tcBorders>
              <w:bottom w:val="single" w:sz="12" w:space="0" w:color="7CBC3E"/>
            </w:tcBorders>
            <w:shd w:fill="FFFFFF" w:val="clear"/>
            <w:vAlign w:val="center"/>
          </w:tcPr>
          <w:p>
            <w:pPr>
              <w:pStyle w:val="TableContents"/>
              <w:spacing w:before="0" w:after="283"/>
              <w:jc w:val="right"/>
              <w:rPr>
                <w:b/>
                <w:color w:val="7CBC3E"/>
              </w:rPr>
            </w:pPr>
            <w:r>
              <w:rPr>
                <w:b/>
                <w:color w:val="7CBC3E"/>
              </w:rPr>
              <w:t>2,255,913</w:t>
            </w:r>
          </w:p>
        </w:tc>
        <w:tc>
          <w:tcPr>
            <w:tcW w:w="60" w:type="dxa"/>
            <w:tcBorders>
              <w:bottom w:val="single" w:sz="12" w:space="0" w:color="7CBC3E"/>
            </w:tcBorders>
            <w:shd w:fill="FFFFFF" w:val="clear"/>
            <w:vAlign w:val="center"/>
          </w:tcPr>
          <w:p>
            <w:pPr>
              <w:pStyle w:val="TableContents"/>
              <w:spacing w:before="0" w:after="283"/>
              <w:jc w:val="left"/>
              <w:rPr>
                <w:color w:val="7CBC3E"/>
              </w:rPr>
            </w:pPr>
            <w:r>
              <w:rPr>
                <w:color w:val="7CBC3E"/>
              </w:rPr>
              <w:t> </w:t>
            </w:r>
          </w:p>
        </w:tc>
        <w:tc>
          <w:tcPr>
            <w:tcW w:w="60" w:type="dxa"/>
            <w:tcBorders>
              <w:bottom w:val="single" w:sz="12" w:space="0" w:color="7CBC3E"/>
            </w:tcBorders>
            <w:shd w:fill="FFFFFF" w:val="clear"/>
            <w:vAlign w:val="center"/>
          </w:tcPr>
          <w:p>
            <w:pPr>
              <w:pStyle w:val="TableContents"/>
              <w:spacing w:before="0" w:after="283"/>
              <w:rPr>
                <w:color w:val="7CBC3E"/>
              </w:rPr>
            </w:pPr>
            <w:r>
              <w:rPr>
                <w:color w:val="7CBC3E"/>
              </w:rPr>
              <w:t> </w:t>
            </w:r>
          </w:p>
        </w:tc>
        <w:tc>
          <w:tcPr>
            <w:tcW w:w="1128" w:type="dxa"/>
            <w:tcBorders>
              <w:bottom w:val="single" w:sz="12" w:space="0" w:color="7CBC3E"/>
            </w:tcBorders>
            <w:shd w:fill="FFFFFF" w:val="clear"/>
            <w:vAlign w:val="center"/>
          </w:tcPr>
          <w:p>
            <w:pPr>
              <w:pStyle w:val="TableContents"/>
              <w:spacing w:before="0" w:after="283"/>
              <w:jc w:val="right"/>
              <w:rPr>
                <w:b/>
                <w:color w:val="7CBC3E"/>
              </w:rPr>
            </w:pPr>
            <w:r>
              <w:rPr>
                <w:b/>
                <w:color w:val="7CBC3E"/>
              </w:rPr>
              <w:t>$</w:t>
            </w:r>
          </w:p>
        </w:tc>
        <w:tc>
          <w:tcPr>
            <w:tcW w:w="1307" w:type="dxa"/>
            <w:tcBorders>
              <w:bottom w:val="single" w:sz="12" w:space="0" w:color="7CBC3E"/>
            </w:tcBorders>
            <w:shd w:fill="FFFFFF" w:val="clear"/>
            <w:vAlign w:val="center"/>
          </w:tcPr>
          <w:p>
            <w:pPr>
              <w:pStyle w:val="TableContents"/>
              <w:spacing w:before="0" w:after="283"/>
              <w:jc w:val="right"/>
              <w:rPr>
                <w:b/>
                <w:color w:val="7CBC3E"/>
              </w:rPr>
            </w:pPr>
            <w:r>
              <w:rPr>
                <w:b/>
                <w:color w:val="7CBC3E"/>
              </w:rPr>
              <w:t>9,499,542</w:t>
            </w:r>
          </w:p>
        </w:tc>
      </w:tr>
    </w:tbl>
    <w:p>
      <w:pPr>
        <w:pStyle w:val="TextBody"/>
        <w:jc w:val="both"/>
        <w:rPr>
          <w:caps w:val="false"/>
          <w:smallCaps w:val="false"/>
        </w:rPr>
      </w:pPr>
      <w:r>
        <w:rPr>
          <w:caps w:val="false"/>
          <w:smallCaps w:val="false"/>
        </w:rPr>
        <w:t> </w:t>
      </w:r>
    </w:p>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Dr. Camille L. Bedrosian</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describes the potential payments upon employment termination for Camille Bedrosian, our Chief Medical Officer and Executive Vice President, as if her employment terminated as of December 31, 2022, the last business day of the fiscal year. Qualifying termination includes a termination by the Company without cause or a resignation by Dr. Bedrosian due to a constructive termination.</w:t>
      </w:r>
    </w:p>
    <w:p>
      <w:pPr>
        <w:pStyle w:val="TextBody"/>
        <w:jc w:val="both"/>
        <w:rPr>
          <w:caps w:val="false"/>
          <w:smallCaps w:val="false"/>
        </w:rPr>
      </w:pPr>
      <w:r>
        <w:rPr>
          <w:caps w:val="false"/>
          <w:smallCaps w:val="false"/>
        </w:rPr>
        <w:t> </w:t>
      </w:r>
    </w:p>
    <w:tbl>
      <w:tblPr>
        <w:tblW w:w="7860" w:type="dxa"/>
        <w:jc w:val="left"/>
        <w:tblInd w:w="0" w:type="dxa"/>
        <w:tblCellMar>
          <w:top w:w="0" w:type="dxa"/>
          <w:left w:w="0" w:type="dxa"/>
          <w:bottom w:w="28" w:type="dxa"/>
          <w:right w:w="0" w:type="dxa"/>
        </w:tblCellMar>
      </w:tblPr>
      <w:tblGrid>
        <w:gridCol w:w="3950"/>
        <w:gridCol w:w="60"/>
        <w:gridCol w:w="161"/>
        <w:gridCol w:w="1134"/>
        <w:gridCol w:w="60"/>
        <w:gridCol w:w="60"/>
        <w:gridCol w:w="1128"/>
        <w:gridCol w:w="1307"/>
      </w:tblGrid>
      <w:tr>
        <w:trPr/>
        <w:tc>
          <w:tcPr>
            <w:tcW w:w="3950" w:type="dxa"/>
            <w:tcBorders>
              <w:bottom w:val="single" w:sz="12" w:space="0" w:color="7CBC3E"/>
            </w:tcBorders>
            <w:shd w:fill="auto" w:val="clear"/>
            <w:vAlign w:val="center"/>
          </w:tcPr>
          <w:p>
            <w:pPr>
              <w:pStyle w:val="TableContents"/>
              <w:spacing w:before="0" w:after="283"/>
              <w:rPr>
                <w:b/>
              </w:rPr>
            </w:pPr>
            <w:r>
              <w:rPr>
                <w:b/>
              </w:rPr>
              <w:t>Potential Payments Upon Termination</w:t>
              <w:br/>
              <w:t>or Change of Control</w:t>
            </w:r>
          </w:p>
        </w:tc>
        <w:tc>
          <w:tcPr>
            <w:tcW w:w="60" w:type="dxa"/>
            <w:tcBorders>
              <w:bottom w:val="single" w:sz="12" w:space="0" w:color="7CBC3E"/>
            </w:tcBorders>
            <w:shd w:fill="auto" w:val="clear"/>
            <w:vAlign w:val="center"/>
          </w:tcPr>
          <w:p>
            <w:pPr>
              <w:pStyle w:val="TableContents"/>
              <w:spacing w:before="0" w:after="283"/>
              <w:rPr/>
            </w:pPr>
            <w:r>
              <w:rPr/>
              <w:t> </w:t>
            </w:r>
          </w:p>
        </w:tc>
        <w:tc>
          <w:tcPr>
            <w:tcW w:w="1295" w:type="dxa"/>
            <w:gridSpan w:val="2"/>
            <w:tcBorders>
              <w:bottom w:val="single" w:sz="12" w:space="0" w:color="7CBC3E"/>
            </w:tcBorders>
            <w:shd w:fill="auto" w:val="clear"/>
            <w:vAlign w:val="center"/>
          </w:tcPr>
          <w:p>
            <w:pPr>
              <w:pStyle w:val="TableContents"/>
              <w:spacing w:before="0" w:after="283"/>
              <w:jc w:val="right"/>
              <w:rPr>
                <w:b/>
              </w:rPr>
            </w:pPr>
            <w:r>
              <w:rPr>
                <w:b/>
              </w:rPr>
              <w:t>Qualifying</w:t>
              <w:br/>
              <w:t>Termination</w:t>
            </w:r>
          </w:p>
        </w:tc>
        <w:tc>
          <w:tcPr>
            <w:tcW w:w="60" w:type="dxa"/>
            <w:tcBorders>
              <w:bottom w:val="single" w:sz="12" w:space="0" w:color="7CBC3E"/>
            </w:tcBorders>
            <w:shd w:fill="auto" w:val="clear"/>
            <w:vAlign w:val="center"/>
          </w:tcPr>
          <w:p>
            <w:pPr>
              <w:pStyle w:val="TableContents"/>
              <w:spacing w:before="0" w:after="283"/>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2435" w:type="dxa"/>
            <w:gridSpan w:val="2"/>
            <w:tcBorders>
              <w:bottom w:val="single" w:sz="12" w:space="0" w:color="7CBC3E"/>
            </w:tcBorders>
            <w:shd w:fill="auto" w:val="clear"/>
            <w:vAlign w:val="center"/>
          </w:tcPr>
          <w:p>
            <w:pPr>
              <w:pStyle w:val="TableContents"/>
              <w:spacing w:before="0" w:after="283"/>
              <w:jc w:val="right"/>
              <w:rPr>
                <w:b/>
              </w:rPr>
            </w:pPr>
            <w:r>
              <w:rPr>
                <w:b/>
              </w:rPr>
              <w:t>Qualifying Termination</w:t>
              <w:br/>
              <w:t>following a Covered</w:t>
              <w:br/>
              <w:t>Transaction</w:t>
            </w:r>
          </w:p>
        </w:tc>
      </w:tr>
      <w:tr>
        <w:trPr/>
        <w:tc>
          <w:tcPr>
            <w:tcW w:w="3950" w:type="dxa"/>
            <w:tcBorders/>
            <w:shd w:fill="auto" w:val="clear"/>
            <w:tcMar>
              <w:bottom w:w="0" w:type="dxa"/>
            </w:tcMar>
            <w:vAlign w:val="center"/>
          </w:tcPr>
          <w:p>
            <w:pPr>
              <w:pStyle w:val="TableContents"/>
              <w:spacing w:before="0" w:after="283"/>
              <w:jc w:val="left"/>
              <w:rPr/>
            </w:pPr>
            <w:r>
              <w:rPr/>
              <w:t>Base Salary</w:t>
            </w:r>
          </w:p>
        </w:tc>
        <w:tc>
          <w:tcPr>
            <w:tcW w:w="60" w:type="dxa"/>
            <w:tcBorders/>
            <w:shd w:fill="auto" w:val="clear"/>
            <w:tcMar>
              <w:bottom w:w="0" w:type="dxa"/>
            </w:tcMar>
            <w:vAlign w:val="center"/>
          </w:tcPr>
          <w:p>
            <w:pPr>
              <w:pStyle w:val="TableContents"/>
              <w:spacing w:before="0" w:after="283"/>
              <w:rPr/>
            </w:pPr>
            <w:r>
              <w:rPr/>
              <w:t> </w:t>
            </w:r>
          </w:p>
        </w:tc>
        <w:tc>
          <w:tcPr>
            <w:tcW w:w="161" w:type="dxa"/>
            <w:tcBorders/>
            <w:shd w:fill="auto" w:val="clear"/>
            <w:tcMar>
              <w:bottom w:w="0" w:type="dxa"/>
            </w:tcMar>
            <w:vAlign w:val="center"/>
          </w:tcPr>
          <w:p>
            <w:pPr>
              <w:pStyle w:val="TableContents"/>
              <w:spacing w:before="0" w:after="283"/>
              <w:jc w:val="left"/>
              <w:rPr/>
            </w:pPr>
            <w:r>
              <w:rPr/>
              <w:t>$</w:t>
            </w:r>
          </w:p>
        </w:tc>
        <w:tc>
          <w:tcPr>
            <w:tcW w:w="1134" w:type="dxa"/>
            <w:tcBorders/>
            <w:shd w:fill="auto" w:val="clear"/>
            <w:tcMar>
              <w:bottom w:w="0" w:type="dxa"/>
            </w:tcMar>
            <w:vAlign w:val="center"/>
          </w:tcPr>
          <w:p>
            <w:pPr>
              <w:pStyle w:val="TableContents"/>
              <w:spacing w:before="0" w:after="283"/>
              <w:jc w:val="right"/>
              <w:rPr/>
            </w:pPr>
            <w:r>
              <w:rPr/>
              <w:t>600,000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128" w:type="dxa"/>
            <w:tcBorders/>
            <w:shd w:fill="auto" w:val="clear"/>
            <w:tcMar>
              <w:bottom w:w="0" w:type="dxa"/>
            </w:tcMar>
            <w:vAlign w:val="center"/>
          </w:tcPr>
          <w:p>
            <w:pPr>
              <w:pStyle w:val="TableContents"/>
              <w:spacing w:before="0" w:after="283"/>
              <w:jc w:val="right"/>
              <w:rPr/>
            </w:pPr>
            <w:r>
              <w:rPr/>
              <w:t>            </w:t>
            </w:r>
            <w:r>
              <w:rPr/>
              <w:t>$</w:t>
            </w:r>
          </w:p>
        </w:tc>
        <w:tc>
          <w:tcPr>
            <w:tcW w:w="1307" w:type="dxa"/>
            <w:tcBorders/>
            <w:shd w:fill="auto" w:val="clear"/>
            <w:tcMar>
              <w:bottom w:w="0" w:type="dxa"/>
            </w:tcMar>
            <w:vAlign w:val="center"/>
          </w:tcPr>
          <w:p>
            <w:pPr>
              <w:pStyle w:val="TableContents"/>
              <w:spacing w:before="0" w:after="283"/>
              <w:jc w:val="right"/>
              <w:rPr/>
            </w:pPr>
            <w:r>
              <w:rPr/>
              <w:t>900,000</w:t>
            </w:r>
          </w:p>
        </w:tc>
      </w:tr>
      <w:tr>
        <w:trPr/>
        <w:tc>
          <w:tcPr>
            <w:tcW w:w="3950" w:type="dxa"/>
            <w:tcBorders/>
            <w:shd w:fill="EFF6EA" w:val="clear"/>
            <w:tcMar>
              <w:bottom w:w="0" w:type="dxa"/>
            </w:tcMar>
            <w:vAlign w:val="center"/>
          </w:tcPr>
          <w:p>
            <w:pPr>
              <w:pStyle w:val="TableContents"/>
              <w:spacing w:before="0" w:after="283"/>
              <w:rPr/>
            </w:pPr>
            <w:r>
              <w:rPr/>
              <w:t>Bonus</w:t>
            </w:r>
          </w:p>
        </w:tc>
        <w:tc>
          <w:tcPr>
            <w:tcW w:w="60" w:type="dxa"/>
            <w:tcBorders/>
            <w:shd w:fill="EFF6EA" w:val="clear"/>
            <w:tcMar>
              <w:bottom w:w="0" w:type="dxa"/>
            </w:tcMar>
            <w:vAlign w:val="center"/>
          </w:tcPr>
          <w:p>
            <w:pPr>
              <w:pStyle w:val="TableContents"/>
              <w:spacing w:before="0" w:after="283"/>
              <w:rPr/>
            </w:pPr>
            <w:r>
              <w:rPr/>
              <w:t> </w:t>
            </w:r>
          </w:p>
        </w:tc>
        <w:tc>
          <w:tcPr>
            <w:tcW w:w="161" w:type="dxa"/>
            <w:tcBorders/>
            <w:shd w:fill="EFF6EA" w:val="clear"/>
            <w:tcMar>
              <w:bottom w:w="0" w:type="dxa"/>
            </w:tcMar>
            <w:vAlign w:val="center"/>
          </w:tcPr>
          <w:p>
            <w:pPr>
              <w:pStyle w:val="TableContents"/>
              <w:spacing w:before="0" w:after="283"/>
              <w:jc w:val="left"/>
              <w:rPr/>
            </w:pPr>
            <w:r>
              <w:rPr/>
              <w:t> </w:t>
            </w:r>
          </w:p>
        </w:tc>
        <w:tc>
          <w:tcPr>
            <w:tcW w:w="1134" w:type="dxa"/>
            <w:tcBorders/>
            <w:shd w:fill="EFF6EA" w:val="clear"/>
            <w:tcMar>
              <w:bottom w:w="0" w:type="dxa"/>
            </w:tcMar>
            <w:vAlign w:val="center"/>
          </w:tcPr>
          <w:p>
            <w:pPr>
              <w:pStyle w:val="TableContents"/>
              <w:spacing w:before="0" w:after="283"/>
              <w:jc w:val="right"/>
              <w:rPr/>
            </w:pPr>
            <w:r>
              <w:rPr/>
              <w:t>300,000</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128" w:type="dxa"/>
            <w:tcBorders/>
            <w:shd w:fill="EFF6EA" w:val="clear"/>
            <w:tcMar>
              <w:bottom w:w="0" w:type="dxa"/>
            </w:tcMar>
            <w:vAlign w:val="center"/>
          </w:tcPr>
          <w:p>
            <w:pPr>
              <w:pStyle w:val="TableContents"/>
              <w:spacing w:before="0" w:after="283"/>
              <w:jc w:val="right"/>
              <w:rPr/>
            </w:pPr>
            <w:r>
              <w:rPr/>
              <w:t> </w:t>
            </w:r>
          </w:p>
        </w:tc>
        <w:tc>
          <w:tcPr>
            <w:tcW w:w="1307" w:type="dxa"/>
            <w:tcBorders/>
            <w:shd w:fill="EFF6EA" w:val="clear"/>
            <w:tcMar>
              <w:bottom w:w="0" w:type="dxa"/>
            </w:tcMar>
            <w:vAlign w:val="center"/>
          </w:tcPr>
          <w:p>
            <w:pPr>
              <w:pStyle w:val="TableContents"/>
              <w:spacing w:before="0" w:after="283"/>
              <w:jc w:val="right"/>
              <w:rPr/>
            </w:pPr>
            <w:r>
              <w:rPr/>
              <w:t>450,000</w:t>
            </w:r>
          </w:p>
        </w:tc>
      </w:tr>
      <w:tr>
        <w:trPr/>
        <w:tc>
          <w:tcPr>
            <w:tcW w:w="3950" w:type="dxa"/>
            <w:tcBorders/>
            <w:shd w:fill="FFFFFF" w:val="clear"/>
            <w:tcMar>
              <w:bottom w:w="0" w:type="dxa"/>
            </w:tcMar>
            <w:vAlign w:val="center"/>
          </w:tcPr>
          <w:p>
            <w:pPr>
              <w:pStyle w:val="TableContents"/>
              <w:spacing w:before="0" w:after="283"/>
              <w:jc w:val="left"/>
              <w:rPr/>
            </w:pPr>
            <w:r>
              <w:rPr/>
              <w:t>Acceleration of equity awards</w:t>
            </w:r>
          </w:p>
        </w:tc>
        <w:tc>
          <w:tcPr>
            <w:tcW w:w="60" w:type="dxa"/>
            <w:tcBorders/>
            <w:shd w:fill="FFFFFF" w:val="clear"/>
            <w:tcMar>
              <w:bottom w:w="0" w:type="dxa"/>
            </w:tcMar>
            <w:vAlign w:val="center"/>
          </w:tcPr>
          <w:p>
            <w:pPr>
              <w:pStyle w:val="TableContents"/>
              <w:spacing w:before="0" w:after="283"/>
              <w:rPr/>
            </w:pPr>
            <w:r>
              <w:rPr/>
              <w:t> </w:t>
            </w:r>
          </w:p>
        </w:tc>
        <w:tc>
          <w:tcPr>
            <w:tcW w:w="161" w:type="dxa"/>
            <w:tcBorders/>
            <w:shd w:fill="FFFFFF" w:val="clear"/>
            <w:tcMar>
              <w:bottom w:w="0" w:type="dxa"/>
            </w:tcMar>
            <w:vAlign w:val="center"/>
          </w:tcPr>
          <w:p>
            <w:pPr>
              <w:pStyle w:val="TableContents"/>
              <w:spacing w:before="0" w:after="283"/>
              <w:jc w:val="left"/>
              <w:rPr/>
            </w:pPr>
            <w:r>
              <w:rPr/>
              <w:t> </w:t>
            </w:r>
          </w:p>
        </w:tc>
        <w:tc>
          <w:tcPr>
            <w:tcW w:w="1134" w:type="dxa"/>
            <w:tcBorders/>
            <w:shd w:fill="FFFFFF" w:val="clear"/>
            <w:tcMar>
              <w:bottom w:w="0" w:type="dxa"/>
            </w:tcMar>
            <w:vAlign w:val="center"/>
          </w:tcPr>
          <w:p>
            <w:pPr>
              <w:pStyle w:val="TableContents"/>
              <w:spacing w:before="0" w:after="283"/>
              <w:jc w:val="right"/>
              <w:rPr/>
            </w:pPr>
            <w:r>
              <w:rPr/>
              <w:t>514,865</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28" w:type="dxa"/>
            <w:tcBorders/>
            <w:shd w:fill="FFFFFF" w:val="clear"/>
            <w:tcMar>
              <w:bottom w:w="0" w:type="dxa"/>
            </w:tcMar>
            <w:vAlign w:val="center"/>
          </w:tcPr>
          <w:p>
            <w:pPr>
              <w:pStyle w:val="TableContents"/>
              <w:spacing w:before="0" w:after="283"/>
              <w:jc w:val="right"/>
              <w:rPr/>
            </w:pPr>
            <w:r>
              <w:rPr/>
              <w:t> </w:t>
            </w:r>
          </w:p>
        </w:tc>
        <w:tc>
          <w:tcPr>
            <w:tcW w:w="1307" w:type="dxa"/>
            <w:tcBorders/>
            <w:shd w:fill="FFFFFF" w:val="clear"/>
            <w:tcMar>
              <w:bottom w:w="0" w:type="dxa"/>
            </w:tcMar>
            <w:vAlign w:val="center"/>
          </w:tcPr>
          <w:p>
            <w:pPr>
              <w:pStyle w:val="TableContents"/>
              <w:spacing w:before="0" w:after="283"/>
              <w:jc w:val="right"/>
              <w:rPr/>
            </w:pPr>
            <w:r>
              <w:rPr/>
              <w:t>1,912,873</w:t>
            </w:r>
          </w:p>
        </w:tc>
      </w:tr>
      <w:tr>
        <w:trPr/>
        <w:tc>
          <w:tcPr>
            <w:tcW w:w="3950" w:type="dxa"/>
            <w:tcBorders>
              <w:bottom w:val="single" w:sz="2" w:space="0" w:color="7CBC3E"/>
            </w:tcBorders>
            <w:shd w:fill="EFF6EA" w:val="clear"/>
            <w:vAlign w:val="center"/>
          </w:tcPr>
          <w:p>
            <w:pPr>
              <w:pStyle w:val="TableContents"/>
              <w:spacing w:before="0" w:after="283"/>
              <w:jc w:val="left"/>
              <w:rPr/>
            </w:pPr>
            <w:r>
              <w:rPr/>
              <w:t>COBRA reimbursements</w:t>
            </w:r>
          </w:p>
        </w:tc>
        <w:tc>
          <w:tcPr>
            <w:tcW w:w="60" w:type="dxa"/>
            <w:tcBorders>
              <w:bottom w:val="single" w:sz="2" w:space="0" w:color="7CBC3E"/>
            </w:tcBorders>
            <w:shd w:fill="EFF6EA" w:val="clear"/>
            <w:vAlign w:val="center"/>
          </w:tcPr>
          <w:p>
            <w:pPr>
              <w:pStyle w:val="TableContents"/>
              <w:spacing w:before="0" w:after="283"/>
              <w:rPr/>
            </w:pPr>
            <w:r>
              <w:rPr/>
              <w:t> </w:t>
            </w:r>
          </w:p>
        </w:tc>
        <w:tc>
          <w:tcPr>
            <w:tcW w:w="161" w:type="dxa"/>
            <w:tcBorders>
              <w:bottom w:val="single" w:sz="2" w:space="0" w:color="7CBC3E"/>
            </w:tcBorders>
            <w:shd w:fill="EFF6EA" w:val="clear"/>
            <w:vAlign w:val="center"/>
          </w:tcPr>
          <w:p>
            <w:pPr>
              <w:pStyle w:val="TableContents"/>
              <w:spacing w:before="0" w:after="283"/>
              <w:jc w:val="left"/>
              <w:rPr/>
            </w:pPr>
            <w:r>
              <w:rPr/>
              <w:t> </w:t>
            </w:r>
          </w:p>
        </w:tc>
        <w:tc>
          <w:tcPr>
            <w:tcW w:w="1134" w:type="dxa"/>
            <w:tcBorders>
              <w:bottom w:val="single" w:sz="2" w:space="0" w:color="7CBC3E"/>
            </w:tcBorders>
            <w:shd w:fill="EFF6EA" w:val="clear"/>
            <w:vAlign w:val="center"/>
          </w:tcPr>
          <w:p>
            <w:pPr>
              <w:pStyle w:val="TableContents"/>
              <w:spacing w:before="0" w:after="283"/>
              <w:jc w:val="right"/>
              <w:rPr/>
            </w:pPr>
            <w:r>
              <w:rPr/>
              <w:t>12,219</w:t>
            </w:r>
          </w:p>
        </w:tc>
        <w:tc>
          <w:tcPr>
            <w:tcW w:w="60" w:type="dxa"/>
            <w:tcBorders>
              <w:bottom w:val="single" w:sz="2" w:space="0" w:color="7CBC3E"/>
            </w:tcBorders>
            <w:shd w:fill="EFF6EA" w:val="clear"/>
            <w:vAlign w:val="center"/>
          </w:tcPr>
          <w:p>
            <w:pPr>
              <w:pStyle w:val="TableContents"/>
              <w:spacing w:before="0" w:after="283"/>
              <w:jc w:val="left"/>
              <w:rPr/>
            </w:pPr>
            <w:r>
              <w:rPr/>
              <w:t> </w:t>
            </w:r>
          </w:p>
        </w:tc>
        <w:tc>
          <w:tcPr>
            <w:tcW w:w="60" w:type="dxa"/>
            <w:tcBorders>
              <w:bottom w:val="single" w:sz="2" w:space="0" w:color="7CBC3E"/>
            </w:tcBorders>
            <w:shd w:fill="EFF6EA" w:val="clear"/>
            <w:vAlign w:val="center"/>
          </w:tcPr>
          <w:p>
            <w:pPr>
              <w:pStyle w:val="TableContents"/>
              <w:spacing w:before="0" w:after="283"/>
              <w:rPr/>
            </w:pPr>
            <w:r>
              <w:rPr/>
              <w:t> </w:t>
            </w:r>
          </w:p>
        </w:tc>
        <w:tc>
          <w:tcPr>
            <w:tcW w:w="1128" w:type="dxa"/>
            <w:tcBorders>
              <w:bottom w:val="single" w:sz="2" w:space="0" w:color="7CBC3E"/>
            </w:tcBorders>
            <w:shd w:fill="EFF6EA" w:val="clear"/>
            <w:vAlign w:val="center"/>
          </w:tcPr>
          <w:p>
            <w:pPr>
              <w:pStyle w:val="TableContents"/>
              <w:spacing w:before="0" w:after="283"/>
              <w:jc w:val="right"/>
              <w:rPr/>
            </w:pPr>
            <w:r>
              <w:rPr/>
              <w:t> </w:t>
            </w:r>
          </w:p>
        </w:tc>
        <w:tc>
          <w:tcPr>
            <w:tcW w:w="1307" w:type="dxa"/>
            <w:tcBorders>
              <w:bottom w:val="single" w:sz="2" w:space="0" w:color="7CBC3E"/>
            </w:tcBorders>
            <w:shd w:fill="EFF6EA" w:val="clear"/>
            <w:vAlign w:val="center"/>
          </w:tcPr>
          <w:p>
            <w:pPr>
              <w:pStyle w:val="TableContents"/>
              <w:spacing w:before="0" w:after="283"/>
              <w:jc w:val="right"/>
              <w:rPr/>
            </w:pPr>
            <w:r>
              <w:rPr/>
              <w:t>18,329</w:t>
            </w:r>
          </w:p>
        </w:tc>
      </w:tr>
      <w:tr>
        <w:trPr/>
        <w:tc>
          <w:tcPr>
            <w:tcW w:w="3950" w:type="dxa"/>
            <w:tcBorders>
              <w:bottom w:val="single" w:sz="12" w:space="0" w:color="7CBC3E"/>
            </w:tcBorders>
            <w:shd w:fill="FFFFFF" w:val="clear"/>
            <w:vAlign w:val="center"/>
          </w:tcPr>
          <w:p>
            <w:pPr>
              <w:pStyle w:val="TableContents"/>
              <w:spacing w:before="0" w:after="283"/>
              <w:rPr>
                <w:b/>
                <w:color w:val="7CBC3E"/>
              </w:rPr>
            </w:pPr>
            <w:r>
              <w:rPr>
                <w:b/>
                <w:color w:val="7CBC3E"/>
              </w:rPr>
              <w:t>TOTAL</w:t>
            </w:r>
          </w:p>
        </w:tc>
        <w:tc>
          <w:tcPr>
            <w:tcW w:w="60" w:type="dxa"/>
            <w:tcBorders>
              <w:bottom w:val="single" w:sz="12" w:space="0" w:color="7CBC3E"/>
            </w:tcBorders>
            <w:shd w:fill="FFFFFF" w:val="clear"/>
            <w:vAlign w:val="center"/>
          </w:tcPr>
          <w:p>
            <w:pPr>
              <w:pStyle w:val="TableContents"/>
              <w:spacing w:before="0" w:after="283"/>
              <w:rPr>
                <w:color w:val="7CBC3E"/>
              </w:rPr>
            </w:pPr>
            <w:r>
              <w:rPr>
                <w:color w:val="7CBC3E"/>
              </w:rPr>
              <w:t> </w:t>
            </w:r>
          </w:p>
        </w:tc>
        <w:tc>
          <w:tcPr>
            <w:tcW w:w="161" w:type="dxa"/>
            <w:tcBorders>
              <w:bottom w:val="single" w:sz="12" w:space="0" w:color="7CBC3E"/>
            </w:tcBorders>
            <w:shd w:fill="FFFFFF" w:val="clear"/>
            <w:vAlign w:val="center"/>
          </w:tcPr>
          <w:p>
            <w:pPr>
              <w:pStyle w:val="TableContents"/>
              <w:spacing w:before="0" w:after="283"/>
              <w:jc w:val="left"/>
              <w:rPr>
                <w:b/>
                <w:color w:val="7CBC3E"/>
              </w:rPr>
            </w:pPr>
            <w:r>
              <w:rPr>
                <w:b/>
                <w:color w:val="7CBC3E"/>
              </w:rPr>
              <w:t>$</w:t>
            </w:r>
          </w:p>
        </w:tc>
        <w:tc>
          <w:tcPr>
            <w:tcW w:w="1134" w:type="dxa"/>
            <w:tcBorders>
              <w:bottom w:val="single" w:sz="12" w:space="0" w:color="7CBC3E"/>
            </w:tcBorders>
            <w:shd w:fill="FFFFFF" w:val="clear"/>
            <w:vAlign w:val="center"/>
          </w:tcPr>
          <w:p>
            <w:pPr>
              <w:pStyle w:val="TableContents"/>
              <w:spacing w:before="0" w:after="283"/>
              <w:jc w:val="right"/>
              <w:rPr>
                <w:b/>
                <w:color w:val="7CBC3E"/>
              </w:rPr>
            </w:pPr>
            <w:r>
              <w:rPr>
                <w:b/>
                <w:color w:val="7CBC3E"/>
              </w:rPr>
              <w:t>1,427,084</w:t>
            </w:r>
          </w:p>
        </w:tc>
        <w:tc>
          <w:tcPr>
            <w:tcW w:w="60" w:type="dxa"/>
            <w:tcBorders>
              <w:bottom w:val="single" w:sz="12" w:space="0" w:color="7CBC3E"/>
            </w:tcBorders>
            <w:shd w:fill="FFFFFF" w:val="clear"/>
            <w:vAlign w:val="center"/>
          </w:tcPr>
          <w:p>
            <w:pPr>
              <w:pStyle w:val="TableContents"/>
              <w:spacing w:before="0" w:after="283"/>
              <w:jc w:val="left"/>
              <w:rPr>
                <w:color w:val="7CBC3E"/>
              </w:rPr>
            </w:pPr>
            <w:r>
              <w:rPr>
                <w:color w:val="7CBC3E"/>
              </w:rPr>
              <w:t> </w:t>
            </w:r>
          </w:p>
        </w:tc>
        <w:tc>
          <w:tcPr>
            <w:tcW w:w="60" w:type="dxa"/>
            <w:tcBorders>
              <w:bottom w:val="single" w:sz="12" w:space="0" w:color="7CBC3E"/>
            </w:tcBorders>
            <w:shd w:fill="FFFFFF" w:val="clear"/>
            <w:vAlign w:val="center"/>
          </w:tcPr>
          <w:p>
            <w:pPr>
              <w:pStyle w:val="TableContents"/>
              <w:spacing w:before="0" w:after="283"/>
              <w:rPr>
                <w:color w:val="7CBC3E"/>
              </w:rPr>
            </w:pPr>
            <w:r>
              <w:rPr>
                <w:color w:val="7CBC3E"/>
              </w:rPr>
              <w:t> </w:t>
            </w:r>
          </w:p>
        </w:tc>
        <w:tc>
          <w:tcPr>
            <w:tcW w:w="1128" w:type="dxa"/>
            <w:tcBorders>
              <w:bottom w:val="single" w:sz="12" w:space="0" w:color="7CBC3E"/>
            </w:tcBorders>
            <w:shd w:fill="FFFFFF" w:val="clear"/>
            <w:vAlign w:val="center"/>
          </w:tcPr>
          <w:p>
            <w:pPr>
              <w:pStyle w:val="TableContents"/>
              <w:spacing w:before="0" w:after="283"/>
              <w:jc w:val="right"/>
              <w:rPr>
                <w:b/>
                <w:color w:val="7CBC3E"/>
              </w:rPr>
            </w:pPr>
            <w:r>
              <w:rPr>
                <w:b/>
                <w:color w:val="7CBC3E"/>
              </w:rPr>
              <w:t>$</w:t>
            </w:r>
          </w:p>
        </w:tc>
        <w:tc>
          <w:tcPr>
            <w:tcW w:w="1307" w:type="dxa"/>
            <w:tcBorders>
              <w:bottom w:val="single" w:sz="12" w:space="0" w:color="7CBC3E"/>
            </w:tcBorders>
            <w:shd w:fill="FFFFFF" w:val="clear"/>
            <w:vAlign w:val="center"/>
          </w:tcPr>
          <w:p>
            <w:pPr>
              <w:pStyle w:val="TableContents"/>
              <w:spacing w:before="0" w:after="283"/>
              <w:jc w:val="right"/>
              <w:rPr>
                <w:b/>
                <w:color w:val="7CBC3E"/>
              </w:rPr>
            </w:pPr>
            <w:r>
              <w:rPr>
                <w:b/>
                <w:color w:val="7CBC3E"/>
              </w:rPr>
              <w:t>3,281,202</w:t>
            </w:r>
          </w:p>
        </w:tc>
      </w:tr>
    </w:tbl>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65</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Erik Harris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describes the potential payments upon employment termination for Erik Harris, our Chief Commercial Officer and Executive Vice President as if his employment terminated as of December 31, 2022, the last business day of the fiscal year. Qualifying termination includes a termination by the Company without cause or a resignation by Mr. Harris due to a constructive termination.</w:t>
      </w:r>
    </w:p>
    <w:p>
      <w:pPr>
        <w:pStyle w:val="TextBody"/>
        <w:jc w:val="both"/>
        <w:rPr>
          <w:caps w:val="false"/>
          <w:smallCaps w:val="false"/>
        </w:rPr>
      </w:pPr>
      <w:r>
        <w:rPr>
          <w:caps w:val="false"/>
          <w:smallCaps w:val="false"/>
        </w:rPr>
        <w:t> </w:t>
      </w:r>
    </w:p>
    <w:tbl>
      <w:tblPr>
        <w:tblW w:w="7860" w:type="dxa"/>
        <w:jc w:val="left"/>
        <w:tblInd w:w="0" w:type="dxa"/>
        <w:tblCellMar>
          <w:top w:w="0" w:type="dxa"/>
          <w:left w:w="0" w:type="dxa"/>
          <w:bottom w:w="28" w:type="dxa"/>
          <w:right w:w="0" w:type="dxa"/>
        </w:tblCellMar>
      </w:tblPr>
      <w:tblGrid>
        <w:gridCol w:w="3950"/>
        <w:gridCol w:w="60"/>
        <w:gridCol w:w="192"/>
        <w:gridCol w:w="1103"/>
        <w:gridCol w:w="60"/>
        <w:gridCol w:w="60"/>
        <w:gridCol w:w="1128"/>
        <w:gridCol w:w="1307"/>
      </w:tblGrid>
      <w:tr>
        <w:trPr/>
        <w:tc>
          <w:tcPr>
            <w:tcW w:w="3950" w:type="dxa"/>
            <w:tcBorders>
              <w:bottom w:val="single" w:sz="12" w:space="0" w:color="7CBC3E"/>
            </w:tcBorders>
            <w:shd w:fill="auto" w:val="clear"/>
            <w:vAlign w:val="center"/>
          </w:tcPr>
          <w:p>
            <w:pPr>
              <w:pStyle w:val="TableContents"/>
              <w:spacing w:before="0" w:after="283"/>
              <w:rPr>
                <w:b/>
              </w:rPr>
            </w:pPr>
            <w:r>
              <w:rPr>
                <w:b/>
              </w:rPr>
              <w:t>Potential Payments Upon Termination</w:t>
              <w:br/>
              <w:t>or Change of Control</w:t>
            </w:r>
          </w:p>
        </w:tc>
        <w:tc>
          <w:tcPr>
            <w:tcW w:w="60" w:type="dxa"/>
            <w:tcBorders>
              <w:bottom w:val="single" w:sz="12" w:space="0" w:color="7CBC3E"/>
            </w:tcBorders>
            <w:shd w:fill="auto" w:val="clear"/>
            <w:vAlign w:val="center"/>
          </w:tcPr>
          <w:p>
            <w:pPr>
              <w:pStyle w:val="TableContents"/>
              <w:spacing w:before="0" w:after="283"/>
              <w:rPr/>
            </w:pPr>
            <w:r>
              <w:rPr/>
              <w:t> </w:t>
            </w:r>
          </w:p>
        </w:tc>
        <w:tc>
          <w:tcPr>
            <w:tcW w:w="1295" w:type="dxa"/>
            <w:gridSpan w:val="2"/>
            <w:tcBorders>
              <w:bottom w:val="single" w:sz="12" w:space="0" w:color="7CBC3E"/>
            </w:tcBorders>
            <w:shd w:fill="auto" w:val="clear"/>
            <w:vAlign w:val="center"/>
          </w:tcPr>
          <w:p>
            <w:pPr>
              <w:pStyle w:val="TableContents"/>
              <w:spacing w:before="0" w:after="283"/>
              <w:jc w:val="right"/>
              <w:rPr>
                <w:b/>
              </w:rPr>
            </w:pPr>
            <w:r>
              <w:rPr>
                <w:b/>
              </w:rPr>
              <w:t>Qualifying</w:t>
              <w:br/>
              <w:t>Termination</w:t>
            </w:r>
          </w:p>
        </w:tc>
        <w:tc>
          <w:tcPr>
            <w:tcW w:w="60" w:type="dxa"/>
            <w:tcBorders>
              <w:bottom w:val="single" w:sz="12" w:space="0" w:color="7CBC3E"/>
            </w:tcBorders>
            <w:shd w:fill="auto" w:val="clear"/>
            <w:vAlign w:val="center"/>
          </w:tcPr>
          <w:p>
            <w:pPr>
              <w:pStyle w:val="TableContents"/>
              <w:spacing w:before="0" w:after="283"/>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2435" w:type="dxa"/>
            <w:gridSpan w:val="2"/>
            <w:tcBorders>
              <w:bottom w:val="single" w:sz="12" w:space="0" w:color="7CBC3E"/>
            </w:tcBorders>
            <w:shd w:fill="auto" w:val="clear"/>
            <w:vAlign w:val="center"/>
          </w:tcPr>
          <w:p>
            <w:pPr>
              <w:pStyle w:val="TableContents"/>
              <w:spacing w:before="0" w:after="283"/>
              <w:jc w:val="right"/>
              <w:rPr>
                <w:b/>
              </w:rPr>
            </w:pPr>
            <w:r>
              <w:rPr>
                <w:b/>
              </w:rPr>
              <w:t>Qualifying Termination</w:t>
              <w:br/>
              <w:t>following a Covered</w:t>
              <w:br/>
              <w:t>Transaction</w:t>
            </w:r>
          </w:p>
        </w:tc>
      </w:tr>
      <w:tr>
        <w:trPr/>
        <w:tc>
          <w:tcPr>
            <w:tcW w:w="3950" w:type="dxa"/>
            <w:tcBorders/>
            <w:shd w:fill="auto" w:val="clear"/>
            <w:tcMar>
              <w:bottom w:w="0" w:type="dxa"/>
            </w:tcMar>
            <w:vAlign w:val="center"/>
          </w:tcPr>
          <w:p>
            <w:pPr>
              <w:pStyle w:val="TableContents"/>
              <w:spacing w:before="0" w:after="283"/>
              <w:jc w:val="left"/>
              <w:rPr/>
            </w:pPr>
            <w:r>
              <w:rPr/>
              <w:t>Base Salary</w:t>
            </w:r>
          </w:p>
        </w:tc>
        <w:tc>
          <w:tcPr>
            <w:tcW w:w="60" w:type="dxa"/>
            <w:tcBorders/>
            <w:shd w:fill="auto" w:val="clear"/>
            <w:tcMar>
              <w:bottom w:w="0" w:type="dxa"/>
            </w:tcMar>
            <w:vAlign w:val="center"/>
          </w:tcPr>
          <w:p>
            <w:pPr>
              <w:pStyle w:val="TableContents"/>
              <w:spacing w:before="0" w:after="283"/>
              <w:rPr/>
            </w:pPr>
            <w:r>
              <w:rPr/>
              <w:t> </w:t>
            </w:r>
          </w:p>
        </w:tc>
        <w:tc>
          <w:tcPr>
            <w:tcW w:w="192" w:type="dxa"/>
            <w:tcBorders/>
            <w:shd w:fill="auto" w:val="clear"/>
            <w:tcMar>
              <w:bottom w:w="0" w:type="dxa"/>
            </w:tcMar>
            <w:vAlign w:val="center"/>
          </w:tcPr>
          <w:p>
            <w:pPr>
              <w:pStyle w:val="TableContents"/>
              <w:spacing w:before="0" w:after="283"/>
              <w:jc w:val="left"/>
              <w:rPr/>
            </w:pPr>
            <w:r>
              <w:rPr/>
              <w:t>$</w:t>
            </w:r>
          </w:p>
        </w:tc>
        <w:tc>
          <w:tcPr>
            <w:tcW w:w="1103" w:type="dxa"/>
            <w:tcBorders/>
            <w:shd w:fill="auto" w:val="clear"/>
            <w:tcMar>
              <w:bottom w:w="0" w:type="dxa"/>
            </w:tcMar>
            <w:vAlign w:val="center"/>
          </w:tcPr>
          <w:p>
            <w:pPr>
              <w:pStyle w:val="TableContents"/>
              <w:spacing w:before="0" w:after="283"/>
              <w:jc w:val="right"/>
              <w:rPr/>
            </w:pPr>
            <w:r>
              <w:rPr/>
              <w:t>569,300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128" w:type="dxa"/>
            <w:tcBorders/>
            <w:shd w:fill="auto" w:val="clear"/>
            <w:tcMar>
              <w:bottom w:w="0" w:type="dxa"/>
            </w:tcMar>
            <w:vAlign w:val="center"/>
          </w:tcPr>
          <w:p>
            <w:pPr>
              <w:pStyle w:val="TableContents"/>
              <w:spacing w:before="0" w:after="283"/>
              <w:jc w:val="right"/>
              <w:rPr/>
            </w:pPr>
            <w:r>
              <w:rPr/>
              <w:t>            </w:t>
            </w:r>
            <w:r>
              <w:rPr/>
              <w:t>$</w:t>
            </w:r>
          </w:p>
        </w:tc>
        <w:tc>
          <w:tcPr>
            <w:tcW w:w="1307" w:type="dxa"/>
            <w:tcBorders/>
            <w:shd w:fill="auto" w:val="clear"/>
            <w:tcMar>
              <w:bottom w:w="0" w:type="dxa"/>
            </w:tcMar>
            <w:vAlign w:val="center"/>
          </w:tcPr>
          <w:p>
            <w:pPr>
              <w:pStyle w:val="TableContents"/>
              <w:spacing w:before="0" w:after="283"/>
              <w:jc w:val="right"/>
              <w:rPr/>
            </w:pPr>
            <w:r>
              <w:rPr/>
              <w:t>853,950</w:t>
            </w:r>
          </w:p>
        </w:tc>
      </w:tr>
      <w:tr>
        <w:trPr/>
        <w:tc>
          <w:tcPr>
            <w:tcW w:w="3950" w:type="dxa"/>
            <w:tcBorders/>
            <w:shd w:fill="EFF6EA" w:val="clear"/>
            <w:tcMar>
              <w:bottom w:w="0" w:type="dxa"/>
            </w:tcMar>
            <w:vAlign w:val="center"/>
          </w:tcPr>
          <w:p>
            <w:pPr>
              <w:pStyle w:val="TableContents"/>
              <w:spacing w:before="0" w:after="283"/>
              <w:rPr/>
            </w:pPr>
            <w:r>
              <w:rPr/>
              <w:t>Bonus</w:t>
            </w:r>
          </w:p>
        </w:tc>
        <w:tc>
          <w:tcPr>
            <w:tcW w:w="60" w:type="dxa"/>
            <w:tcBorders/>
            <w:shd w:fill="EFF6EA" w:val="clear"/>
            <w:tcMar>
              <w:bottom w:w="0" w:type="dxa"/>
            </w:tcMar>
            <w:vAlign w:val="center"/>
          </w:tcPr>
          <w:p>
            <w:pPr>
              <w:pStyle w:val="TableContents"/>
              <w:spacing w:before="0" w:after="283"/>
              <w:rPr/>
            </w:pPr>
            <w:r>
              <w:rPr/>
              <w:t> </w:t>
            </w:r>
          </w:p>
        </w:tc>
        <w:tc>
          <w:tcPr>
            <w:tcW w:w="192" w:type="dxa"/>
            <w:tcBorders/>
            <w:shd w:fill="EFF6EA" w:val="clear"/>
            <w:tcMar>
              <w:bottom w:w="0" w:type="dxa"/>
            </w:tcMar>
            <w:vAlign w:val="center"/>
          </w:tcPr>
          <w:p>
            <w:pPr>
              <w:pStyle w:val="TableContents"/>
              <w:spacing w:before="0" w:after="283"/>
              <w:jc w:val="left"/>
              <w:rPr/>
            </w:pPr>
            <w:r>
              <w:rPr/>
              <w:t> </w:t>
            </w:r>
          </w:p>
        </w:tc>
        <w:tc>
          <w:tcPr>
            <w:tcW w:w="1103" w:type="dxa"/>
            <w:tcBorders/>
            <w:shd w:fill="EFF6EA" w:val="clear"/>
            <w:tcMar>
              <w:bottom w:w="0" w:type="dxa"/>
            </w:tcMar>
            <w:vAlign w:val="center"/>
          </w:tcPr>
          <w:p>
            <w:pPr>
              <w:pStyle w:val="TableContents"/>
              <w:spacing w:before="0" w:after="283"/>
              <w:jc w:val="right"/>
              <w:rPr/>
            </w:pPr>
            <w:r>
              <w:rPr/>
              <w:t>284,650</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128" w:type="dxa"/>
            <w:tcBorders/>
            <w:shd w:fill="EFF6EA" w:val="clear"/>
            <w:tcMar>
              <w:bottom w:w="0" w:type="dxa"/>
            </w:tcMar>
            <w:vAlign w:val="center"/>
          </w:tcPr>
          <w:p>
            <w:pPr>
              <w:pStyle w:val="TableContents"/>
              <w:spacing w:before="0" w:after="283"/>
              <w:jc w:val="right"/>
              <w:rPr/>
            </w:pPr>
            <w:r>
              <w:rPr/>
              <w:t> </w:t>
            </w:r>
          </w:p>
        </w:tc>
        <w:tc>
          <w:tcPr>
            <w:tcW w:w="1307" w:type="dxa"/>
            <w:tcBorders/>
            <w:shd w:fill="EFF6EA" w:val="clear"/>
            <w:tcMar>
              <w:bottom w:w="0" w:type="dxa"/>
            </w:tcMar>
            <w:vAlign w:val="center"/>
          </w:tcPr>
          <w:p>
            <w:pPr>
              <w:pStyle w:val="TableContents"/>
              <w:spacing w:before="0" w:after="283"/>
              <w:jc w:val="right"/>
              <w:rPr/>
            </w:pPr>
            <w:r>
              <w:rPr/>
              <w:t>426,975</w:t>
            </w:r>
          </w:p>
        </w:tc>
      </w:tr>
      <w:tr>
        <w:trPr/>
        <w:tc>
          <w:tcPr>
            <w:tcW w:w="3950" w:type="dxa"/>
            <w:tcBorders/>
            <w:shd w:fill="FFFFFF" w:val="clear"/>
            <w:tcMar>
              <w:bottom w:w="0" w:type="dxa"/>
            </w:tcMar>
            <w:vAlign w:val="center"/>
          </w:tcPr>
          <w:p>
            <w:pPr>
              <w:pStyle w:val="TableContents"/>
              <w:spacing w:before="0" w:after="283"/>
              <w:jc w:val="left"/>
              <w:rPr/>
            </w:pPr>
            <w:r>
              <w:rPr/>
              <w:t>Acceleration of equity awards</w:t>
            </w:r>
          </w:p>
        </w:tc>
        <w:tc>
          <w:tcPr>
            <w:tcW w:w="60" w:type="dxa"/>
            <w:tcBorders/>
            <w:shd w:fill="FFFFFF" w:val="clear"/>
            <w:tcMar>
              <w:bottom w:w="0" w:type="dxa"/>
            </w:tcMar>
            <w:vAlign w:val="center"/>
          </w:tcPr>
          <w:p>
            <w:pPr>
              <w:pStyle w:val="TableContents"/>
              <w:spacing w:before="0" w:after="283"/>
              <w:rPr/>
            </w:pPr>
            <w:r>
              <w:rPr/>
              <w:t> </w:t>
            </w:r>
          </w:p>
        </w:tc>
        <w:tc>
          <w:tcPr>
            <w:tcW w:w="192" w:type="dxa"/>
            <w:tcBorders/>
            <w:shd w:fill="FFFFFF" w:val="clear"/>
            <w:tcMar>
              <w:bottom w:w="0" w:type="dxa"/>
            </w:tcMar>
            <w:vAlign w:val="center"/>
          </w:tcPr>
          <w:p>
            <w:pPr>
              <w:pStyle w:val="TableContents"/>
              <w:spacing w:before="0" w:after="283"/>
              <w:jc w:val="left"/>
              <w:rPr/>
            </w:pPr>
            <w:r>
              <w:rPr/>
              <w:t> </w:t>
            </w:r>
          </w:p>
        </w:tc>
        <w:tc>
          <w:tcPr>
            <w:tcW w:w="1103"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28" w:type="dxa"/>
            <w:tcBorders/>
            <w:shd w:fill="FFFFFF" w:val="clear"/>
            <w:tcMar>
              <w:bottom w:w="0" w:type="dxa"/>
            </w:tcMar>
            <w:vAlign w:val="center"/>
          </w:tcPr>
          <w:p>
            <w:pPr>
              <w:pStyle w:val="TableContents"/>
              <w:spacing w:before="0" w:after="283"/>
              <w:jc w:val="right"/>
              <w:rPr/>
            </w:pPr>
            <w:r>
              <w:rPr/>
              <w:t> </w:t>
            </w:r>
          </w:p>
        </w:tc>
        <w:tc>
          <w:tcPr>
            <w:tcW w:w="1307" w:type="dxa"/>
            <w:tcBorders/>
            <w:shd w:fill="FFFFFF" w:val="clear"/>
            <w:tcMar>
              <w:bottom w:w="0" w:type="dxa"/>
            </w:tcMar>
            <w:vAlign w:val="center"/>
          </w:tcPr>
          <w:p>
            <w:pPr>
              <w:pStyle w:val="TableContents"/>
              <w:spacing w:before="0" w:after="283"/>
              <w:jc w:val="right"/>
              <w:rPr/>
            </w:pPr>
            <w:r>
              <w:rPr/>
              <w:t>1,930,247</w:t>
            </w:r>
          </w:p>
        </w:tc>
      </w:tr>
      <w:tr>
        <w:trPr/>
        <w:tc>
          <w:tcPr>
            <w:tcW w:w="3950" w:type="dxa"/>
            <w:tcBorders>
              <w:bottom w:val="single" w:sz="2" w:space="0" w:color="7CBC3E"/>
            </w:tcBorders>
            <w:shd w:fill="EFF6EA" w:val="clear"/>
            <w:vAlign w:val="center"/>
          </w:tcPr>
          <w:p>
            <w:pPr>
              <w:pStyle w:val="TableContents"/>
              <w:spacing w:before="0" w:after="283"/>
              <w:jc w:val="left"/>
              <w:rPr/>
            </w:pPr>
            <w:r>
              <w:rPr/>
              <w:t>COBRA reimbursements</w:t>
            </w:r>
          </w:p>
        </w:tc>
        <w:tc>
          <w:tcPr>
            <w:tcW w:w="60" w:type="dxa"/>
            <w:tcBorders>
              <w:bottom w:val="single" w:sz="2" w:space="0" w:color="7CBC3E"/>
            </w:tcBorders>
            <w:shd w:fill="EFF6EA" w:val="clear"/>
            <w:vAlign w:val="center"/>
          </w:tcPr>
          <w:p>
            <w:pPr>
              <w:pStyle w:val="TableContents"/>
              <w:spacing w:before="0" w:after="283"/>
              <w:rPr/>
            </w:pPr>
            <w:r>
              <w:rPr/>
              <w:t> </w:t>
            </w:r>
          </w:p>
        </w:tc>
        <w:tc>
          <w:tcPr>
            <w:tcW w:w="192" w:type="dxa"/>
            <w:tcBorders>
              <w:bottom w:val="single" w:sz="2" w:space="0" w:color="7CBC3E"/>
            </w:tcBorders>
            <w:shd w:fill="EFF6EA" w:val="clear"/>
            <w:vAlign w:val="center"/>
          </w:tcPr>
          <w:p>
            <w:pPr>
              <w:pStyle w:val="TableContents"/>
              <w:spacing w:before="0" w:after="283"/>
              <w:jc w:val="left"/>
              <w:rPr/>
            </w:pPr>
            <w:r>
              <w:rPr/>
              <w:t> </w:t>
            </w:r>
          </w:p>
        </w:tc>
        <w:tc>
          <w:tcPr>
            <w:tcW w:w="1103" w:type="dxa"/>
            <w:tcBorders>
              <w:bottom w:val="single" w:sz="2" w:space="0" w:color="7CBC3E"/>
            </w:tcBorders>
            <w:shd w:fill="EFF6EA" w:val="clear"/>
            <w:vAlign w:val="center"/>
          </w:tcPr>
          <w:p>
            <w:pPr>
              <w:pStyle w:val="TableContents"/>
              <w:spacing w:before="0" w:after="283"/>
              <w:jc w:val="right"/>
              <w:rPr/>
            </w:pPr>
            <w:r>
              <w:rPr/>
              <w:t>8,611</w:t>
            </w:r>
          </w:p>
        </w:tc>
        <w:tc>
          <w:tcPr>
            <w:tcW w:w="60" w:type="dxa"/>
            <w:tcBorders>
              <w:bottom w:val="single" w:sz="2" w:space="0" w:color="7CBC3E"/>
            </w:tcBorders>
            <w:shd w:fill="EFF6EA" w:val="clear"/>
            <w:vAlign w:val="center"/>
          </w:tcPr>
          <w:p>
            <w:pPr>
              <w:pStyle w:val="TableContents"/>
              <w:spacing w:before="0" w:after="283"/>
              <w:jc w:val="left"/>
              <w:rPr/>
            </w:pPr>
            <w:r>
              <w:rPr/>
              <w:t> </w:t>
            </w:r>
          </w:p>
        </w:tc>
        <w:tc>
          <w:tcPr>
            <w:tcW w:w="60" w:type="dxa"/>
            <w:tcBorders>
              <w:bottom w:val="single" w:sz="2" w:space="0" w:color="7CBC3E"/>
            </w:tcBorders>
            <w:shd w:fill="EFF6EA" w:val="clear"/>
            <w:vAlign w:val="center"/>
          </w:tcPr>
          <w:p>
            <w:pPr>
              <w:pStyle w:val="TableContents"/>
              <w:spacing w:before="0" w:after="283"/>
              <w:rPr/>
            </w:pPr>
            <w:r>
              <w:rPr/>
              <w:t> </w:t>
            </w:r>
          </w:p>
        </w:tc>
        <w:tc>
          <w:tcPr>
            <w:tcW w:w="1128" w:type="dxa"/>
            <w:tcBorders>
              <w:bottom w:val="single" w:sz="2" w:space="0" w:color="7CBC3E"/>
            </w:tcBorders>
            <w:shd w:fill="EFF6EA" w:val="clear"/>
            <w:vAlign w:val="center"/>
          </w:tcPr>
          <w:p>
            <w:pPr>
              <w:pStyle w:val="TableContents"/>
              <w:spacing w:before="0" w:after="283"/>
              <w:jc w:val="right"/>
              <w:rPr/>
            </w:pPr>
            <w:r>
              <w:rPr/>
              <w:t> </w:t>
            </w:r>
          </w:p>
        </w:tc>
        <w:tc>
          <w:tcPr>
            <w:tcW w:w="1307" w:type="dxa"/>
            <w:tcBorders>
              <w:bottom w:val="single" w:sz="2" w:space="0" w:color="7CBC3E"/>
            </w:tcBorders>
            <w:shd w:fill="EFF6EA" w:val="clear"/>
            <w:vAlign w:val="center"/>
          </w:tcPr>
          <w:p>
            <w:pPr>
              <w:pStyle w:val="TableContents"/>
              <w:spacing w:before="0" w:after="283"/>
              <w:jc w:val="right"/>
              <w:rPr/>
            </w:pPr>
            <w:r>
              <w:rPr/>
              <w:t>12,916</w:t>
            </w:r>
          </w:p>
        </w:tc>
      </w:tr>
      <w:tr>
        <w:trPr/>
        <w:tc>
          <w:tcPr>
            <w:tcW w:w="3950" w:type="dxa"/>
            <w:tcBorders>
              <w:bottom w:val="single" w:sz="12" w:space="0" w:color="7CBC3E"/>
            </w:tcBorders>
            <w:shd w:fill="FFFFFF" w:val="clear"/>
            <w:vAlign w:val="center"/>
          </w:tcPr>
          <w:p>
            <w:pPr>
              <w:pStyle w:val="TableContents"/>
              <w:spacing w:before="0" w:after="283"/>
              <w:rPr>
                <w:b/>
                <w:color w:val="7CBC3E"/>
              </w:rPr>
            </w:pPr>
            <w:r>
              <w:rPr>
                <w:b/>
                <w:color w:val="7CBC3E"/>
              </w:rPr>
              <w:t>TOTAL</w:t>
            </w:r>
          </w:p>
        </w:tc>
        <w:tc>
          <w:tcPr>
            <w:tcW w:w="60" w:type="dxa"/>
            <w:tcBorders>
              <w:bottom w:val="single" w:sz="12" w:space="0" w:color="7CBC3E"/>
            </w:tcBorders>
            <w:shd w:fill="FFFFFF" w:val="clear"/>
            <w:vAlign w:val="center"/>
          </w:tcPr>
          <w:p>
            <w:pPr>
              <w:pStyle w:val="TableContents"/>
              <w:spacing w:before="0" w:after="283"/>
              <w:rPr>
                <w:color w:val="7CBC3E"/>
              </w:rPr>
            </w:pPr>
            <w:r>
              <w:rPr>
                <w:color w:val="7CBC3E"/>
              </w:rPr>
              <w:t> </w:t>
            </w:r>
          </w:p>
        </w:tc>
        <w:tc>
          <w:tcPr>
            <w:tcW w:w="192" w:type="dxa"/>
            <w:tcBorders>
              <w:bottom w:val="single" w:sz="12" w:space="0" w:color="7CBC3E"/>
            </w:tcBorders>
            <w:shd w:fill="FFFFFF" w:val="clear"/>
            <w:vAlign w:val="center"/>
          </w:tcPr>
          <w:p>
            <w:pPr>
              <w:pStyle w:val="TableContents"/>
              <w:spacing w:before="0" w:after="283"/>
              <w:jc w:val="left"/>
              <w:rPr>
                <w:b/>
                <w:color w:val="7CBC3E"/>
              </w:rPr>
            </w:pPr>
            <w:r>
              <w:rPr>
                <w:b/>
                <w:color w:val="7CBC3E"/>
              </w:rPr>
              <w:t>$</w:t>
            </w:r>
          </w:p>
        </w:tc>
        <w:tc>
          <w:tcPr>
            <w:tcW w:w="1103" w:type="dxa"/>
            <w:tcBorders>
              <w:bottom w:val="single" w:sz="12" w:space="0" w:color="7CBC3E"/>
            </w:tcBorders>
            <w:shd w:fill="FFFFFF" w:val="clear"/>
            <w:vAlign w:val="center"/>
          </w:tcPr>
          <w:p>
            <w:pPr>
              <w:pStyle w:val="TableContents"/>
              <w:spacing w:before="0" w:after="283"/>
              <w:jc w:val="right"/>
              <w:rPr>
                <w:b/>
                <w:color w:val="7CBC3E"/>
              </w:rPr>
            </w:pPr>
            <w:r>
              <w:rPr>
                <w:b/>
                <w:color w:val="7CBC3E"/>
              </w:rPr>
              <w:t>862,561</w:t>
            </w:r>
          </w:p>
        </w:tc>
        <w:tc>
          <w:tcPr>
            <w:tcW w:w="60" w:type="dxa"/>
            <w:tcBorders>
              <w:bottom w:val="single" w:sz="12" w:space="0" w:color="7CBC3E"/>
            </w:tcBorders>
            <w:shd w:fill="FFFFFF" w:val="clear"/>
            <w:vAlign w:val="center"/>
          </w:tcPr>
          <w:p>
            <w:pPr>
              <w:pStyle w:val="TableContents"/>
              <w:spacing w:before="0" w:after="283"/>
              <w:jc w:val="left"/>
              <w:rPr>
                <w:color w:val="7CBC3E"/>
              </w:rPr>
            </w:pPr>
            <w:r>
              <w:rPr>
                <w:color w:val="7CBC3E"/>
              </w:rPr>
              <w:t> </w:t>
            </w:r>
          </w:p>
        </w:tc>
        <w:tc>
          <w:tcPr>
            <w:tcW w:w="60" w:type="dxa"/>
            <w:tcBorders>
              <w:bottom w:val="single" w:sz="12" w:space="0" w:color="7CBC3E"/>
            </w:tcBorders>
            <w:shd w:fill="FFFFFF" w:val="clear"/>
            <w:vAlign w:val="center"/>
          </w:tcPr>
          <w:p>
            <w:pPr>
              <w:pStyle w:val="TableContents"/>
              <w:spacing w:before="0" w:after="283"/>
              <w:rPr>
                <w:color w:val="7CBC3E"/>
              </w:rPr>
            </w:pPr>
            <w:r>
              <w:rPr>
                <w:color w:val="7CBC3E"/>
              </w:rPr>
              <w:t> </w:t>
            </w:r>
          </w:p>
        </w:tc>
        <w:tc>
          <w:tcPr>
            <w:tcW w:w="1128" w:type="dxa"/>
            <w:tcBorders>
              <w:bottom w:val="single" w:sz="12" w:space="0" w:color="7CBC3E"/>
            </w:tcBorders>
            <w:shd w:fill="FFFFFF" w:val="clear"/>
            <w:vAlign w:val="center"/>
          </w:tcPr>
          <w:p>
            <w:pPr>
              <w:pStyle w:val="TableContents"/>
              <w:spacing w:before="0" w:after="283"/>
              <w:jc w:val="right"/>
              <w:rPr>
                <w:b/>
                <w:color w:val="7CBC3E"/>
              </w:rPr>
            </w:pPr>
            <w:r>
              <w:rPr>
                <w:b/>
                <w:color w:val="7CBC3E"/>
              </w:rPr>
              <w:t>$</w:t>
            </w:r>
          </w:p>
        </w:tc>
        <w:tc>
          <w:tcPr>
            <w:tcW w:w="1307" w:type="dxa"/>
            <w:tcBorders>
              <w:bottom w:val="single" w:sz="12" w:space="0" w:color="7CBC3E"/>
            </w:tcBorders>
            <w:shd w:fill="FFFFFF" w:val="clear"/>
            <w:vAlign w:val="center"/>
          </w:tcPr>
          <w:p>
            <w:pPr>
              <w:pStyle w:val="TableContents"/>
              <w:spacing w:before="0" w:after="283"/>
              <w:jc w:val="right"/>
              <w:rPr>
                <w:b/>
                <w:color w:val="7CBC3E"/>
              </w:rPr>
            </w:pPr>
            <w:r>
              <w:rPr>
                <w:b/>
                <w:color w:val="7CBC3E"/>
              </w:rPr>
              <w:t>3,244,088</w:t>
            </w:r>
          </w:p>
        </w:tc>
      </w:tr>
    </w:tbl>
    <w:p>
      <w:pPr>
        <w:pStyle w:val="TextBody"/>
        <w:jc w:val="both"/>
        <w:rPr>
          <w:caps w:val="false"/>
          <w:smallCaps w:val="false"/>
        </w:rPr>
      </w:pPr>
      <w:r>
        <w:rPr>
          <w:caps w:val="false"/>
          <w:smallCaps w:val="false"/>
        </w:rPr>
        <w:t> </w:t>
      </w:r>
    </w:p>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John R. Pinion II</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describes the potential payments upon employment termination for John R. Pinion II, our Chief Quality Officer and Executive Vice President, Translational Sciences, as if his employment terminated as of December 31, 2022, the last business day of the fiscal year. Qualifying termination includes a termination by the Company without cause or a resignation by Mr. Pinion due to a constructive termination.</w:t>
      </w:r>
    </w:p>
    <w:p>
      <w:pPr>
        <w:pStyle w:val="TextBody"/>
        <w:jc w:val="both"/>
        <w:rPr>
          <w:caps w:val="false"/>
          <w:smallCaps w:val="false"/>
        </w:rPr>
      </w:pPr>
      <w:r>
        <w:rPr>
          <w:caps w:val="false"/>
          <w:smallCaps w:val="false"/>
        </w:rPr>
        <w:t> </w:t>
      </w:r>
    </w:p>
    <w:tbl>
      <w:tblPr>
        <w:tblW w:w="7860" w:type="dxa"/>
        <w:jc w:val="left"/>
        <w:tblInd w:w="0" w:type="dxa"/>
        <w:tblCellMar>
          <w:top w:w="0" w:type="dxa"/>
          <w:left w:w="0" w:type="dxa"/>
          <w:bottom w:w="28" w:type="dxa"/>
          <w:right w:w="0" w:type="dxa"/>
        </w:tblCellMar>
      </w:tblPr>
      <w:tblGrid>
        <w:gridCol w:w="3950"/>
        <w:gridCol w:w="60"/>
        <w:gridCol w:w="192"/>
        <w:gridCol w:w="1103"/>
        <w:gridCol w:w="60"/>
        <w:gridCol w:w="60"/>
        <w:gridCol w:w="1128"/>
        <w:gridCol w:w="1307"/>
      </w:tblGrid>
      <w:tr>
        <w:trPr/>
        <w:tc>
          <w:tcPr>
            <w:tcW w:w="3950" w:type="dxa"/>
            <w:tcBorders>
              <w:bottom w:val="single" w:sz="12" w:space="0" w:color="7CBC3E"/>
            </w:tcBorders>
            <w:shd w:fill="auto" w:val="clear"/>
            <w:vAlign w:val="center"/>
          </w:tcPr>
          <w:p>
            <w:pPr>
              <w:pStyle w:val="TableContents"/>
              <w:spacing w:before="0" w:after="283"/>
              <w:rPr>
                <w:b/>
              </w:rPr>
            </w:pPr>
            <w:r>
              <w:rPr>
                <w:b/>
              </w:rPr>
              <w:t>Potential Payments Upon Termination</w:t>
              <w:br/>
              <w:t>or Change of Control</w:t>
            </w:r>
          </w:p>
        </w:tc>
        <w:tc>
          <w:tcPr>
            <w:tcW w:w="60" w:type="dxa"/>
            <w:tcBorders>
              <w:bottom w:val="single" w:sz="12" w:space="0" w:color="7CBC3E"/>
            </w:tcBorders>
            <w:shd w:fill="auto" w:val="clear"/>
            <w:vAlign w:val="center"/>
          </w:tcPr>
          <w:p>
            <w:pPr>
              <w:pStyle w:val="TableContents"/>
              <w:spacing w:before="0" w:after="283"/>
              <w:rPr/>
            </w:pPr>
            <w:r>
              <w:rPr/>
              <w:t> </w:t>
            </w:r>
          </w:p>
        </w:tc>
        <w:tc>
          <w:tcPr>
            <w:tcW w:w="1295" w:type="dxa"/>
            <w:gridSpan w:val="2"/>
            <w:tcBorders>
              <w:bottom w:val="single" w:sz="12" w:space="0" w:color="7CBC3E"/>
            </w:tcBorders>
            <w:shd w:fill="auto" w:val="clear"/>
            <w:vAlign w:val="center"/>
          </w:tcPr>
          <w:p>
            <w:pPr>
              <w:pStyle w:val="TableContents"/>
              <w:spacing w:before="0" w:after="283"/>
              <w:jc w:val="right"/>
              <w:rPr>
                <w:b/>
              </w:rPr>
            </w:pPr>
            <w:r>
              <w:rPr>
                <w:b/>
              </w:rPr>
              <w:t>Qualifying</w:t>
              <w:br/>
              <w:t>Termination</w:t>
            </w:r>
          </w:p>
        </w:tc>
        <w:tc>
          <w:tcPr>
            <w:tcW w:w="60" w:type="dxa"/>
            <w:tcBorders>
              <w:bottom w:val="single" w:sz="12" w:space="0" w:color="7CBC3E"/>
            </w:tcBorders>
            <w:shd w:fill="auto" w:val="clear"/>
            <w:vAlign w:val="center"/>
          </w:tcPr>
          <w:p>
            <w:pPr>
              <w:pStyle w:val="TableContents"/>
              <w:spacing w:before="0" w:after="283"/>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2435" w:type="dxa"/>
            <w:gridSpan w:val="2"/>
            <w:tcBorders>
              <w:bottom w:val="single" w:sz="12" w:space="0" w:color="7CBC3E"/>
            </w:tcBorders>
            <w:shd w:fill="auto" w:val="clear"/>
            <w:vAlign w:val="center"/>
          </w:tcPr>
          <w:p>
            <w:pPr>
              <w:pStyle w:val="TableContents"/>
              <w:spacing w:before="0" w:after="283"/>
              <w:jc w:val="right"/>
              <w:rPr>
                <w:b/>
              </w:rPr>
            </w:pPr>
            <w:r>
              <w:rPr>
                <w:b/>
              </w:rPr>
              <w:t>Qualifying Termination</w:t>
              <w:br/>
              <w:t>following a Covered</w:t>
              <w:br/>
              <w:t>Transaction</w:t>
            </w:r>
          </w:p>
        </w:tc>
      </w:tr>
      <w:tr>
        <w:trPr/>
        <w:tc>
          <w:tcPr>
            <w:tcW w:w="3950" w:type="dxa"/>
            <w:tcBorders/>
            <w:shd w:fill="auto" w:val="clear"/>
            <w:tcMar>
              <w:bottom w:w="0" w:type="dxa"/>
            </w:tcMar>
            <w:vAlign w:val="center"/>
          </w:tcPr>
          <w:p>
            <w:pPr>
              <w:pStyle w:val="TableContents"/>
              <w:spacing w:before="0" w:after="283"/>
              <w:jc w:val="left"/>
              <w:rPr/>
            </w:pPr>
            <w:r>
              <w:rPr/>
              <w:t>Base Salary</w:t>
            </w:r>
          </w:p>
        </w:tc>
        <w:tc>
          <w:tcPr>
            <w:tcW w:w="60" w:type="dxa"/>
            <w:tcBorders/>
            <w:shd w:fill="auto" w:val="clear"/>
            <w:tcMar>
              <w:bottom w:w="0" w:type="dxa"/>
            </w:tcMar>
            <w:vAlign w:val="center"/>
          </w:tcPr>
          <w:p>
            <w:pPr>
              <w:pStyle w:val="TableContents"/>
              <w:spacing w:before="0" w:after="283"/>
              <w:rPr/>
            </w:pPr>
            <w:r>
              <w:rPr/>
              <w:t> </w:t>
            </w:r>
          </w:p>
        </w:tc>
        <w:tc>
          <w:tcPr>
            <w:tcW w:w="192" w:type="dxa"/>
            <w:tcBorders/>
            <w:shd w:fill="auto" w:val="clear"/>
            <w:tcMar>
              <w:bottom w:w="0" w:type="dxa"/>
            </w:tcMar>
            <w:vAlign w:val="center"/>
          </w:tcPr>
          <w:p>
            <w:pPr>
              <w:pStyle w:val="TableContents"/>
              <w:spacing w:before="0" w:after="283"/>
              <w:jc w:val="left"/>
              <w:rPr/>
            </w:pPr>
            <w:r>
              <w:rPr/>
              <w:t>$</w:t>
            </w:r>
          </w:p>
        </w:tc>
        <w:tc>
          <w:tcPr>
            <w:tcW w:w="1103" w:type="dxa"/>
            <w:tcBorders/>
            <w:shd w:fill="auto" w:val="clear"/>
            <w:tcMar>
              <w:bottom w:w="0" w:type="dxa"/>
            </w:tcMar>
            <w:vAlign w:val="center"/>
          </w:tcPr>
          <w:p>
            <w:pPr>
              <w:pStyle w:val="TableContents"/>
              <w:spacing w:before="0" w:after="283"/>
              <w:jc w:val="right"/>
              <w:rPr/>
            </w:pPr>
            <w:r>
              <w:rPr/>
              <w:t>536,100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128" w:type="dxa"/>
            <w:tcBorders/>
            <w:shd w:fill="auto" w:val="clear"/>
            <w:tcMar>
              <w:bottom w:w="0" w:type="dxa"/>
            </w:tcMar>
            <w:vAlign w:val="center"/>
          </w:tcPr>
          <w:p>
            <w:pPr>
              <w:pStyle w:val="TableContents"/>
              <w:spacing w:before="0" w:after="283"/>
              <w:jc w:val="right"/>
              <w:rPr/>
            </w:pPr>
            <w:r>
              <w:rPr/>
              <w:t>            </w:t>
            </w:r>
            <w:r>
              <w:rPr/>
              <w:t>$</w:t>
            </w:r>
          </w:p>
        </w:tc>
        <w:tc>
          <w:tcPr>
            <w:tcW w:w="1307" w:type="dxa"/>
            <w:tcBorders/>
            <w:shd w:fill="auto" w:val="clear"/>
            <w:tcMar>
              <w:bottom w:w="0" w:type="dxa"/>
            </w:tcMar>
            <w:vAlign w:val="center"/>
          </w:tcPr>
          <w:p>
            <w:pPr>
              <w:pStyle w:val="TableContents"/>
              <w:spacing w:before="0" w:after="283"/>
              <w:jc w:val="right"/>
              <w:rPr/>
            </w:pPr>
            <w:r>
              <w:rPr/>
              <w:t>804,150</w:t>
            </w:r>
          </w:p>
        </w:tc>
      </w:tr>
      <w:tr>
        <w:trPr/>
        <w:tc>
          <w:tcPr>
            <w:tcW w:w="3950" w:type="dxa"/>
            <w:tcBorders/>
            <w:shd w:fill="EFF6EA" w:val="clear"/>
            <w:tcMar>
              <w:bottom w:w="0" w:type="dxa"/>
            </w:tcMar>
            <w:vAlign w:val="center"/>
          </w:tcPr>
          <w:p>
            <w:pPr>
              <w:pStyle w:val="TableContents"/>
              <w:spacing w:before="0" w:after="283"/>
              <w:rPr/>
            </w:pPr>
            <w:r>
              <w:rPr/>
              <w:t>Bonus</w:t>
            </w:r>
          </w:p>
        </w:tc>
        <w:tc>
          <w:tcPr>
            <w:tcW w:w="60" w:type="dxa"/>
            <w:tcBorders/>
            <w:shd w:fill="EFF6EA" w:val="clear"/>
            <w:tcMar>
              <w:bottom w:w="0" w:type="dxa"/>
            </w:tcMar>
            <w:vAlign w:val="center"/>
          </w:tcPr>
          <w:p>
            <w:pPr>
              <w:pStyle w:val="TableContents"/>
              <w:spacing w:before="0" w:after="283"/>
              <w:rPr/>
            </w:pPr>
            <w:r>
              <w:rPr/>
              <w:t> </w:t>
            </w:r>
          </w:p>
        </w:tc>
        <w:tc>
          <w:tcPr>
            <w:tcW w:w="192" w:type="dxa"/>
            <w:tcBorders/>
            <w:shd w:fill="EFF6EA" w:val="clear"/>
            <w:tcMar>
              <w:bottom w:w="0" w:type="dxa"/>
            </w:tcMar>
            <w:vAlign w:val="center"/>
          </w:tcPr>
          <w:p>
            <w:pPr>
              <w:pStyle w:val="TableContents"/>
              <w:spacing w:before="0" w:after="283"/>
              <w:jc w:val="left"/>
              <w:rPr/>
            </w:pPr>
            <w:r>
              <w:rPr/>
              <w:t> </w:t>
            </w:r>
          </w:p>
        </w:tc>
        <w:tc>
          <w:tcPr>
            <w:tcW w:w="1103" w:type="dxa"/>
            <w:tcBorders/>
            <w:shd w:fill="EFF6EA" w:val="clear"/>
            <w:tcMar>
              <w:bottom w:w="0" w:type="dxa"/>
            </w:tcMar>
            <w:vAlign w:val="center"/>
          </w:tcPr>
          <w:p>
            <w:pPr>
              <w:pStyle w:val="TableContents"/>
              <w:spacing w:before="0" w:after="283"/>
              <w:jc w:val="right"/>
              <w:rPr/>
            </w:pPr>
            <w:r>
              <w:rPr/>
              <w:t>268,050</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128" w:type="dxa"/>
            <w:tcBorders/>
            <w:shd w:fill="EFF6EA" w:val="clear"/>
            <w:tcMar>
              <w:bottom w:w="0" w:type="dxa"/>
            </w:tcMar>
            <w:vAlign w:val="center"/>
          </w:tcPr>
          <w:p>
            <w:pPr>
              <w:pStyle w:val="TableContents"/>
              <w:spacing w:before="0" w:after="283"/>
              <w:jc w:val="right"/>
              <w:rPr/>
            </w:pPr>
            <w:r>
              <w:rPr/>
              <w:t> </w:t>
            </w:r>
          </w:p>
        </w:tc>
        <w:tc>
          <w:tcPr>
            <w:tcW w:w="1307" w:type="dxa"/>
            <w:tcBorders/>
            <w:shd w:fill="EFF6EA" w:val="clear"/>
            <w:tcMar>
              <w:bottom w:w="0" w:type="dxa"/>
            </w:tcMar>
            <w:vAlign w:val="center"/>
          </w:tcPr>
          <w:p>
            <w:pPr>
              <w:pStyle w:val="TableContents"/>
              <w:spacing w:before="0" w:after="283"/>
              <w:jc w:val="right"/>
              <w:rPr/>
            </w:pPr>
            <w:r>
              <w:rPr/>
              <w:t>402,075</w:t>
            </w:r>
          </w:p>
        </w:tc>
      </w:tr>
      <w:tr>
        <w:trPr/>
        <w:tc>
          <w:tcPr>
            <w:tcW w:w="3950" w:type="dxa"/>
            <w:tcBorders/>
            <w:shd w:fill="FFFFFF" w:val="clear"/>
            <w:tcMar>
              <w:bottom w:w="0" w:type="dxa"/>
            </w:tcMar>
            <w:vAlign w:val="center"/>
          </w:tcPr>
          <w:p>
            <w:pPr>
              <w:pStyle w:val="TableContents"/>
              <w:spacing w:before="0" w:after="283"/>
              <w:jc w:val="left"/>
              <w:rPr/>
            </w:pPr>
            <w:r>
              <w:rPr/>
              <w:t>Acceleration of equity awards</w:t>
            </w:r>
          </w:p>
        </w:tc>
        <w:tc>
          <w:tcPr>
            <w:tcW w:w="60" w:type="dxa"/>
            <w:tcBorders/>
            <w:shd w:fill="FFFFFF" w:val="clear"/>
            <w:tcMar>
              <w:bottom w:w="0" w:type="dxa"/>
            </w:tcMar>
            <w:vAlign w:val="center"/>
          </w:tcPr>
          <w:p>
            <w:pPr>
              <w:pStyle w:val="TableContents"/>
              <w:spacing w:before="0" w:after="283"/>
              <w:rPr/>
            </w:pPr>
            <w:r>
              <w:rPr/>
              <w:t> </w:t>
            </w:r>
          </w:p>
        </w:tc>
        <w:tc>
          <w:tcPr>
            <w:tcW w:w="192" w:type="dxa"/>
            <w:tcBorders/>
            <w:shd w:fill="FFFFFF" w:val="clear"/>
            <w:tcMar>
              <w:bottom w:w="0" w:type="dxa"/>
            </w:tcMar>
            <w:vAlign w:val="center"/>
          </w:tcPr>
          <w:p>
            <w:pPr>
              <w:pStyle w:val="TableContents"/>
              <w:spacing w:before="0" w:after="283"/>
              <w:jc w:val="left"/>
              <w:rPr/>
            </w:pPr>
            <w:r>
              <w:rPr/>
              <w:t> </w:t>
            </w:r>
          </w:p>
        </w:tc>
        <w:tc>
          <w:tcPr>
            <w:tcW w:w="1103"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28" w:type="dxa"/>
            <w:tcBorders/>
            <w:shd w:fill="FFFFFF" w:val="clear"/>
            <w:tcMar>
              <w:bottom w:w="0" w:type="dxa"/>
            </w:tcMar>
            <w:vAlign w:val="center"/>
          </w:tcPr>
          <w:p>
            <w:pPr>
              <w:pStyle w:val="TableContents"/>
              <w:spacing w:before="0" w:after="283"/>
              <w:jc w:val="right"/>
              <w:rPr/>
            </w:pPr>
            <w:r>
              <w:rPr/>
              <w:t> </w:t>
            </w:r>
          </w:p>
        </w:tc>
        <w:tc>
          <w:tcPr>
            <w:tcW w:w="1307" w:type="dxa"/>
            <w:tcBorders/>
            <w:shd w:fill="FFFFFF" w:val="clear"/>
            <w:tcMar>
              <w:bottom w:w="0" w:type="dxa"/>
            </w:tcMar>
            <w:vAlign w:val="center"/>
          </w:tcPr>
          <w:p>
            <w:pPr>
              <w:pStyle w:val="TableContents"/>
              <w:spacing w:before="0" w:after="283"/>
              <w:jc w:val="right"/>
              <w:rPr/>
            </w:pPr>
            <w:r>
              <w:rPr/>
              <w:t>2,075,028</w:t>
            </w:r>
          </w:p>
        </w:tc>
      </w:tr>
      <w:tr>
        <w:trPr/>
        <w:tc>
          <w:tcPr>
            <w:tcW w:w="3950" w:type="dxa"/>
            <w:tcBorders>
              <w:bottom w:val="single" w:sz="2" w:space="0" w:color="7CBC3E"/>
            </w:tcBorders>
            <w:shd w:fill="EFF6EA" w:val="clear"/>
            <w:vAlign w:val="center"/>
          </w:tcPr>
          <w:p>
            <w:pPr>
              <w:pStyle w:val="TableContents"/>
              <w:spacing w:before="0" w:after="283"/>
              <w:jc w:val="left"/>
              <w:rPr/>
            </w:pPr>
            <w:r>
              <w:rPr/>
              <w:t>COBRA reimbursements</w:t>
            </w:r>
          </w:p>
        </w:tc>
        <w:tc>
          <w:tcPr>
            <w:tcW w:w="60" w:type="dxa"/>
            <w:tcBorders>
              <w:bottom w:val="single" w:sz="2" w:space="0" w:color="7CBC3E"/>
            </w:tcBorders>
            <w:shd w:fill="EFF6EA" w:val="clear"/>
            <w:vAlign w:val="center"/>
          </w:tcPr>
          <w:p>
            <w:pPr>
              <w:pStyle w:val="TableContents"/>
              <w:spacing w:before="0" w:after="283"/>
              <w:rPr/>
            </w:pPr>
            <w:r>
              <w:rPr/>
              <w:t> </w:t>
            </w:r>
          </w:p>
        </w:tc>
        <w:tc>
          <w:tcPr>
            <w:tcW w:w="192" w:type="dxa"/>
            <w:tcBorders>
              <w:bottom w:val="single" w:sz="2" w:space="0" w:color="7CBC3E"/>
            </w:tcBorders>
            <w:shd w:fill="EFF6EA" w:val="clear"/>
            <w:vAlign w:val="center"/>
          </w:tcPr>
          <w:p>
            <w:pPr>
              <w:pStyle w:val="TableContents"/>
              <w:spacing w:before="0" w:after="283"/>
              <w:jc w:val="left"/>
              <w:rPr/>
            </w:pPr>
            <w:r>
              <w:rPr/>
              <w:t> </w:t>
            </w:r>
          </w:p>
        </w:tc>
        <w:tc>
          <w:tcPr>
            <w:tcW w:w="1103" w:type="dxa"/>
            <w:tcBorders>
              <w:bottom w:val="single" w:sz="2" w:space="0" w:color="7CBC3E"/>
            </w:tcBorders>
            <w:shd w:fill="EFF6EA" w:val="clear"/>
            <w:vAlign w:val="center"/>
          </w:tcPr>
          <w:p>
            <w:pPr>
              <w:pStyle w:val="TableContents"/>
              <w:spacing w:before="0" w:after="283"/>
              <w:jc w:val="right"/>
              <w:rPr/>
            </w:pPr>
            <w:r>
              <w:rPr/>
              <w:t>38,524</w:t>
            </w:r>
          </w:p>
        </w:tc>
        <w:tc>
          <w:tcPr>
            <w:tcW w:w="60" w:type="dxa"/>
            <w:tcBorders>
              <w:bottom w:val="single" w:sz="2" w:space="0" w:color="7CBC3E"/>
            </w:tcBorders>
            <w:shd w:fill="EFF6EA" w:val="clear"/>
            <w:vAlign w:val="center"/>
          </w:tcPr>
          <w:p>
            <w:pPr>
              <w:pStyle w:val="TableContents"/>
              <w:spacing w:before="0" w:after="283"/>
              <w:jc w:val="left"/>
              <w:rPr/>
            </w:pPr>
            <w:r>
              <w:rPr/>
              <w:t> </w:t>
            </w:r>
          </w:p>
        </w:tc>
        <w:tc>
          <w:tcPr>
            <w:tcW w:w="60" w:type="dxa"/>
            <w:tcBorders>
              <w:bottom w:val="single" w:sz="2" w:space="0" w:color="7CBC3E"/>
            </w:tcBorders>
            <w:shd w:fill="EFF6EA" w:val="clear"/>
            <w:vAlign w:val="center"/>
          </w:tcPr>
          <w:p>
            <w:pPr>
              <w:pStyle w:val="TableContents"/>
              <w:spacing w:before="0" w:after="283"/>
              <w:rPr/>
            </w:pPr>
            <w:r>
              <w:rPr/>
              <w:t> </w:t>
            </w:r>
          </w:p>
        </w:tc>
        <w:tc>
          <w:tcPr>
            <w:tcW w:w="1128" w:type="dxa"/>
            <w:tcBorders>
              <w:bottom w:val="single" w:sz="2" w:space="0" w:color="7CBC3E"/>
            </w:tcBorders>
            <w:shd w:fill="EFF6EA" w:val="clear"/>
            <w:vAlign w:val="center"/>
          </w:tcPr>
          <w:p>
            <w:pPr>
              <w:pStyle w:val="TableContents"/>
              <w:spacing w:before="0" w:after="283"/>
              <w:jc w:val="right"/>
              <w:rPr/>
            </w:pPr>
            <w:r>
              <w:rPr/>
              <w:t> </w:t>
            </w:r>
          </w:p>
        </w:tc>
        <w:tc>
          <w:tcPr>
            <w:tcW w:w="1307" w:type="dxa"/>
            <w:tcBorders>
              <w:bottom w:val="single" w:sz="2" w:space="0" w:color="7CBC3E"/>
            </w:tcBorders>
            <w:shd w:fill="EFF6EA" w:val="clear"/>
            <w:vAlign w:val="center"/>
          </w:tcPr>
          <w:p>
            <w:pPr>
              <w:pStyle w:val="TableContents"/>
              <w:spacing w:before="0" w:after="283"/>
              <w:jc w:val="right"/>
              <w:rPr/>
            </w:pPr>
            <w:r>
              <w:rPr/>
              <w:t>57,786</w:t>
            </w:r>
          </w:p>
        </w:tc>
      </w:tr>
      <w:tr>
        <w:trPr/>
        <w:tc>
          <w:tcPr>
            <w:tcW w:w="3950" w:type="dxa"/>
            <w:tcBorders>
              <w:bottom w:val="single" w:sz="12" w:space="0" w:color="7CBC3E"/>
            </w:tcBorders>
            <w:shd w:fill="FFFFFF" w:val="clear"/>
            <w:vAlign w:val="center"/>
          </w:tcPr>
          <w:p>
            <w:pPr>
              <w:pStyle w:val="TableContents"/>
              <w:spacing w:before="0" w:after="283"/>
              <w:rPr>
                <w:b/>
                <w:color w:val="7CBC3E"/>
              </w:rPr>
            </w:pPr>
            <w:r>
              <w:rPr>
                <w:b/>
                <w:color w:val="7CBC3E"/>
              </w:rPr>
              <w:t>TOTAL</w:t>
            </w:r>
          </w:p>
        </w:tc>
        <w:tc>
          <w:tcPr>
            <w:tcW w:w="60" w:type="dxa"/>
            <w:tcBorders>
              <w:bottom w:val="single" w:sz="12" w:space="0" w:color="7CBC3E"/>
            </w:tcBorders>
            <w:shd w:fill="FFFFFF" w:val="clear"/>
            <w:vAlign w:val="center"/>
          </w:tcPr>
          <w:p>
            <w:pPr>
              <w:pStyle w:val="TableContents"/>
              <w:spacing w:before="0" w:after="283"/>
              <w:rPr>
                <w:color w:val="7CBC3E"/>
              </w:rPr>
            </w:pPr>
            <w:r>
              <w:rPr>
                <w:color w:val="7CBC3E"/>
              </w:rPr>
              <w:t> </w:t>
            </w:r>
          </w:p>
        </w:tc>
        <w:tc>
          <w:tcPr>
            <w:tcW w:w="192" w:type="dxa"/>
            <w:tcBorders>
              <w:bottom w:val="single" w:sz="12" w:space="0" w:color="7CBC3E"/>
            </w:tcBorders>
            <w:shd w:fill="FFFFFF" w:val="clear"/>
            <w:vAlign w:val="center"/>
          </w:tcPr>
          <w:p>
            <w:pPr>
              <w:pStyle w:val="TableContents"/>
              <w:spacing w:before="0" w:after="283"/>
              <w:jc w:val="left"/>
              <w:rPr>
                <w:b/>
                <w:color w:val="7CBC3E"/>
              </w:rPr>
            </w:pPr>
            <w:r>
              <w:rPr>
                <w:b/>
                <w:color w:val="7CBC3E"/>
              </w:rPr>
              <w:t>$</w:t>
            </w:r>
          </w:p>
        </w:tc>
        <w:tc>
          <w:tcPr>
            <w:tcW w:w="1103" w:type="dxa"/>
            <w:tcBorders>
              <w:bottom w:val="single" w:sz="12" w:space="0" w:color="7CBC3E"/>
            </w:tcBorders>
            <w:shd w:fill="FFFFFF" w:val="clear"/>
            <w:vAlign w:val="center"/>
          </w:tcPr>
          <w:p>
            <w:pPr>
              <w:pStyle w:val="TableContents"/>
              <w:spacing w:before="0" w:after="283"/>
              <w:jc w:val="right"/>
              <w:rPr>
                <w:b/>
                <w:color w:val="7CBC3E"/>
              </w:rPr>
            </w:pPr>
            <w:r>
              <w:rPr>
                <w:b/>
                <w:color w:val="7CBC3E"/>
              </w:rPr>
              <w:t>842,674</w:t>
            </w:r>
          </w:p>
        </w:tc>
        <w:tc>
          <w:tcPr>
            <w:tcW w:w="60" w:type="dxa"/>
            <w:tcBorders>
              <w:bottom w:val="single" w:sz="12" w:space="0" w:color="7CBC3E"/>
            </w:tcBorders>
            <w:shd w:fill="FFFFFF" w:val="clear"/>
            <w:vAlign w:val="center"/>
          </w:tcPr>
          <w:p>
            <w:pPr>
              <w:pStyle w:val="TableContents"/>
              <w:spacing w:before="0" w:after="283"/>
              <w:jc w:val="left"/>
              <w:rPr>
                <w:color w:val="7CBC3E"/>
              </w:rPr>
            </w:pPr>
            <w:r>
              <w:rPr>
                <w:color w:val="7CBC3E"/>
              </w:rPr>
              <w:t> </w:t>
            </w:r>
          </w:p>
        </w:tc>
        <w:tc>
          <w:tcPr>
            <w:tcW w:w="60" w:type="dxa"/>
            <w:tcBorders>
              <w:bottom w:val="single" w:sz="12" w:space="0" w:color="7CBC3E"/>
            </w:tcBorders>
            <w:shd w:fill="FFFFFF" w:val="clear"/>
            <w:vAlign w:val="center"/>
          </w:tcPr>
          <w:p>
            <w:pPr>
              <w:pStyle w:val="TableContents"/>
              <w:spacing w:before="0" w:after="283"/>
              <w:rPr>
                <w:color w:val="7CBC3E"/>
              </w:rPr>
            </w:pPr>
            <w:r>
              <w:rPr>
                <w:color w:val="7CBC3E"/>
              </w:rPr>
              <w:t> </w:t>
            </w:r>
          </w:p>
        </w:tc>
        <w:tc>
          <w:tcPr>
            <w:tcW w:w="1128" w:type="dxa"/>
            <w:tcBorders>
              <w:bottom w:val="single" w:sz="12" w:space="0" w:color="7CBC3E"/>
            </w:tcBorders>
            <w:shd w:fill="FFFFFF" w:val="clear"/>
            <w:vAlign w:val="center"/>
          </w:tcPr>
          <w:p>
            <w:pPr>
              <w:pStyle w:val="TableContents"/>
              <w:spacing w:before="0" w:after="283"/>
              <w:jc w:val="right"/>
              <w:rPr>
                <w:b/>
                <w:color w:val="7CBC3E"/>
              </w:rPr>
            </w:pPr>
            <w:r>
              <w:rPr>
                <w:b/>
                <w:color w:val="7CBC3E"/>
              </w:rPr>
              <w:t>$</w:t>
            </w:r>
          </w:p>
        </w:tc>
        <w:tc>
          <w:tcPr>
            <w:tcW w:w="1307" w:type="dxa"/>
            <w:tcBorders>
              <w:bottom w:val="single" w:sz="12" w:space="0" w:color="7CBC3E"/>
            </w:tcBorders>
            <w:shd w:fill="FFFFFF" w:val="clear"/>
            <w:vAlign w:val="center"/>
          </w:tcPr>
          <w:p>
            <w:pPr>
              <w:pStyle w:val="TableContents"/>
              <w:spacing w:before="0" w:after="283"/>
              <w:jc w:val="right"/>
              <w:rPr>
                <w:b/>
                <w:color w:val="7CBC3E"/>
              </w:rPr>
            </w:pPr>
            <w:r>
              <w:rPr>
                <w:b/>
                <w:color w:val="7CBC3E"/>
              </w:rPr>
              <w:t>3,339,039</w:t>
            </w:r>
          </w:p>
        </w:tc>
      </w:tr>
    </w:tbl>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66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2"/>
        <w:rPr>
          <w:rFonts w:ascii="Arial;Helvetica;Sans-Serif" w:hAnsi="Arial;Helvetica;Sans-Serif"/>
          <w:b/>
          <w:i w:val="false"/>
          <w:caps w:val="false"/>
          <w:smallCaps w:val="false"/>
          <w:color w:val="7CBC3E"/>
          <w:sz w:val="40"/>
        </w:rPr>
      </w:pPr>
      <w:bookmarkStart w:id="115" w:name="lrarea102"/>
      <w:bookmarkEnd w:id="115"/>
      <w:r>
        <w:rPr>
          <w:rFonts w:ascii="Arial;Helvetica;Sans-Serif" w:hAnsi="Arial;Helvetica;Sans-Serif"/>
          <w:b/>
          <w:i w:val="false"/>
          <w:caps w:val="false"/>
          <w:smallCaps w:val="false"/>
          <w:color w:val="7CBC3E"/>
          <w:sz w:val="40"/>
        </w:rPr>
        <w:t>Equity Compensation Plan Information</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table below discloses information as of December 31, 2022 with respect to our equity compensation plans that have been approved by stockholders and equity compensation plans that have not been approved by stockholders. If stockholders approve the 2023 Equity Incentive Plan under Proposal No. 2, no further grants will be made under the 2014 Incentive Plan following the effective date of the 2023 Equity Incentive Plan.</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4089"/>
        <w:gridCol w:w="60"/>
        <w:gridCol w:w="1877"/>
        <w:gridCol w:w="60"/>
        <w:gridCol w:w="2062"/>
        <w:gridCol w:w="60"/>
        <w:gridCol w:w="1997"/>
      </w:tblGrid>
      <w:tr>
        <w:trPr/>
        <w:tc>
          <w:tcPr>
            <w:tcW w:w="4089" w:type="dxa"/>
            <w:tcBorders>
              <w:bottom w:val="single" w:sz="12" w:space="0" w:color="7CBC3E"/>
            </w:tcBorders>
            <w:shd w:fill="auto" w:val="clear"/>
            <w:vAlign w:val="center"/>
          </w:tcPr>
          <w:p>
            <w:pPr>
              <w:pStyle w:val="TableContents"/>
              <w:spacing w:before="0" w:after="283"/>
              <w:rPr>
                <w:b/>
              </w:rPr>
            </w:pPr>
            <w:r>
              <w:rPr>
                <w:b/>
              </w:rPr>
              <w:t>Plan Category</w:t>
            </w:r>
          </w:p>
        </w:tc>
        <w:tc>
          <w:tcPr>
            <w:tcW w:w="60" w:type="dxa"/>
            <w:tcBorders>
              <w:bottom w:val="single" w:sz="12" w:space="0" w:color="7CBC3E"/>
            </w:tcBorders>
            <w:shd w:fill="auto" w:val="clear"/>
            <w:vAlign w:val="center"/>
          </w:tcPr>
          <w:p>
            <w:pPr>
              <w:pStyle w:val="TableContents"/>
              <w:spacing w:before="0" w:after="283"/>
              <w:rPr/>
            </w:pPr>
            <w:r>
              <w:rPr/>
              <w:t> </w:t>
            </w:r>
          </w:p>
        </w:tc>
        <w:tc>
          <w:tcPr>
            <w:tcW w:w="1877" w:type="dxa"/>
            <w:tcBorders>
              <w:bottom w:val="single" w:sz="12" w:space="0" w:color="7CBC3E"/>
            </w:tcBorders>
            <w:shd w:fill="auto" w:val="clear"/>
            <w:vAlign w:val="center"/>
          </w:tcPr>
          <w:p>
            <w:pPr>
              <w:pStyle w:val="TableContents"/>
              <w:spacing w:before="0" w:after="283"/>
              <w:jc w:val="right"/>
              <w:rPr>
                <w:b/>
              </w:rPr>
            </w:pPr>
            <w:r>
              <w:rPr>
                <w:b/>
              </w:rPr>
              <w:t>Number of Securities</w:t>
              <w:br/>
              <w:t>to be Issued</w:t>
              <w:br/>
              <w:t>upon Exercise of</w:t>
              <w:br/>
              <w:t>Outstanding Options,</w:t>
              <w:br/>
              <w:t>Warrants and Rights(a)</w:t>
            </w:r>
          </w:p>
        </w:tc>
        <w:tc>
          <w:tcPr>
            <w:tcW w:w="60" w:type="dxa"/>
            <w:tcBorders>
              <w:bottom w:val="single" w:sz="12" w:space="0" w:color="7CBC3E"/>
            </w:tcBorders>
            <w:shd w:fill="auto" w:val="clear"/>
            <w:vAlign w:val="center"/>
          </w:tcPr>
          <w:p>
            <w:pPr>
              <w:pStyle w:val="TableContents"/>
              <w:spacing w:before="0" w:after="283"/>
              <w:rPr/>
            </w:pPr>
            <w:r>
              <w:rPr/>
              <w:t> </w:t>
            </w:r>
          </w:p>
        </w:tc>
        <w:tc>
          <w:tcPr>
            <w:tcW w:w="2062" w:type="dxa"/>
            <w:tcBorders>
              <w:bottom w:val="single" w:sz="12" w:space="0" w:color="7CBC3E"/>
            </w:tcBorders>
            <w:shd w:fill="auto" w:val="clear"/>
            <w:vAlign w:val="center"/>
          </w:tcPr>
          <w:p>
            <w:pPr>
              <w:pStyle w:val="TableContents"/>
              <w:spacing w:before="0" w:after="283"/>
              <w:jc w:val="right"/>
              <w:rPr>
                <w:b/>
              </w:rPr>
            </w:pPr>
            <w:r>
              <w:rPr>
                <w:b/>
              </w:rPr>
              <w:t>Weighted-Average</w:t>
              <w:br/>
              <w:t>Exercise Price of</w:t>
              <w:br/>
              <w:t>Outstanding Options,</w:t>
              <w:br/>
              <w:t>Warrants and Rights</w:t>
            </w:r>
          </w:p>
        </w:tc>
        <w:tc>
          <w:tcPr>
            <w:tcW w:w="60" w:type="dxa"/>
            <w:tcBorders>
              <w:bottom w:val="single" w:sz="12" w:space="0" w:color="7CBC3E"/>
            </w:tcBorders>
            <w:shd w:fill="auto" w:val="clear"/>
            <w:vAlign w:val="center"/>
          </w:tcPr>
          <w:p>
            <w:pPr>
              <w:pStyle w:val="TableContents"/>
              <w:spacing w:before="0" w:after="283"/>
              <w:rPr/>
            </w:pPr>
            <w:r>
              <w:rPr/>
              <w:t> </w:t>
            </w:r>
          </w:p>
        </w:tc>
        <w:tc>
          <w:tcPr>
            <w:tcW w:w="1997" w:type="dxa"/>
            <w:tcBorders>
              <w:bottom w:val="single" w:sz="12" w:space="0" w:color="7CBC3E"/>
            </w:tcBorders>
            <w:shd w:fill="auto" w:val="clear"/>
            <w:vAlign w:val="center"/>
          </w:tcPr>
          <w:p>
            <w:pPr>
              <w:pStyle w:val="TableContents"/>
              <w:spacing w:before="0" w:after="283"/>
              <w:jc w:val="right"/>
              <w:rPr>
                <w:b/>
              </w:rPr>
            </w:pPr>
            <w:r>
              <w:rPr>
                <w:b/>
              </w:rPr>
              <w:t>Number of Securities</w:t>
              <w:br/>
              <w:t>Remaining Available</w:t>
              <w:br/>
              <w:t>for Future Issuance</w:t>
              <w:br/>
              <w:t>under Equity</w:t>
              <w:br/>
              <w:t>Compensation Plans</w:t>
              <w:br/>
              <w:t>(Excluding Securities</w:t>
              <w:br/>
              <w:t>Reflected in Column(a))</w:t>
            </w:r>
          </w:p>
        </w:tc>
      </w:tr>
      <w:tr>
        <w:trPr/>
        <w:tc>
          <w:tcPr>
            <w:tcW w:w="4089" w:type="dxa"/>
            <w:tcBorders/>
            <w:shd w:fill="auto" w:val="clear"/>
            <w:tcMar>
              <w:bottom w:w="0" w:type="dxa"/>
            </w:tcMar>
            <w:vAlign w:val="center"/>
          </w:tcPr>
          <w:p>
            <w:pPr>
              <w:pStyle w:val="TableContents"/>
              <w:spacing w:before="0" w:after="283"/>
              <w:rPr/>
            </w:pPr>
            <w:r>
              <w:rPr/>
              <w:t>Equity compensation plans approved by security holders:</w:t>
            </w:r>
          </w:p>
        </w:tc>
        <w:tc>
          <w:tcPr>
            <w:tcW w:w="60" w:type="dxa"/>
            <w:tcBorders/>
            <w:shd w:fill="auto" w:val="clear"/>
            <w:tcMar>
              <w:bottom w:w="0" w:type="dxa"/>
            </w:tcMar>
            <w:vAlign w:val="center"/>
          </w:tcPr>
          <w:p>
            <w:pPr>
              <w:pStyle w:val="TableContents"/>
              <w:spacing w:before="0" w:after="283"/>
              <w:rPr/>
            </w:pPr>
            <w:r>
              <w:rPr/>
              <w:t> </w:t>
            </w:r>
          </w:p>
        </w:tc>
        <w:tc>
          <w:tcPr>
            <w:tcW w:w="187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6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997" w:type="dxa"/>
            <w:tcBorders/>
            <w:shd w:fill="auto" w:val="clear"/>
            <w:tcMar>
              <w:bottom w:w="0" w:type="dxa"/>
            </w:tcMar>
            <w:vAlign w:val="center"/>
          </w:tcPr>
          <w:p>
            <w:pPr>
              <w:pStyle w:val="TableContents"/>
              <w:spacing w:before="0" w:after="283"/>
              <w:rPr/>
            </w:pPr>
            <w:r>
              <w:rPr/>
              <w:t> </w:t>
            </w:r>
          </w:p>
        </w:tc>
      </w:tr>
      <w:tr>
        <w:trPr/>
        <w:tc>
          <w:tcPr>
            <w:tcW w:w="4089" w:type="dxa"/>
            <w:tcBorders/>
            <w:shd w:fill="EFF6EA" w:val="clear"/>
            <w:tcMar>
              <w:bottom w:w="0" w:type="dxa"/>
            </w:tcMar>
            <w:vAlign w:val="center"/>
          </w:tcPr>
          <w:p>
            <w:pPr>
              <w:pStyle w:val="TableContents"/>
              <w:spacing w:before="0" w:after="283"/>
              <w:rPr/>
            </w:pPr>
            <w:r>
              <w:rPr/>
              <w:t>2011 Equity Incentive Plan, as amended</w:t>
            </w:r>
          </w:p>
        </w:tc>
        <w:tc>
          <w:tcPr>
            <w:tcW w:w="60" w:type="dxa"/>
            <w:tcBorders/>
            <w:shd w:fill="EFF6EA" w:val="clear"/>
            <w:tcMar>
              <w:bottom w:w="0" w:type="dxa"/>
            </w:tcMar>
            <w:vAlign w:val="center"/>
          </w:tcPr>
          <w:p>
            <w:pPr>
              <w:pStyle w:val="TableContents"/>
              <w:spacing w:before="0" w:after="283"/>
              <w:rPr/>
            </w:pPr>
            <w:r>
              <w:rPr/>
              <w:t> </w:t>
            </w:r>
          </w:p>
        </w:tc>
        <w:tc>
          <w:tcPr>
            <w:tcW w:w="1877" w:type="dxa"/>
            <w:tcBorders/>
            <w:shd w:fill="EFF6EA" w:val="clear"/>
            <w:tcMar>
              <w:bottom w:w="0" w:type="dxa"/>
            </w:tcMar>
            <w:vAlign w:val="center"/>
          </w:tcPr>
          <w:p>
            <w:pPr>
              <w:pStyle w:val="TableContents"/>
              <w:spacing w:before="0" w:after="283"/>
              <w:jc w:val="right"/>
              <w:rPr/>
            </w:pPr>
            <w:r>
              <w:rPr/>
              <w:t>175,521</w:t>
            </w:r>
          </w:p>
        </w:tc>
        <w:tc>
          <w:tcPr>
            <w:tcW w:w="60" w:type="dxa"/>
            <w:tcBorders/>
            <w:shd w:fill="EFF6EA" w:val="clear"/>
            <w:tcMar>
              <w:bottom w:w="0" w:type="dxa"/>
            </w:tcMar>
            <w:vAlign w:val="center"/>
          </w:tcPr>
          <w:p>
            <w:pPr>
              <w:pStyle w:val="TableContents"/>
              <w:spacing w:before="0" w:after="283"/>
              <w:rPr/>
            </w:pPr>
            <w:r>
              <w:rPr/>
              <w:t> </w:t>
            </w:r>
          </w:p>
        </w:tc>
        <w:tc>
          <w:tcPr>
            <w:tcW w:w="2062" w:type="dxa"/>
            <w:tcBorders/>
            <w:shd w:fill="EFF6EA" w:val="clear"/>
            <w:tcMar>
              <w:bottom w:w="0" w:type="dxa"/>
            </w:tcMar>
            <w:vAlign w:val="center"/>
          </w:tcPr>
          <w:p>
            <w:pPr>
              <w:pStyle w:val="TableContents"/>
              <w:spacing w:before="0" w:after="283"/>
              <w:jc w:val="right"/>
              <w:rPr/>
            </w:pPr>
            <w:r>
              <w:rPr/>
              <w:t>$6.95</w:t>
            </w:r>
          </w:p>
        </w:tc>
        <w:tc>
          <w:tcPr>
            <w:tcW w:w="60" w:type="dxa"/>
            <w:tcBorders/>
            <w:shd w:fill="EFF6EA" w:val="clear"/>
            <w:tcMar>
              <w:bottom w:w="0" w:type="dxa"/>
            </w:tcMar>
            <w:vAlign w:val="center"/>
          </w:tcPr>
          <w:p>
            <w:pPr>
              <w:pStyle w:val="TableContents"/>
              <w:spacing w:before="0" w:after="283"/>
              <w:rPr/>
            </w:pPr>
            <w:r>
              <w:rPr/>
              <w:t> </w:t>
            </w:r>
          </w:p>
        </w:tc>
        <w:tc>
          <w:tcPr>
            <w:tcW w:w="1997" w:type="dxa"/>
            <w:tcBorders/>
            <w:shd w:fill="EFF6EA" w:val="clear"/>
            <w:tcMar>
              <w:bottom w:w="0" w:type="dxa"/>
            </w:tcMar>
            <w:vAlign w:val="center"/>
          </w:tcPr>
          <w:p>
            <w:pPr>
              <w:pStyle w:val="TableContents"/>
              <w:spacing w:before="0" w:after="283"/>
              <w:jc w:val="right"/>
              <w:rPr/>
            </w:pPr>
            <w:r>
              <w:rPr/>
              <w:t>—</w:t>
            </w:r>
          </w:p>
        </w:tc>
      </w:tr>
      <w:tr>
        <w:trPr/>
        <w:tc>
          <w:tcPr>
            <w:tcW w:w="4089" w:type="dxa"/>
            <w:tcBorders/>
            <w:shd w:fill="auto" w:val="clear"/>
            <w:tcMar>
              <w:bottom w:w="0" w:type="dxa"/>
            </w:tcMar>
            <w:vAlign w:val="center"/>
          </w:tcPr>
          <w:p>
            <w:pPr>
              <w:pStyle w:val="TableContents"/>
              <w:spacing w:before="0" w:after="283"/>
              <w:rPr/>
            </w:pPr>
            <w:r>
              <w:rPr/>
              <w:t>2014 Incentive Plan</w:t>
            </w:r>
          </w:p>
        </w:tc>
        <w:tc>
          <w:tcPr>
            <w:tcW w:w="60" w:type="dxa"/>
            <w:tcBorders/>
            <w:shd w:fill="auto" w:val="clear"/>
            <w:tcMar>
              <w:bottom w:w="0" w:type="dxa"/>
            </w:tcMar>
            <w:vAlign w:val="center"/>
          </w:tcPr>
          <w:p>
            <w:pPr>
              <w:pStyle w:val="TableContents"/>
              <w:spacing w:before="0" w:after="283"/>
              <w:rPr/>
            </w:pPr>
            <w:r>
              <w:rPr/>
              <w:t> </w:t>
            </w:r>
          </w:p>
        </w:tc>
        <w:tc>
          <w:tcPr>
            <w:tcW w:w="1877" w:type="dxa"/>
            <w:tcBorders/>
            <w:shd w:fill="auto" w:val="clear"/>
            <w:tcMar>
              <w:bottom w:w="0" w:type="dxa"/>
            </w:tcMar>
            <w:vAlign w:val="center"/>
          </w:tcPr>
          <w:p>
            <w:pPr>
              <w:pStyle w:val="TableContents"/>
              <w:spacing w:before="0" w:after="283"/>
              <w:jc w:val="right"/>
              <w:rPr/>
            </w:pPr>
            <w:r>
              <w:rPr/>
              <w:t>11,284,762</w:t>
            </w:r>
          </w:p>
        </w:tc>
        <w:tc>
          <w:tcPr>
            <w:tcW w:w="60" w:type="dxa"/>
            <w:tcBorders/>
            <w:shd w:fill="auto" w:val="clear"/>
            <w:tcMar>
              <w:bottom w:w="0" w:type="dxa"/>
            </w:tcMar>
            <w:vAlign w:val="center"/>
          </w:tcPr>
          <w:p>
            <w:pPr>
              <w:pStyle w:val="TableContents"/>
              <w:spacing w:before="0" w:after="283"/>
              <w:rPr/>
            </w:pPr>
            <w:r>
              <w:rPr/>
              <w:t> </w:t>
            </w:r>
          </w:p>
        </w:tc>
        <w:tc>
          <w:tcPr>
            <w:tcW w:w="2062" w:type="dxa"/>
            <w:tcBorders/>
            <w:shd w:fill="auto" w:val="clear"/>
            <w:tcMar>
              <w:bottom w:w="0" w:type="dxa"/>
            </w:tcMar>
            <w:vAlign w:val="center"/>
          </w:tcPr>
          <w:p>
            <w:pPr>
              <w:pStyle w:val="TableContents"/>
              <w:spacing w:before="0" w:after="283"/>
              <w:jc w:val="right"/>
              <w:rPr/>
            </w:pPr>
            <w:r>
              <w:rPr/>
              <w:t>$73.22</w:t>
            </w:r>
          </w:p>
        </w:tc>
        <w:tc>
          <w:tcPr>
            <w:tcW w:w="60" w:type="dxa"/>
            <w:tcBorders/>
            <w:shd w:fill="auto" w:val="clear"/>
            <w:tcMar>
              <w:bottom w:w="0" w:type="dxa"/>
            </w:tcMar>
            <w:vAlign w:val="center"/>
          </w:tcPr>
          <w:p>
            <w:pPr>
              <w:pStyle w:val="TableContents"/>
              <w:spacing w:before="0" w:after="283"/>
              <w:rPr/>
            </w:pPr>
            <w:r>
              <w:rPr/>
              <w:t> </w:t>
            </w:r>
          </w:p>
        </w:tc>
        <w:tc>
          <w:tcPr>
            <w:tcW w:w="1997" w:type="dxa"/>
            <w:tcBorders/>
            <w:shd w:fill="auto" w:val="clear"/>
            <w:tcMar>
              <w:bottom w:w="0" w:type="dxa"/>
            </w:tcMar>
            <w:vAlign w:val="center"/>
          </w:tcPr>
          <w:p>
            <w:pPr>
              <w:pStyle w:val="TableContents"/>
              <w:spacing w:before="0" w:after="283"/>
              <w:jc w:val="right"/>
              <w:rPr/>
            </w:pPr>
            <w:r>
              <w:rPr/>
              <w:t>2,227,385</w:t>
            </w:r>
          </w:p>
        </w:tc>
      </w:tr>
      <w:tr>
        <w:trPr/>
        <w:tc>
          <w:tcPr>
            <w:tcW w:w="4089" w:type="dxa"/>
            <w:tcBorders/>
            <w:shd w:fill="EFF6EA" w:val="clear"/>
            <w:tcMar>
              <w:bottom w:w="0" w:type="dxa"/>
            </w:tcMar>
            <w:vAlign w:val="center"/>
          </w:tcPr>
          <w:p>
            <w:pPr>
              <w:pStyle w:val="TableContents"/>
              <w:spacing w:before="0" w:after="283"/>
              <w:rPr/>
            </w:pPr>
            <w:r>
              <w:rPr/>
              <w:t>2014 Employee Stock Purchase Plan</w:t>
            </w:r>
          </w:p>
        </w:tc>
        <w:tc>
          <w:tcPr>
            <w:tcW w:w="60" w:type="dxa"/>
            <w:tcBorders/>
            <w:shd w:fill="EFF6EA" w:val="clear"/>
            <w:tcMar>
              <w:bottom w:w="0" w:type="dxa"/>
            </w:tcMar>
            <w:vAlign w:val="center"/>
          </w:tcPr>
          <w:p>
            <w:pPr>
              <w:pStyle w:val="TableContents"/>
              <w:spacing w:before="0" w:after="283"/>
              <w:rPr/>
            </w:pPr>
            <w:r>
              <w:rPr/>
              <w:t> </w:t>
            </w:r>
          </w:p>
        </w:tc>
        <w:tc>
          <w:tcPr>
            <w:tcW w:w="1877"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rPr/>
            </w:pPr>
            <w:r>
              <w:rPr/>
              <w:t> </w:t>
            </w:r>
          </w:p>
        </w:tc>
        <w:tc>
          <w:tcPr>
            <w:tcW w:w="2062"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rPr/>
            </w:pPr>
            <w:r>
              <w:rPr/>
              <w:t> </w:t>
            </w:r>
          </w:p>
        </w:tc>
        <w:tc>
          <w:tcPr>
            <w:tcW w:w="1997" w:type="dxa"/>
            <w:tcBorders/>
            <w:shd w:fill="EFF6EA" w:val="clear"/>
            <w:tcMar>
              <w:bottom w:w="0" w:type="dxa"/>
            </w:tcMar>
            <w:vAlign w:val="center"/>
          </w:tcPr>
          <w:p>
            <w:pPr>
              <w:pStyle w:val="TableContents"/>
              <w:spacing w:before="0" w:after="283"/>
              <w:jc w:val="right"/>
              <w:rPr/>
            </w:pPr>
            <w:r>
              <w:rPr/>
              <w:t>4,585,921</w:t>
            </w:r>
          </w:p>
        </w:tc>
      </w:tr>
      <w:tr>
        <w:trPr/>
        <w:tc>
          <w:tcPr>
            <w:tcW w:w="4089" w:type="dxa"/>
            <w:tcBorders/>
            <w:shd w:fill="auto" w:val="clear"/>
            <w:tcMar>
              <w:bottom w:w="0" w:type="dxa"/>
            </w:tcMar>
            <w:vAlign w:val="center"/>
          </w:tcPr>
          <w:p>
            <w:pPr>
              <w:pStyle w:val="TableContents"/>
              <w:spacing w:before="0" w:after="283"/>
              <w:rPr/>
            </w:pPr>
            <w:r>
              <w:rPr/>
              <w:t>Equity compensation plans not approved by security holders</w:t>
            </w:r>
          </w:p>
        </w:tc>
        <w:tc>
          <w:tcPr>
            <w:tcW w:w="60" w:type="dxa"/>
            <w:tcBorders/>
            <w:shd w:fill="auto" w:val="clear"/>
            <w:tcMar>
              <w:bottom w:w="0" w:type="dxa"/>
            </w:tcMar>
            <w:vAlign w:val="center"/>
          </w:tcPr>
          <w:p>
            <w:pPr>
              <w:pStyle w:val="TableContents"/>
              <w:spacing w:before="0" w:after="283"/>
              <w:rPr/>
            </w:pPr>
            <w:r>
              <w:rPr/>
              <w:t> </w:t>
            </w:r>
          </w:p>
        </w:tc>
        <w:tc>
          <w:tcPr>
            <w:tcW w:w="187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6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997" w:type="dxa"/>
            <w:tcBorders/>
            <w:shd w:fill="auto" w:val="clear"/>
            <w:tcMar>
              <w:bottom w:w="0" w:type="dxa"/>
            </w:tcMar>
            <w:vAlign w:val="center"/>
          </w:tcPr>
          <w:p>
            <w:pPr>
              <w:pStyle w:val="TableContents"/>
              <w:spacing w:before="0" w:after="283"/>
              <w:rPr/>
            </w:pPr>
            <w:r>
              <w:rPr/>
              <w:t> </w:t>
            </w:r>
          </w:p>
        </w:tc>
      </w:tr>
      <w:tr>
        <w:trPr/>
        <w:tc>
          <w:tcPr>
            <w:tcW w:w="4089" w:type="dxa"/>
            <w:tcBorders/>
            <w:shd w:fill="EFF6EA" w:val="clear"/>
            <w:tcMar>
              <w:bottom w:w="0" w:type="dxa"/>
            </w:tcMar>
            <w:vAlign w:val="center"/>
          </w:tcPr>
          <w:p>
            <w:pPr>
              <w:pStyle w:val="TableContents"/>
              <w:spacing w:before="0" w:after="283"/>
              <w:rPr/>
            </w:pPr>
            <w:r>
              <w:rPr/>
              <w:t>Dimension Therapeutics, Inc. 2015 Stock Option and Incentive Plan</w:t>
            </w:r>
            <w:r>
              <w:rPr>
                <w:position w:val="8"/>
                <w:sz w:val="19"/>
              </w:rPr>
              <w:t>(1)</w:t>
            </w:r>
          </w:p>
        </w:tc>
        <w:tc>
          <w:tcPr>
            <w:tcW w:w="60" w:type="dxa"/>
            <w:tcBorders/>
            <w:shd w:fill="EFF6EA" w:val="clear"/>
            <w:tcMar>
              <w:bottom w:w="0" w:type="dxa"/>
            </w:tcMar>
            <w:vAlign w:val="center"/>
          </w:tcPr>
          <w:p>
            <w:pPr>
              <w:pStyle w:val="TableContents"/>
              <w:spacing w:before="0" w:after="283"/>
              <w:rPr/>
            </w:pPr>
            <w:r>
              <w:rPr/>
              <w:t> </w:t>
            </w:r>
          </w:p>
        </w:tc>
        <w:tc>
          <w:tcPr>
            <w:tcW w:w="1877" w:type="dxa"/>
            <w:tcBorders/>
            <w:shd w:fill="EFF6EA" w:val="clear"/>
            <w:tcMar>
              <w:bottom w:w="0" w:type="dxa"/>
            </w:tcMar>
            <w:vAlign w:val="center"/>
          </w:tcPr>
          <w:p>
            <w:pPr>
              <w:pStyle w:val="TableContents"/>
              <w:spacing w:before="0" w:after="283"/>
              <w:jc w:val="right"/>
              <w:rPr/>
            </w:pPr>
            <w:r>
              <w:rPr/>
              <w:t>23,680</w:t>
            </w:r>
          </w:p>
        </w:tc>
        <w:tc>
          <w:tcPr>
            <w:tcW w:w="60" w:type="dxa"/>
            <w:tcBorders/>
            <w:shd w:fill="EFF6EA" w:val="clear"/>
            <w:tcMar>
              <w:bottom w:w="0" w:type="dxa"/>
            </w:tcMar>
            <w:vAlign w:val="center"/>
          </w:tcPr>
          <w:p>
            <w:pPr>
              <w:pStyle w:val="TableContents"/>
              <w:spacing w:before="0" w:after="283"/>
              <w:rPr/>
            </w:pPr>
            <w:r>
              <w:rPr/>
              <w:t> </w:t>
            </w:r>
          </w:p>
        </w:tc>
        <w:tc>
          <w:tcPr>
            <w:tcW w:w="2062" w:type="dxa"/>
            <w:tcBorders/>
            <w:shd w:fill="EFF6EA" w:val="clear"/>
            <w:tcMar>
              <w:bottom w:w="0" w:type="dxa"/>
            </w:tcMar>
            <w:vAlign w:val="center"/>
          </w:tcPr>
          <w:p>
            <w:pPr>
              <w:pStyle w:val="TableContents"/>
              <w:spacing w:before="0" w:after="283"/>
              <w:jc w:val="right"/>
              <w:rPr/>
            </w:pPr>
            <w:r>
              <w:rPr/>
              <w:t>$47.88</w:t>
            </w:r>
          </w:p>
        </w:tc>
        <w:tc>
          <w:tcPr>
            <w:tcW w:w="60" w:type="dxa"/>
            <w:tcBorders/>
            <w:shd w:fill="EFF6EA" w:val="clear"/>
            <w:tcMar>
              <w:bottom w:w="0" w:type="dxa"/>
            </w:tcMar>
            <w:vAlign w:val="center"/>
          </w:tcPr>
          <w:p>
            <w:pPr>
              <w:pStyle w:val="TableContents"/>
              <w:spacing w:before="0" w:after="283"/>
              <w:rPr/>
            </w:pPr>
            <w:r>
              <w:rPr/>
              <w:t> </w:t>
            </w:r>
          </w:p>
        </w:tc>
        <w:tc>
          <w:tcPr>
            <w:tcW w:w="1997" w:type="dxa"/>
            <w:tcBorders/>
            <w:shd w:fill="EFF6EA" w:val="clear"/>
            <w:tcMar>
              <w:bottom w:w="0" w:type="dxa"/>
            </w:tcMar>
            <w:vAlign w:val="center"/>
          </w:tcPr>
          <w:p>
            <w:pPr>
              <w:pStyle w:val="TableContents"/>
              <w:spacing w:before="0" w:after="283"/>
              <w:jc w:val="right"/>
              <w:rPr/>
            </w:pPr>
            <w:r>
              <w:rPr/>
              <w:t>—</w:t>
            </w:r>
          </w:p>
        </w:tc>
      </w:tr>
      <w:tr>
        <w:trPr/>
        <w:tc>
          <w:tcPr>
            <w:tcW w:w="4089" w:type="dxa"/>
            <w:tcBorders/>
            <w:shd w:fill="auto" w:val="clear"/>
            <w:tcMar>
              <w:bottom w:w="0" w:type="dxa"/>
            </w:tcMar>
            <w:vAlign w:val="center"/>
          </w:tcPr>
          <w:p>
            <w:pPr>
              <w:pStyle w:val="TableContents"/>
              <w:spacing w:before="0" w:after="283"/>
              <w:rPr/>
            </w:pPr>
            <w:r>
              <w:rPr/>
              <w:t>Dimension Therapeutics, Inc. 2013 Stock Plan</w:t>
            </w:r>
            <w:r>
              <w:rPr>
                <w:position w:val="8"/>
                <w:sz w:val="19"/>
              </w:rPr>
              <w:t>(1)</w:t>
            </w:r>
          </w:p>
        </w:tc>
        <w:tc>
          <w:tcPr>
            <w:tcW w:w="60" w:type="dxa"/>
            <w:tcBorders/>
            <w:shd w:fill="auto" w:val="clear"/>
            <w:tcMar>
              <w:bottom w:w="0" w:type="dxa"/>
            </w:tcMar>
            <w:vAlign w:val="center"/>
          </w:tcPr>
          <w:p>
            <w:pPr>
              <w:pStyle w:val="TableContents"/>
              <w:spacing w:before="0" w:after="283"/>
              <w:rPr/>
            </w:pPr>
            <w:r>
              <w:rPr/>
              <w:t> </w:t>
            </w:r>
          </w:p>
        </w:tc>
        <w:tc>
          <w:tcPr>
            <w:tcW w:w="1877" w:type="dxa"/>
            <w:tcBorders/>
            <w:shd w:fill="auto" w:val="clear"/>
            <w:tcMar>
              <w:bottom w:w="0" w:type="dxa"/>
            </w:tcMar>
            <w:vAlign w:val="center"/>
          </w:tcPr>
          <w:p>
            <w:pPr>
              <w:pStyle w:val="TableContents"/>
              <w:spacing w:before="0" w:after="283"/>
              <w:jc w:val="right"/>
              <w:rPr/>
            </w:pPr>
            <w:r>
              <w:rPr/>
              <w:t>3,454</w:t>
            </w:r>
          </w:p>
        </w:tc>
        <w:tc>
          <w:tcPr>
            <w:tcW w:w="60" w:type="dxa"/>
            <w:tcBorders/>
            <w:shd w:fill="auto" w:val="clear"/>
            <w:tcMar>
              <w:bottom w:w="0" w:type="dxa"/>
            </w:tcMar>
            <w:vAlign w:val="center"/>
          </w:tcPr>
          <w:p>
            <w:pPr>
              <w:pStyle w:val="TableContents"/>
              <w:spacing w:before="0" w:after="283"/>
              <w:rPr/>
            </w:pPr>
            <w:r>
              <w:rPr/>
              <w:t> </w:t>
            </w:r>
          </w:p>
        </w:tc>
        <w:tc>
          <w:tcPr>
            <w:tcW w:w="2062" w:type="dxa"/>
            <w:tcBorders/>
            <w:shd w:fill="auto" w:val="clear"/>
            <w:tcMar>
              <w:bottom w:w="0" w:type="dxa"/>
            </w:tcMar>
            <w:vAlign w:val="center"/>
          </w:tcPr>
          <w:p>
            <w:pPr>
              <w:pStyle w:val="TableContents"/>
              <w:spacing w:before="0" w:after="283"/>
              <w:jc w:val="right"/>
              <w:rPr/>
            </w:pPr>
            <w:r>
              <w:rPr/>
              <w:t>$25.11</w:t>
            </w:r>
          </w:p>
        </w:tc>
        <w:tc>
          <w:tcPr>
            <w:tcW w:w="60" w:type="dxa"/>
            <w:tcBorders/>
            <w:shd w:fill="auto" w:val="clear"/>
            <w:tcMar>
              <w:bottom w:w="0" w:type="dxa"/>
            </w:tcMar>
            <w:vAlign w:val="center"/>
          </w:tcPr>
          <w:p>
            <w:pPr>
              <w:pStyle w:val="TableContents"/>
              <w:spacing w:before="0" w:after="283"/>
              <w:rPr/>
            </w:pPr>
            <w:r>
              <w:rPr/>
              <w:t> </w:t>
            </w:r>
          </w:p>
        </w:tc>
        <w:tc>
          <w:tcPr>
            <w:tcW w:w="1997" w:type="dxa"/>
            <w:tcBorders/>
            <w:shd w:fill="auto" w:val="clear"/>
            <w:tcMar>
              <w:bottom w:w="0" w:type="dxa"/>
            </w:tcMar>
            <w:vAlign w:val="center"/>
          </w:tcPr>
          <w:p>
            <w:pPr>
              <w:pStyle w:val="TableContents"/>
              <w:spacing w:before="0" w:after="283"/>
              <w:jc w:val="right"/>
              <w:rPr/>
            </w:pPr>
            <w:r>
              <w:rPr/>
              <w:t>—</w:t>
            </w:r>
          </w:p>
        </w:tc>
      </w:tr>
      <w:tr>
        <w:trPr/>
        <w:tc>
          <w:tcPr>
            <w:tcW w:w="4089" w:type="dxa"/>
            <w:tcBorders>
              <w:bottom w:val="single" w:sz="2" w:space="0" w:color="7CBC3E"/>
            </w:tcBorders>
            <w:shd w:fill="EFF6EA" w:val="clear"/>
            <w:vAlign w:val="center"/>
          </w:tcPr>
          <w:p>
            <w:pPr>
              <w:pStyle w:val="TableContents"/>
              <w:spacing w:before="0" w:after="283"/>
              <w:rPr/>
            </w:pPr>
            <w:r>
              <w:rPr/>
              <w:t>Employment Inducement Plan</w:t>
            </w:r>
          </w:p>
        </w:tc>
        <w:tc>
          <w:tcPr>
            <w:tcW w:w="60" w:type="dxa"/>
            <w:tcBorders>
              <w:bottom w:val="single" w:sz="2" w:space="0" w:color="7CBC3E"/>
            </w:tcBorders>
            <w:shd w:fill="EFF6EA" w:val="clear"/>
            <w:vAlign w:val="center"/>
          </w:tcPr>
          <w:p>
            <w:pPr>
              <w:pStyle w:val="TableContents"/>
              <w:spacing w:before="0" w:after="283"/>
              <w:rPr/>
            </w:pPr>
            <w:r>
              <w:rPr/>
              <w:t> </w:t>
            </w:r>
          </w:p>
        </w:tc>
        <w:tc>
          <w:tcPr>
            <w:tcW w:w="1877" w:type="dxa"/>
            <w:tcBorders>
              <w:bottom w:val="single" w:sz="2" w:space="0" w:color="7CBC3E"/>
            </w:tcBorders>
            <w:shd w:fill="EFF6EA" w:val="clear"/>
            <w:vAlign w:val="center"/>
          </w:tcPr>
          <w:p>
            <w:pPr>
              <w:pStyle w:val="TableContents"/>
              <w:spacing w:before="0" w:after="283"/>
              <w:jc w:val="right"/>
              <w:rPr/>
            </w:pPr>
            <w:r>
              <w:rPr/>
              <w:t>248,932</w:t>
            </w:r>
          </w:p>
        </w:tc>
        <w:tc>
          <w:tcPr>
            <w:tcW w:w="60" w:type="dxa"/>
            <w:tcBorders>
              <w:bottom w:val="single" w:sz="2" w:space="0" w:color="7CBC3E"/>
            </w:tcBorders>
            <w:shd w:fill="EFF6EA" w:val="clear"/>
            <w:vAlign w:val="center"/>
          </w:tcPr>
          <w:p>
            <w:pPr>
              <w:pStyle w:val="TableContents"/>
              <w:spacing w:before="0" w:after="283"/>
              <w:rPr/>
            </w:pPr>
            <w:r>
              <w:rPr/>
              <w:t> </w:t>
            </w:r>
          </w:p>
        </w:tc>
        <w:tc>
          <w:tcPr>
            <w:tcW w:w="2062" w:type="dxa"/>
            <w:tcBorders>
              <w:bottom w:val="single" w:sz="2" w:space="0" w:color="7CBC3E"/>
            </w:tcBorders>
            <w:shd w:fill="EFF6EA" w:val="clear"/>
            <w:vAlign w:val="center"/>
          </w:tcPr>
          <w:p>
            <w:pPr>
              <w:pStyle w:val="TableContents"/>
              <w:spacing w:before="0" w:after="283"/>
              <w:jc w:val="right"/>
              <w:rPr/>
            </w:pPr>
            <w:r>
              <w:rPr/>
              <w:t>$59.08</w:t>
            </w:r>
          </w:p>
        </w:tc>
        <w:tc>
          <w:tcPr>
            <w:tcW w:w="60" w:type="dxa"/>
            <w:tcBorders>
              <w:bottom w:val="single" w:sz="2" w:space="0" w:color="7CBC3E"/>
            </w:tcBorders>
            <w:shd w:fill="EFF6EA" w:val="clear"/>
            <w:vAlign w:val="center"/>
          </w:tcPr>
          <w:p>
            <w:pPr>
              <w:pStyle w:val="TableContents"/>
              <w:spacing w:before="0" w:after="283"/>
              <w:rPr/>
            </w:pPr>
            <w:r>
              <w:rPr/>
              <w:t> </w:t>
            </w:r>
          </w:p>
        </w:tc>
        <w:tc>
          <w:tcPr>
            <w:tcW w:w="1997" w:type="dxa"/>
            <w:tcBorders>
              <w:bottom w:val="single" w:sz="2" w:space="0" w:color="7CBC3E"/>
            </w:tcBorders>
            <w:shd w:fill="EFF6EA" w:val="clear"/>
            <w:vAlign w:val="center"/>
          </w:tcPr>
          <w:p>
            <w:pPr>
              <w:pStyle w:val="TableContents"/>
              <w:spacing w:before="0" w:after="283"/>
              <w:jc w:val="right"/>
              <w:rPr/>
            </w:pPr>
            <w:r>
              <w:rPr/>
              <w:t>247,369</w:t>
            </w:r>
          </w:p>
        </w:tc>
      </w:tr>
      <w:tr>
        <w:trPr/>
        <w:tc>
          <w:tcPr>
            <w:tcW w:w="4089" w:type="dxa"/>
            <w:tcBorders>
              <w:bottom w:val="single" w:sz="12" w:space="0" w:color="7CBC3E"/>
            </w:tcBorders>
            <w:shd w:fill="auto" w:val="clear"/>
            <w:vAlign w:val="center"/>
          </w:tcPr>
          <w:p>
            <w:pPr>
              <w:pStyle w:val="TableContents"/>
              <w:spacing w:before="0" w:after="283"/>
              <w:rPr>
                <w:b/>
                <w:color w:val="7CBC3E"/>
              </w:rPr>
            </w:pPr>
            <w:r>
              <w:rPr>
                <w:b/>
                <w:color w:val="7CBC3E"/>
              </w:rPr>
              <w:t>TOTAL</w:t>
            </w:r>
          </w:p>
        </w:tc>
        <w:tc>
          <w:tcPr>
            <w:tcW w:w="60" w:type="dxa"/>
            <w:tcBorders>
              <w:bottom w:val="single" w:sz="12" w:space="0" w:color="7CBC3E"/>
            </w:tcBorders>
            <w:shd w:fill="auto" w:val="clear"/>
            <w:vAlign w:val="center"/>
          </w:tcPr>
          <w:p>
            <w:pPr>
              <w:pStyle w:val="TableContents"/>
              <w:spacing w:before="0" w:after="283"/>
              <w:rPr/>
            </w:pPr>
            <w:r>
              <w:rPr/>
              <w:t> </w:t>
            </w:r>
          </w:p>
        </w:tc>
        <w:tc>
          <w:tcPr>
            <w:tcW w:w="1877" w:type="dxa"/>
            <w:tcBorders>
              <w:bottom w:val="single" w:sz="12" w:space="0" w:color="7CBC3E"/>
            </w:tcBorders>
            <w:shd w:fill="auto" w:val="clear"/>
            <w:vAlign w:val="center"/>
          </w:tcPr>
          <w:p>
            <w:pPr>
              <w:pStyle w:val="TableContents"/>
              <w:spacing w:before="0" w:after="283"/>
              <w:jc w:val="right"/>
              <w:rPr>
                <w:b/>
                <w:color w:val="7CBC3E"/>
              </w:rPr>
            </w:pPr>
            <w:r>
              <w:rPr>
                <w:b/>
                <w:color w:val="7CBC3E"/>
              </w:rPr>
              <w:t>11,736,349</w:t>
            </w:r>
          </w:p>
        </w:tc>
        <w:tc>
          <w:tcPr>
            <w:tcW w:w="60" w:type="dxa"/>
            <w:tcBorders>
              <w:bottom w:val="single" w:sz="12" w:space="0" w:color="7CBC3E"/>
            </w:tcBorders>
            <w:shd w:fill="auto" w:val="clear"/>
            <w:vAlign w:val="center"/>
          </w:tcPr>
          <w:p>
            <w:pPr>
              <w:pStyle w:val="TableContents"/>
              <w:spacing w:before="0" w:after="283"/>
              <w:rPr/>
            </w:pPr>
            <w:r>
              <w:rPr/>
              <w:t> </w:t>
            </w:r>
          </w:p>
        </w:tc>
        <w:tc>
          <w:tcPr>
            <w:tcW w:w="2062" w:type="dxa"/>
            <w:tcBorders>
              <w:bottom w:val="single" w:sz="12" w:space="0" w:color="7CBC3E"/>
            </w:tcBorders>
            <w:shd w:fill="auto" w:val="clear"/>
            <w:vAlign w:val="center"/>
          </w:tcPr>
          <w:p>
            <w:pPr>
              <w:pStyle w:val="TableContents"/>
              <w:spacing w:before="0" w:after="283"/>
              <w:jc w:val="right"/>
              <w:rPr>
                <w:b/>
                <w:color w:val="7CBC3E"/>
              </w:rPr>
            </w:pPr>
            <w:r>
              <w:rPr>
                <w:b/>
                <w:color w:val="7CBC3E"/>
              </w:rPr>
              <w:t>$71.66</w:t>
            </w:r>
          </w:p>
        </w:tc>
        <w:tc>
          <w:tcPr>
            <w:tcW w:w="60" w:type="dxa"/>
            <w:tcBorders>
              <w:bottom w:val="single" w:sz="12" w:space="0" w:color="7CBC3E"/>
            </w:tcBorders>
            <w:shd w:fill="auto" w:val="clear"/>
            <w:vAlign w:val="center"/>
          </w:tcPr>
          <w:p>
            <w:pPr>
              <w:pStyle w:val="TableContents"/>
              <w:spacing w:before="0" w:after="283"/>
              <w:rPr/>
            </w:pPr>
            <w:r>
              <w:rPr/>
              <w:t> </w:t>
            </w:r>
          </w:p>
        </w:tc>
        <w:tc>
          <w:tcPr>
            <w:tcW w:w="1997" w:type="dxa"/>
            <w:tcBorders>
              <w:bottom w:val="single" w:sz="12" w:space="0" w:color="7CBC3E"/>
            </w:tcBorders>
            <w:shd w:fill="auto" w:val="clear"/>
            <w:vAlign w:val="center"/>
          </w:tcPr>
          <w:p>
            <w:pPr>
              <w:pStyle w:val="TableContents"/>
              <w:spacing w:before="0" w:after="283"/>
              <w:jc w:val="right"/>
              <w:rPr>
                <w:b/>
                <w:color w:val="7CBC3E"/>
              </w:rPr>
            </w:pPr>
            <w:r>
              <w:rPr>
                <w:b/>
                <w:color w:val="7CBC3E"/>
              </w:rPr>
              <w:t>7,060,675</w:t>
            </w:r>
          </w:p>
        </w:tc>
      </w:tr>
    </w:tbl>
    <w:p>
      <w:pPr>
        <w:pStyle w:val="TextBody"/>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rPr/>
            </w:pPr>
            <w:r>
              <w:rPr/>
              <w:t>(1)</w:t>
            </w:r>
          </w:p>
        </w:tc>
        <w:tc>
          <w:tcPr>
            <w:tcW w:w="9966" w:type="dxa"/>
            <w:tcBorders/>
            <w:shd w:fill="auto" w:val="clear"/>
            <w:vAlign w:val="center"/>
          </w:tcPr>
          <w:p>
            <w:pPr>
              <w:pStyle w:val="TableContents"/>
              <w:spacing w:before="0" w:after="283"/>
              <w:jc w:val="both"/>
              <w:rPr/>
            </w:pPr>
            <w:r>
              <w:rPr/>
              <w:t>In connection with our acquisition of Dimension Therapeutics, Inc. on November 7, 2017, we assumed these plans and outstanding option awards thereunder (whether or not then vested or exercisable). The assumed awards continue to have, and are subject to, the same terms and conditions as were applicable prior to the acquisition as set forth in the applicable plan (including any applicable award agreement, other agreement or other document evidencing such awards), except that the awards are exercisable for shares of our common stock with exercise prices adjusted to reflect the terms of the acquisition, all as set forth in the merger agreement. No new awards can be made under these plans.</w:t>
            </w:r>
          </w:p>
        </w:tc>
      </w:tr>
    </w:tbl>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67</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2"/>
        <w:rPr>
          <w:rFonts w:ascii="Arial;Helvetica;Sans-Serif" w:hAnsi="Arial;Helvetica;Sans-Serif"/>
          <w:b/>
          <w:i w:val="false"/>
          <w:caps w:val="false"/>
          <w:smallCaps w:val="false"/>
          <w:color w:val="7CBC3E"/>
          <w:sz w:val="40"/>
        </w:rPr>
      </w:pPr>
      <w:bookmarkStart w:id="116" w:name="lrarea103"/>
      <w:bookmarkEnd w:id="116"/>
      <w:r>
        <w:rPr>
          <w:rFonts w:ascii="Arial;Helvetica;Sans-Serif" w:hAnsi="Arial;Helvetica;Sans-Serif"/>
          <w:b/>
          <w:i w:val="false"/>
          <w:caps w:val="false"/>
          <w:smallCaps w:val="false"/>
          <w:color w:val="7CBC3E"/>
          <w:sz w:val="40"/>
        </w:rPr>
        <w:t>Director Compensation</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has adopted a non-employee director compensation policy that is designed to provide a total compensation package that enables us to attract and retain, on a long-term basis, high caliber non-employee directors. A Board compensation review prepared by Aon in February 2022 provided a competitive assessment of our compensation practices for non-employee directors in connection with the Compensation Committee’s evaluation of the level of compensation for our non-employee directors for 2022.</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summary of the non-employee director cash compensation arrangements for fiscal 2022 is set forth below:</w:t>
      </w:r>
    </w:p>
    <w:p>
      <w:pPr>
        <w:pStyle w:val="TextBody"/>
        <w:jc w:val="both"/>
        <w:rPr>
          <w:caps w:val="false"/>
          <w:smallCaps w:val="false"/>
        </w:rPr>
      </w:pPr>
      <w:r>
        <w:rPr>
          <w:caps w:val="false"/>
          <w:smallCaps w:val="false"/>
        </w:rPr>
        <w:t> </w:t>
      </w:r>
    </w:p>
    <w:tbl>
      <w:tblPr>
        <w:tblW w:w="7209" w:type="dxa"/>
        <w:jc w:val="left"/>
        <w:tblInd w:w="0" w:type="dxa"/>
        <w:tblCellMar>
          <w:top w:w="0" w:type="dxa"/>
          <w:left w:w="0" w:type="dxa"/>
          <w:bottom w:w="28" w:type="dxa"/>
          <w:right w:w="0" w:type="dxa"/>
        </w:tblCellMar>
      </w:tblPr>
      <w:tblGrid>
        <w:gridCol w:w="5345"/>
        <w:gridCol w:w="60"/>
        <w:gridCol w:w="825"/>
        <w:gridCol w:w="904"/>
        <w:gridCol w:w="75"/>
      </w:tblGrid>
      <w:tr>
        <w:trPr/>
        <w:tc>
          <w:tcPr>
            <w:tcW w:w="5345" w:type="dxa"/>
            <w:tcBorders>
              <w:bottom w:val="single" w:sz="12" w:space="0" w:color="7CBC3E"/>
            </w:tcBorders>
            <w:shd w:fill="auto" w:val="clear"/>
            <w:vAlign w:val="center"/>
          </w:tcPr>
          <w:p>
            <w:pPr>
              <w:pStyle w:val="TableContents"/>
              <w:spacing w:before="0" w:after="283"/>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729" w:type="dxa"/>
            <w:gridSpan w:val="2"/>
            <w:tcBorders>
              <w:bottom w:val="single" w:sz="12" w:space="0" w:color="7CBC3E"/>
            </w:tcBorders>
            <w:shd w:fill="auto" w:val="clear"/>
            <w:vAlign w:val="center"/>
          </w:tcPr>
          <w:p>
            <w:pPr>
              <w:pStyle w:val="TableContents"/>
              <w:spacing w:before="0" w:after="283"/>
              <w:jc w:val="right"/>
              <w:rPr>
                <w:b/>
              </w:rPr>
            </w:pPr>
            <w:r>
              <w:rPr>
                <w:b/>
              </w:rPr>
              <w:t>Annual Retainer</w:t>
            </w:r>
          </w:p>
        </w:tc>
        <w:tc>
          <w:tcPr>
            <w:tcW w:w="75" w:type="dxa"/>
            <w:tcBorders>
              <w:bottom w:val="single" w:sz="12" w:space="0" w:color="7CBC3E"/>
            </w:tcBorders>
            <w:shd w:fill="auto" w:val="clear"/>
            <w:vAlign w:val="center"/>
          </w:tcPr>
          <w:p>
            <w:pPr>
              <w:pStyle w:val="TableContents"/>
              <w:spacing w:before="0" w:after="283"/>
              <w:rPr/>
            </w:pPr>
            <w:r>
              <w:rPr/>
              <w:t> </w:t>
            </w:r>
          </w:p>
        </w:tc>
      </w:tr>
      <w:tr>
        <w:trPr/>
        <w:tc>
          <w:tcPr>
            <w:tcW w:w="5345" w:type="dxa"/>
            <w:tcBorders/>
            <w:shd w:fill="auto" w:val="clear"/>
            <w:tcMar>
              <w:bottom w:w="0" w:type="dxa"/>
            </w:tcMar>
            <w:vAlign w:val="center"/>
          </w:tcPr>
          <w:p>
            <w:pPr>
              <w:pStyle w:val="TableContents"/>
              <w:spacing w:before="0" w:after="283"/>
              <w:rPr>
                <w:b/>
              </w:rPr>
            </w:pPr>
            <w:r>
              <w:rPr>
                <w:b/>
              </w:rPr>
              <w:t>Board of Directors:</w:t>
            </w:r>
          </w:p>
        </w:tc>
        <w:tc>
          <w:tcPr>
            <w:tcW w:w="60" w:type="dxa"/>
            <w:tcBorders/>
            <w:shd w:fill="auto" w:val="clear"/>
            <w:tcMar>
              <w:bottom w:w="0" w:type="dxa"/>
            </w:tcMar>
            <w:vAlign w:val="center"/>
          </w:tcPr>
          <w:p>
            <w:pPr>
              <w:pStyle w:val="TableContents"/>
              <w:spacing w:before="0" w:after="283"/>
              <w:rPr/>
            </w:pPr>
            <w:r>
              <w:rPr/>
              <w:t> </w:t>
            </w:r>
          </w:p>
        </w:tc>
        <w:tc>
          <w:tcPr>
            <w:tcW w:w="825" w:type="dxa"/>
            <w:tcBorders/>
            <w:shd w:fill="auto" w:val="clear"/>
            <w:tcMar>
              <w:bottom w:w="0" w:type="dxa"/>
            </w:tcMar>
            <w:vAlign w:val="center"/>
          </w:tcPr>
          <w:p>
            <w:pPr>
              <w:pStyle w:val="TableContents"/>
              <w:spacing w:before="0" w:after="283"/>
              <w:jc w:val="right"/>
              <w:rPr/>
            </w:pPr>
            <w:r>
              <w:rPr/>
              <w:t> </w:t>
            </w:r>
          </w:p>
        </w:tc>
        <w:tc>
          <w:tcPr>
            <w:tcW w:w="904"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jc w:val="left"/>
              <w:rPr/>
            </w:pPr>
            <w:r>
              <w:rPr/>
              <w:t> </w:t>
            </w:r>
          </w:p>
        </w:tc>
      </w:tr>
      <w:tr>
        <w:trPr/>
        <w:tc>
          <w:tcPr>
            <w:tcW w:w="5345" w:type="dxa"/>
            <w:tcBorders/>
            <w:shd w:fill="EFF6EA" w:val="clear"/>
            <w:tcMar>
              <w:bottom w:w="0" w:type="dxa"/>
            </w:tcMar>
            <w:vAlign w:val="center"/>
          </w:tcPr>
          <w:p>
            <w:pPr>
              <w:pStyle w:val="TableContents"/>
              <w:spacing w:before="0" w:after="283"/>
              <w:rPr/>
            </w:pPr>
            <w:r>
              <w:rPr/>
              <w:t>Chairman</w:t>
            </w:r>
          </w:p>
        </w:tc>
        <w:tc>
          <w:tcPr>
            <w:tcW w:w="60" w:type="dxa"/>
            <w:tcBorders/>
            <w:shd w:fill="EFF6EA" w:val="clear"/>
            <w:tcMar>
              <w:bottom w:w="0" w:type="dxa"/>
            </w:tcMar>
            <w:vAlign w:val="center"/>
          </w:tcPr>
          <w:p>
            <w:pPr>
              <w:pStyle w:val="TableContents"/>
              <w:spacing w:before="0" w:after="283"/>
              <w:rPr/>
            </w:pPr>
            <w:r>
              <w:rPr/>
              <w:t> </w:t>
            </w:r>
          </w:p>
        </w:tc>
        <w:tc>
          <w:tcPr>
            <w:tcW w:w="825" w:type="dxa"/>
            <w:tcBorders/>
            <w:shd w:fill="EFF6EA" w:val="clear"/>
            <w:tcMar>
              <w:bottom w:w="0" w:type="dxa"/>
            </w:tcMar>
            <w:vAlign w:val="center"/>
          </w:tcPr>
          <w:p>
            <w:pPr>
              <w:pStyle w:val="TableContents"/>
              <w:spacing w:before="0" w:after="283"/>
              <w:jc w:val="right"/>
              <w:rPr/>
            </w:pPr>
            <w:r>
              <w:rPr/>
              <w:t>        </w:t>
            </w:r>
            <w:r>
              <w:rPr/>
              <w:t>$</w:t>
            </w:r>
          </w:p>
        </w:tc>
        <w:tc>
          <w:tcPr>
            <w:tcW w:w="904" w:type="dxa"/>
            <w:tcBorders/>
            <w:shd w:fill="EFF6EA" w:val="clear"/>
            <w:tcMar>
              <w:bottom w:w="0" w:type="dxa"/>
            </w:tcMar>
            <w:vAlign w:val="center"/>
          </w:tcPr>
          <w:p>
            <w:pPr>
              <w:pStyle w:val="TableContents"/>
              <w:spacing w:before="0" w:after="283"/>
              <w:jc w:val="right"/>
              <w:rPr/>
            </w:pPr>
            <w:r>
              <w:rPr/>
              <w:t>85,000</w:t>
            </w:r>
          </w:p>
        </w:tc>
        <w:tc>
          <w:tcPr>
            <w:tcW w:w="75" w:type="dxa"/>
            <w:tcBorders/>
            <w:shd w:fill="EFF6EA" w:val="clear"/>
            <w:tcMar>
              <w:bottom w:w="0" w:type="dxa"/>
            </w:tcMar>
            <w:vAlign w:val="center"/>
          </w:tcPr>
          <w:p>
            <w:pPr>
              <w:pStyle w:val="TableContents"/>
              <w:spacing w:before="0" w:after="283"/>
              <w:jc w:val="left"/>
              <w:rPr/>
            </w:pPr>
            <w:r>
              <w:rPr/>
              <w:t> </w:t>
            </w:r>
          </w:p>
        </w:tc>
      </w:tr>
      <w:tr>
        <w:trPr/>
        <w:tc>
          <w:tcPr>
            <w:tcW w:w="5345" w:type="dxa"/>
            <w:tcBorders/>
            <w:shd w:fill="auto" w:val="clear"/>
            <w:tcMar>
              <w:bottom w:w="0" w:type="dxa"/>
            </w:tcMar>
            <w:vAlign w:val="center"/>
          </w:tcPr>
          <w:p>
            <w:pPr>
              <w:pStyle w:val="TableContents"/>
              <w:spacing w:before="0" w:after="283"/>
              <w:rPr/>
            </w:pPr>
            <w:r>
              <w:rPr/>
              <w:t>Non-Chairman members</w:t>
            </w:r>
          </w:p>
        </w:tc>
        <w:tc>
          <w:tcPr>
            <w:tcW w:w="60" w:type="dxa"/>
            <w:tcBorders/>
            <w:shd w:fill="auto" w:val="clear"/>
            <w:tcMar>
              <w:bottom w:w="0" w:type="dxa"/>
            </w:tcMar>
            <w:vAlign w:val="center"/>
          </w:tcPr>
          <w:p>
            <w:pPr>
              <w:pStyle w:val="TableContents"/>
              <w:spacing w:before="0" w:after="283"/>
              <w:rPr/>
            </w:pPr>
            <w:r>
              <w:rPr/>
              <w:t> </w:t>
            </w:r>
          </w:p>
        </w:tc>
        <w:tc>
          <w:tcPr>
            <w:tcW w:w="825" w:type="dxa"/>
            <w:tcBorders/>
            <w:shd w:fill="auto" w:val="clear"/>
            <w:tcMar>
              <w:bottom w:w="0" w:type="dxa"/>
            </w:tcMar>
            <w:vAlign w:val="center"/>
          </w:tcPr>
          <w:p>
            <w:pPr>
              <w:pStyle w:val="TableContents"/>
              <w:spacing w:before="0" w:after="283"/>
              <w:jc w:val="right"/>
              <w:rPr/>
            </w:pPr>
            <w:r>
              <w:rPr/>
              <w:t>$</w:t>
            </w:r>
          </w:p>
        </w:tc>
        <w:tc>
          <w:tcPr>
            <w:tcW w:w="904" w:type="dxa"/>
            <w:tcBorders/>
            <w:shd w:fill="auto" w:val="clear"/>
            <w:tcMar>
              <w:bottom w:w="0" w:type="dxa"/>
            </w:tcMar>
            <w:vAlign w:val="center"/>
          </w:tcPr>
          <w:p>
            <w:pPr>
              <w:pStyle w:val="TableContents"/>
              <w:spacing w:before="0" w:after="283"/>
              <w:jc w:val="right"/>
              <w:rPr/>
            </w:pPr>
            <w:r>
              <w:rPr/>
              <w:t>50,000</w:t>
            </w:r>
          </w:p>
        </w:tc>
        <w:tc>
          <w:tcPr>
            <w:tcW w:w="75" w:type="dxa"/>
            <w:tcBorders/>
            <w:shd w:fill="auto" w:val="clear"/>
            <w:tcMar>
              <w:bottom w:w="0" w:type="dxa"/>
            </w:tcMar>
            <w:vAlign w:val="center"/>
          </w:tcPr>
          <w:p>
            <w:pPr>
              <w:pStyle w:val="TableContents"/>
              <w:spacing w:before="0" w:after="283"/>
              <w:jc w:val="left"/>
              <w:rPr/>
            </w:pPr>
            <w:r>
              <w:rPr/>
              <w:t> </w:t>
            </w:r>
          </w:p>
        </w:tc>
      </w:tr>
      <w:tr>
        <w:trPr/>
        <w:tc>
          <w:tcPr>
            <w:tcW w:w="5345" w:type="dxa"/>
            <w:tcBorders/>
            <w:shd w:fill="EFF6EA" w:val="clear"/>
            <w:tcMar>
              <w:bottom w:w="0" w:type="dxa"/>
            </w:tcMar>
            <w:vAlign w:val="center"/>
          </w:tcPr>
          <w:p>
            <w:pPr>
              <w:pStyle w:val="TableContents"/>
              <w:spacing w:before="0" w:after="283"/>
              <w:jc w:val="left"/>
              <w:rPr>
                <w:b/>
              </w:rPr>
            </w:pPr>
            <w:r>
              <w:rPr>
                <w:b/>
              </w:rPr>
              <w:t>Audit Committee:</w:t>
            </w:r>
          </w:p>
        </w:tc>
        <w:tc>
          <w:tcPr>
            <w:tcW w:w="60" w:type="dxa"/>
            <w:tcBorders/>
            <w:shd w:fill="EFF6EA" w:val="clear"/>
            <w:tcMar>
              <w:bottom w:w="0" w:type="dxa"/>
            </w:tcMar>
            <w:vAlign w:val="center"/>
          </w:tcPr>
          <w:p>
            <w:pPr>
              <w:pStyle w:val="TableContents"/>
              <w:spacing w:before="0" w:after="283"/>
              <w:rPr/>
            </w:pPr>
            <w:r>
              <w:rPr/>
              <w:t> </w:t>
            </w:r>
          </w:p>
        </w:tc>
        <w:tc>
          <w:tcPr>
            <w:tcW w:w="825" w:type="dxa"/>
            <w:tcBorders/>
            <w:shd w:fill="EFF6EA" w:val="clear"/>
            <w:tcMar>
              <w:bottom w:w="0" w:type="dxa"/>
            </w:tcMar>
            <w:vAlign w:val="center"/>
          </w:tcPr>
          <w:p>
            <w:pPr>
              <w:pStyle w:val="TableContents"/>
              <w:spacing w:before="0" w:after="283"/>
              <w:jc w:val="right"/>
              <w:rPr/>
            </w:pPr>
            <w:r>
              <w:rPr/>
              <w:t> </w:t>
            </w:r>
          </w:p>
        </w:tc>
        <w:tc>
          <w:tcPr>
            <w:tcW w:w="904" w:type="dxa"/>
            <w:tcBorders/>
            <w:shd w:fill="EFF6EA" w:val="clear"/>
            <w:tcMar>
              <w:bottom w:w="0" w:type="dxa"/>
            </w:tcMar>
            <w:vAlign w:val="center"/>
          </w:tcPr>
          <w:p>
            <w:pPr>
              <w:pStyle w:val="TableContents"/>
              <w:spacing w:before="0" w:after="283"/>
              <w:jc w:val="right"/>
              <w:rPr/>
            </w:pPr>
            <w:r>
              <w:rPr/>
              <w:t> </w:t>
            </w:r>
          </w:p>
        </w:tc>
        <w:tc>
          <w:tcPr>
            <w:tcW w:w="75" w:type="dxa"/>
            <w:tcBorders/>
            <w:shd w:fill="EFF6EA" w:val="clear"/>
            <w:tcMar>
              <w:bottom w:w="0" w:type="dxa"/>
            </w:tcMar>
            <w:vAlign w:val="center"/>
          </w:tcPr>
          <w:p>
            <w:pPr>
              <w:pStyle w:val="TableContents"/>
              <w:spacing w:before="0" w:after="283"/>
              <w:jc w:val="left"/>
              <w:rPr/>
            </w:pPr>
            <w:r>
              <w:rPr/>
              <w:t> </w:t>
            </w:r>
          </w:p>
        </w:tc>
      </w:tr>
      <w:tr>
        <w:trPr/>
        <w:tc>
          <w:tcPr>
            <w:tcW w:w="5345" w:type="dxa"/>
            <w:tcBorders/>
            <w:shd w:fill="auto" w:val="clear"/>
            <w:tcMar>
              <w:bottom w:w="0" w:type="dxa"/>
            </w:tcMar>
            <w:vAlign w:val="center"/>
          </w:tcPr>
          <w:p>
            <w:pPr>
              <w:pStyle w:val="TableContents"/>
              <w:spacing w:before="0" w:after="283"/>
              <w:rPr/>
            </w:pPr>
            <w:r>
              <w:rPr/>
              <w:t>Chairman</w:t>
            </w:r>
          </w:p>
        </w:tc>
        <w:tc>
          <w:tcPr>
            <w:tcW w:w="60" w:type="dxa"/>
            <w:tcBorders/>
            <w:shd w:fill="auto" w:val="clear"/>
            <w:tcMar>
              <w:bottom w:w="0" w:type="dxa"/>
            </w:tcMar>
            <w:vAlign w:val="center"/>
          </w:tcPr>
          <w:p>
            <w:pPr>
              <w:pStyle w:val="TableContents"/>
              <w:spacing w:before="0" w:after="283"/>
              <w:rPr/>
            </w:pPr>
            <w:r>
              <w:rPr/>
              <w:t> </w:t>
            </w:r>
          </w:p>
        </w:tc>
        <w:tc>
          <w:tcPr>
            <w:tcW w:w="825" w:type="dxa"/>
            <w:tcBorders/>
            <w:shd w:fill="auto" w:val="clear"/>
            <w:tcMar>
              <w:bottom w:w="0" w:type="dxa"/>
            </w:tcMar>
            <w:vAlign w:val="center"/>
          </w:tcPr>
          <w:p>
            <w:pPr>
              <w:pStyle w:val="TableContents"/>
              <w:spacing w:before="0" w:after="283"/>
              <w:jc w:val="right"/>
              <w:rPr/>
            </w:pPr>
            <w:r>
              <w:rPr/>
              <w:t>$</w:t>
            </w:r>
          </w:p>
        </w:tc>
        <w:tc>
          <w:tcPr>
            <w:tcW w:w="904" w:type="dxa"/>
            <w:tcBorders/>
            <w:shd w:fill="auto" w:val="clear"/>
            <w:tcMar>
              <w:bottom w:w="0" w:type="dxa"/>
            </w:tcMar>
            <w:vAlign w:val="center"/>
          </w:tcPr>
          <w:p>
            <w:pPr>
              <w:pStyle w:val="TableContents"/>
              <w:spacing w:before="0" w:after="283"/>
              <w:jc w:val="right"/>
              <w:rPr/>
            </w:pPr>
            <w:r>
              <w:rPr/>
              <w:t>25,000</w:t>
            </w:r>
          </w:p>
        </w:tc>
        <w:tc>
          <w:tcPr>
            <w:tcW w:w="75" w:type="dxa"/>
            <w:tcBorders/>
            <w:shd w:fill="auto" w:val="clear"/>
            <w:tcMar>
              <w:bottom w:w="0" w:type="dxa"/>
            </w:tcMar>
            <w:vAlign w:val="center"/>
          </w:tcPr>
          <w:p>
            <w:pPr>
              <w:pStyle w:val="TableContents"/>
              <w:spacing w:before="0" w:after="283"/>
              <w:jc w:val="left"/>
              <w:rPr/>
            </w:pPr>
            <w:r>
              <w:rPr/>
              <w:t> </w:t>
            </w:r>
          </w:p>
        </w:tc>
      </w:tr>
      <w:tr>
        <w:trPr/>
        <w:tc>
          <w:tcPr>
            <w:tcW w:w="5345" w:type="dxa"/>
            <w:tcBorders/>
            <w:shd w:fill="EFF6EA" w:val="clear"/>
            <w:tcMar>
              <w:bottom w:w="0" w:type="dxa"/>
            </w:tcMar>
            <w:vAlign w:val="center"/>
          </w:tcPr>
          <w:p>
            <w:pPr>
              <w:pStyle w:val="TableContents"/>
              <w:spacing w:before="0" w:after="283"/>
              <w:rPr/>
            </w:pPr>
            <w:r>
              <w:rPr/>
              <w:t>Non-Chairman members</w:t>
            </w:r>
          </w:p>
        </w:tc>
        <w:tc>
          <w:tcPr>
            <w:tcW w:w="60" w:type="dxa"/>
            <w:tcBorders/>
            <w:shd w:fill="EFF6EA" w:val="clear"/>
            <w:tcMar>
              <w:bottom w:w="0" w:type="dxa"/>
            </w:tcMar>
            <w:vAlign w:val="center"/>
          </w:tcPr>
          <w:p>
            <w:pPr>
              <w:pStyle w:val="TableContents"/>
              <w:spacing w:before="0" w:after="283"/>
              <w:rPr/>
            </w:pPr>
            <w:r>
              <w:rPr/>
              <w:t> </w:t>
            </w:r>
          </w:p>
        </w:tc>
        <w:tc>
          <w:tcPr>
            <w:tcW w:w="825" w:type="dxa"/>
            <w:tcBorders/>
            <w:shd w:fill="EFF6EA" w:val="clear"/>
            <w:tcMar>
              <w:bottom w:w="0" w:type="dxa"/>
            </w:tcMar>
            <w:vAlign w:val="center"/>
          </w:tcPr>
          <w:p>
            <w:pPr>
              <w:pStyle w:val="TableContents"/>
              <w:spacing w:before="0" w:after="283"/>
              <w:jc w:val="right"/>
              <w:rPr/>
            </w:pPr>
            <w:r>
              <w:rPr/>
              <w:t>$</w:t>
            </w:r>
          </w:p>
        </w:tc>
        <w:tc>
          <w:tcPr>
            <w:tcW w:w="904" w:type="dxa"/>
            <w:tcBorders/>
            <w:shd w:fill="EFF6EA" w:val="clear"/>
            <w:tcMar>
              <w:bottom w:w="0" w:type="dxa"/>
            </w:tcMar>
            <w:vAlign w:val="center"/>
          </w:tcPr>
          <w:p>
            <w:pPr>
              <w:pStyle w:val="TableContents"/>
              <w:spacing w:before="0" w:after="283"/>
              <w:jc w:val="right"/>
              <w:rPr/>
            </w:pPr>
            <w:r>
              <w:rPr/>
              <w:t>12,500</w:t>
            </w:r>
          </w:p>
        </w:tc>
        <w:tc>
          <w:tcPr>
            <w:tcW w:w="75" w:type="dxa"/>
            <w:tcBorders/>
            <w:shd w:fill="EFF6EA" w:val="clear"/>
            <w:tcMar>
              <w:bottom w:w="0" w:type="dxa"/>
            </w:tcMar>
            <w:vAlign w:val="center"/>
          </w:tcPr>
          <w:p>
            <w:pPr>
              <w:pStyle w:val="TableContents"/>
              <w:spacing w:before="0" w:after="283"/>
              <w:jc w:val="left"/>
              <w:rPr/>
            </w:pPr>
            <w:r>
              <w:rPr/>
              <w:t> </w:t>
            </w:r>
          </w:p>
        </w:tc>
      </w:tr>
      <w:tr>
        <w:trPr/>
        <w:tc>
          <w:tcPr>
            <w:tcW w:w="5345" w:type="dxa"/>
            <w:tcBorders/>
            <w:shd w:fill="auto" w:val="clear"/>
            <w:tcMar>
              <w:bottom w:w="0" w:type="dxa"/>
            </w:tcMar>
            <w:vAlign w:val="center"/>
          </w:tcPr>
          <w:p>
            <w:pPr>
              <w:pStyle w:val="TableContents"/>
              <w:spacing w:before="0" w:after="283"/>
              <w:jc w:val="left"/>
              <w:rPr>
                <w:b/>
              </w:rPr>
            </w:pPr>
            <w:r>
              <w:rPr>
                <w:b/>
              </w:rPr>
              <w:t>Compensation Committee:</w:t>
            </w:r>
          </w:p>
        </w:tc>
        <w:tc>
          <w:tcPr>
            <w:tcW w:w="60" w:type="dxa"/>
            <w:tcBorders/>
            <w:shd w:fill="auto" w:val="clear"/>
            <w:tcMar>
              <w:bottom w:w="0" w:type="dxa"/>
            </w:tcMar>
            <w:vAlign w:val="center"/>
          </w:tcPr>
          <w:p>
            <w:pPr>
              <w:pStyle w:val="TableContents"/>
              <w:spacing w:before="0" w:after="283"/>
              <w:rPr/>
            </w:pPr>
            <w:r>
              <w:rPr/>
              <w:t> </w:t>
            </w:r>
          </w:p>
        </w:tc>
        <w:tc>
          <w:tcPr>
            <w:tcW w:w="825" w:type="dxa"/>
            <w:tcBorders/>
            <w:shd w:fill="auto" w:val="clear"/>
            <w:tcMar>
              <w:bottom w:w="0" w:type="dxa"/>
            </w:tcMar>
            <w:vAlign w:val="center"/>
          </w:tcPr>
          <w:p>
            <w:pPr>
              <w:pStyle w:val="TableContents"/>
              <w:spacing w:before="0" w:after="283"/>
              <w:jc w:val="right"/>
              <w:rPr/>
            </w:pPr>
            <w:r>
              <w:rPr/>
              <w:t> </w:t>
            </w:r>
          </w:p>
        </w:tc>
        <w:tc>
          <w:tcPr>
            <w:tcW w:w="904"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jc w:val="left"/>
              <w:rPr/>
            </w:pPr>
            <w:r>
              <w:rPr/>
              <w:t> </w:t>
            </w:r>
          </w:p>
        </w:tc>
      </w:tr>
      <w:tr>
        <w:trPr/>
        <w:tc>
          <w:tcPr>
            <w:tcW w:w="5345" w:type="dxa"/>
            <w:tcBorders/>
            <w:shd w:fill="EFF6EA" w:val="clear"/>
            <w:tcMar>
              <w:bottom w:w="0" w:type="dxa"/>
            </w:tcMar>
            <w:vAlign w:val="center"/>
          </w:tcPr>
          <w:p>
            <w:pPr>
              <w:pStyle w:val="TableContents"/>
              <w:spacing w:before="0" w:after="283"/>
              <w:rPr/>
            </w:pPr>
            <w:r>
              <w:rPr/>
              <w:t>Chairman</w:t>
            </w:r>
          </w:p>
        </w:tc>
        <w:tc>
          <w:tcPr>
            <w:tcW w:w="60" w:type="dxa"/>
            <w:tcBorders/>
            <w:shd w:fill="EFF6EA" w:val="clear"/>
            <w:tcMar>
              <w:bottom w:w="0" w:type="dxa"/>
            </w:tcMar>
            <w:vAlign w:val="center"/>
          </w:tcPr>
          <w:p>
            <w:pPr>
              <w:pStyle w:val="TableContents"/>
              <w:spacing w:before="0" w:after="283"/>
              <w:rPr/>
            </w:pPr>
            <w:r>
              <w:rPr/>
              <w:t> </w:t>
            </w:r>
          </w:p>
        </w:tc>
        <w:tc>
          <w:tcPr>
            <w:tcW w:w="825" w:type="dxa"/>
            <w:tcBorders/>
            <w:shd w:fill="EFF6EA" w:val="clear"/>
            <w:tcMar>
              <w:bottom w:w="0" w:type="dxa"/>
            </w:tcMar>
            <w:vAlign w:val="center"/>
          </w:tcPr>
          <w:p>
            <w:pPr>
              <w:pStyle w:val="TableContents"/>
              <w:spacing w:before="0" w:after="283"/>
              <w:jc w:val="right"/>
              <w:rPr/>
            </w:pPr>
            <w:r>
              <w:rPr/>
              <w:t>$</w:t>
            </w:r>
          </w:p>
        </w:tc>
        <w:tc>
          <w:tcPr>
            <w:tcW w:w="904" w:type="dxa"/>
            <w:tcBorders/>
            <w:shd w:fill="EFF6EA" w:val="clear"/>
            <w:tcMar>
              <w:bottom w:w="0" w:type="dxa"/>
            </w:tcMar>
            <w:vAlign w:val="center"/>
          </w:tcPr>
          <w:p>
            <w:pPr>
              <w:pStyle w:val="TableContents"/>
              <w:spacing w:before="0" w:after="283"/>
              <w:jc w:val="right"/>
              <w:rPr/>
            </w:pPr>
            <w:r>
              <w:rPr/>
              <w:t>20,000</w:t>
            </w:r>
          </w:p>
        </w:tc>
        <w:tc>
          <w:tcPr>
            <w:tcW w:w="75" w:type="dxa"/>
            <w:tcBorders/>
            <w:shd w:fill="EFF6EA" w:val="clear"/>
            <w:tcMar>
              <w:bottom w:w="0" w:type="dxa"/>
            </w:tcMar>
            <w:vAlign w:val="center"/>
          </w:tcPr>
          <w:p>
            <w:pPr>
              <w:pStyle w:val="TableContents"/>
              <w:spacing w:before="0" w:after="283"/>
              <w:jc w:val="left"/>
              <w:rPr/>
            </w:pPr>
            <w:r>
              <w:rPr/>
              <w:t> </w:t>
            </w:r>
          </w:p>
        </w:tc>
      </w:tr>
      <w:tr>
        <w:trPr/>
        <w:tc>
          <w:tcPr>
            <w:tcW w:w="5345" w:type="dxa"/>
            <w:tcBorders/>
            <w:shd w:fill="auto" w:val="clear"/>
            <w:tcMar>
              <w:bottom w:w="0" w:type="dxa"/>
            </w:tcMar>
            <w:vAlign w:val="center"/>
          </w:tcPr>
          <w:p>
            <w:pPr>
              <w:pStyle w:val="TableContents"/>
              <w:spacing w:before="0" w:after="283"/>
              <w:rPr/>
            </w:pPr>
            <w:r>
              <w:rPr/>
              <w:t>Non-Chairman members</w:t>
            </w:r>
          </w:p>
        </w:tc>
        <w:tc>
          <w:tcPr>
            <w:tcW w:w="60" w:type="dxa"/>
            <w:tcBorders/>
            <w:shd w:fill="auto" w:val="clear"/>
            <w:tcMar>
              <w:bottom w:w="0" w:type="dxa"/>
            </w:tcMar>
            <w:vAlign w:val="center"/>
          </w:tcPr>
          <w:p>
            <w:pPr>
              <w:pStyle w:val="TableContents"/>
              <w:spacing w:before="0" w:after="283"/>
              <w:rPr/>
            </w:pPr>
            <w:r>
              <w:rPr/>
              <w:t> </w:t>
            </w:r>
          </w:p>
        </w:tc>
        <w:tc>
          <w:tcPr>
            <w:tcW w:w="825" w:type="dxa"/>
            <w:tcBorders/>
            <w:shd w:fill="auto" w:val="clear"/>
            <w:tcMar>
              <w:bottom w:w="0" w:type="dxa"/>
            </w:tcMar>
            <w:vAlign w:val="center"/>
          </w:tcPr>
          <w:p>
            <w:pPr>
              <w:pStyle w:val="TableContents"/>
              <w:spacing w:before="0" w:after="283"/>
              <w:jc w:val="right"/>
              <w:rPr/>
            </w:pPr>
            <w:r>
              <w:rPr/>
              <w:t>$</w:t>
            </w:r>
          </w:p>
        </w:tc>
        <w:tc>
          <w:tcPr>
            <w:tcW w:w="904" w:type="dxa"/>
            <w:tcBorders/>
            <w:shd w:fill="auto" w:val="clear"/>
            <w:tcMar>
              <w:bottom w:w="0" w:type="dxa"/>
            </w:tcMar>
            <w:vAlign w:val="center"/>
          </w:tcPr>
          <w:p>
            <w:pPr>
              <w:pStyle w:val="TableContents"/>
              <w:spacing w:before="0" w:after="283"/>
              <w:jc w:val="right"/>
              <w:rPr/>
            </w:pPr>
            <w:r>
              <w:rPr/>
              <w:t>10,000</w:t>
            </w:r>
          </w:p>
        </w:tc>
        <w:tc>
          <w:tcPr>
            <w:tcW w:w="75" w:type="dxa"/>
            <w:tcBorders/>
            <w:shd w:fill="auto" w:val="clear"/>
            <w:tcMar>
              <w:bottom w:w="0" w:type="dxa"/>
            </w:tcMar>
            <w:vAlign w:val="center"/>
          </w:tcPr>
          <w:p>
            <w:pPr>
              <w:pStyle w:val="TableContents"/>
              <w:spacing w:before="0" w:after="283"/>
              <w:jc w:val="left"/>
              <w:rPr/>
            </w:pPr>
            <w:r>
              <w:rPr/>
              <w:t> </w:t>
            </w:r>
          </w:p>
        </w:tc>
      </w:tr>
      <w:tr>
        <w:trPr/>
        <w:tc>
          <w:tcPr>
            <w:tcW w:w="5345" w:type="dxa"/>
            <w:tcBorders/>
            <w:shd w:fill="EFF6EA" w:val="clear"/>
            <w:tcMar>
              <w:bottom w:w="0" w:type="dxa"/>
            </w:tcMar>
            <w:vAlign w:val="center"/>
          </w:tcPr>
          <w:p>
            <w:pPr>
              <w:pStyle w:val="TableContents"/>
              <w:spacing w:before="0" w:after="283"/>
              <w:rPr>
                <w:b/>
              </w:rPr>
            </w:pPr>
            <w:r>
              <w:rPr>
                <w:b/>
              </w:rPr>
              <w:t>Nominating and Corporate Governance Committee:</w:t>
            </w:r>
          </w:p>
        </w:tc>
        <w:tc>
          <w:tcPr>
            <w:tcW w:w="60" w:type="dxa"/>
            <w:tcBorders/>
            <w:shd w:fill="EFF6EA" w:val="clear"/>
            <w:tcMar>
              <w:bottom w:w="0" w:type="dxa"/>
            </w:tcMar>
            <w:vAlign w:val="center"/>
          </w:tcPr>
          <w:p>
            <w:pPr>
              <w:pStyle w:val="TableContents"/>
              <w:spacing w:before="0" w:after="283"/>
              <w:rPr/>
            </w:pPr>
            <w:r>
              <w:rPr/>
              <w:t> </w:t>
            </w:r>
          </w:p>
        </w:tc>
        <w:tc>
          <w:tcPr>
            <w:tcW w:w="825" w:type="dxa"/>
            <w:tcBorders/>
            <w:shd w:fill="EFF6EA" w:val="clear"/>
            <w:tcMar>
              <w:bottom w:w="0" w:type="dxa"/>
            </w:tcMar>
            <w:vAlign w:val="center"/>
          </w:tcPr>
          <w:p>
            <w:pPr>
              <w:pStyle w:val="TableContents"/>
              <w:spacing w:before="0" w:after="283"/>
              <w:jc w:val="right"/>
              <w:rPr/>
            </w:pPr>
            <w:r>
              <w:rPr/>
              <w:t> </w:t>
            </w:r>
          </w:p>
        </w:tc>
        <w:tc>
          <w:tcPr>
            <w:tcW w:w="904" w:type="dxa"/>
            <w:tcBorders/>
            <w:shd w:fill="EFF6EA" w:val="clear"/>
            <w:tcMar>
              <w:bottom w:w="0" w:type="dxa"/>
            </w:tcMar>
            <w:vAlign w:val="center"/>
          </w:tcPr>
          <w:p>
            <w:pPr>
              <w:pStyle w:val="TableContents"/>
              <w:spacing w:before="0" w:after="283"/>
              <w:jc w:val="right"/>
              <w:rPr/>
            </w:pPr>
            <w:r>
              <w:rPr/>
              <w:t> </w:t>
            </w:r>
          </w:p>
        </w:tc>
        <w:tc>
          <w:tcPr>
            <w:tcW w:w="75" w:type="dxa"/>
            <w:tcBorders/>
            <w:shd w:fill="EFF6EA" w:val="clear"/>
            <w:tcMar>
              <w:bottom w:w="0" w:type="dxa"/>
            </w:tcMar>
            <w:vAlign w:val="center"/>
          </w:tcPr>
          <w:p>
            <w:pPr>
              <w:pStyle w:val="TableContents"/>
              <w:spacing w:before="0" w:after="283"/>
              <w:jc w:val="left"/>
              <w:rPr/>
            </w:pPr>
            <w:r>
              <w:rPr/>
              <w:t> </w:t>
            </w:r>
          </w:p>
        </w:tc>
      </w:tr>
      <w:tr>
        <w:trPr/>
        <w:tc>
          <w:tcPr>
            <w:tcW w:w="5345" w:type="dxa"/>
            <w:tcBorders/>
            <w:shd w:fill="auto" w:val="clear"/>
            <w:tcMar>
              <w:bottom w:w="0" w:type="dxa"/>
            </w:tcMar>
            <w:vAlign w:val="center"/>
          </w:tcPr>
          <w:p>
            <w:pPr>
              <w:pStyle w:val="TableContents"/>
              <w:spacing w:before="0" w:after="283"/>
              <w:rPr/>
            </w:pPr>
            <w:r>
              <w:rPr/>
              <w:t>Chairman</w:t>
            </w:r>
          </w:p>
        </w:tc>
        <w:tc>
          <w:tcPr>
            <w:tcW w:w="60" w:type="dxa"/>
            <w:tcBorders/>
            <w:shd w:fill="auto" w:val="clear"/>
            <w:tcMar>
              <w:bottom w:w="0" w:type="dxa"/>
            </w:tcMar>
            <w:vAlign w:val="center"/>
          </w:tcPr>
          <w:p>
            <w:pPr>
              <w:pStyle w:val="TableContents"/>
              <w:spacing w:before="0" w:after="283"/>
              <w:rPr/>
            </w:pPr>
            <w:r>
              <w:rPr/>
              <w:t> </w:t>
            </w:r>
          </w:p>
        </w:tc>
        <w:tc>
          <w:tcPr>
            <w:tcW w:w="825" w:type="dxa"/>
            <w:tcBorders/>
            <w:shd w:fill="auto" w:val="clear"/>
            <w:tcMar>
              <w:bottom w:w="0" w:type="dxa"/>
            </w:tcMar>
            <w:vAlign w:val="center"/>
          </w:tcPr>
          <w:p>
            <w:pPr>
              <w:pStyle w:val="TableContents"/>
              <w:spacing w:before="0" w:after="283"/>
              <w:jc w:val="right"/>
              <w:rPr/>
            </w:pPr>
            <w:r>
              <w:rPr/>
              <w:t>$</w:t>
            </w:r>
          </w:p>
        </w:tc>
        <w:tc>
          <w:tcPr>
            <w:tcW w:w="904" w:type="dxa"/>
            <w:tcBorders/>
            <w:shd w:fill="auto" w:val="clear"/>
            <w:tcMar>
              <w:bottom w:w="0" w:type="dxa"/>
            </w:tcMar>
            <w:vAlign w:val="center"/>
          </w:tcPr>
          <w:p>
            <w:pPr>
              <w:pStyle w:val="TableContents"/>
              <w:spacing w:before="0" w:after="283"/>
              <w:jc w:val="right"/>
              <w:rPr/>
            </w:pPr>
            <w:r>
              <w:rPr/>
              <w:t>10,000</w:t>
            </w:r>
          </w:p>
        </w:tc>
        <w:tc>
          <w:tcPr>
            <w:tcW w:w="75" w:type="dxa"/>
            <w:tcBorders/>
            <w:shd w:fill="auto" w:val="clear"/>
            <w:tcMar>
              <w:bottom w:w="0" w:type="dxa"/>
            </w:tcMar>
            <w:vAlign w:val="center"/>
          </w:tcPr>
          <w:p>
            <w:pPr>
              <w:pStyle w:val="TableContents"/>
              <w:spacing w:before="0" w:after="283"/>
              <w:jc w:val="left"/>
              <w:rPr/>
            </w:pPr>
            <w:r>
              <w:rPr/>
              <w:t> </w:t>
            </w:r>
          </w:p>
        </w:tc>
      </w:tr>
      <w:tr>
        <w:trPr/>
        <w:tc>
          <w:tcPr>
            <w:tcW w:w="5345" w:type="dxa"/>
            <w:tcBorders/>
            <w:shd w:fill="EFF6EA" w:val="clear"/>
            <w:tcMar>
              <w:bottom w:w="0" w:type="dxa"/>
            </w:tcMar>
            <w:vAlign w:val="center"/>
          </w:tcPr>
          <w:p>
            <w:pPr>
              <w:pStyle w:val="TableContents"/>
              <w:spacing w:before="0" w:after="283"/>
              <w:rPr/>
            </w:pPr>
            <w:r>
              <w:rPr/>
              <w:t>Non-Chairman members</w:t>
            </w:r>
          </w:p>
        </w:tc>
        <w:tc>
          <w:tcPr>
            <w:tcW w:w="60" w:type="dxa"/>
            <w:tcBorders/>
            <w:shd w:fill="EFF6EA" w:val="clear"/>
            <w:tcMar>
              <w:bottom w:w="0" w:type="dxa"/>
            </w:tcMar>
            <w:vAlign w:val="center"/>
          </w:tcPr>
          <w:p>
            <w:pPr>
              <w:pStyle w:val="TableContents"/>
              <w:spacing w:before="0" w:after="283"/>
              <w:rPr/>
            </w:pPr>
            <w:r>
              <w:rPr/>
              <w:t> </w:t>
            </w:r>
          </w:p>
        </w:tc>
        <w:tc>
          <w:tcPr>
            <w:tcW w:w="825" w:type="dxa"/>
            <w:tcBorders/>
            <w:shd w:fill="EFF6EA" w:val="clear"/>
            <w:tcMar>
              <w:bottom w:w="0" w:type="dxa"/>
            </w:tcMar>
            <w:vAlign w:val="center"/>
          </w:tcPr>
          <w:p>
            <w:pPr>
              <w:pStyle w:val="TableContents"/>
              <w:spacing w:before="0" w:after="283"/>
              <w:jc w:val="right"/>
              <w:rPr/>
            </w:pPr>
            <w:r>
              <w:rPr/>
              <w:t>$</w:t>
            </w:r>
          </w:p>
        </w:tc>
        <w:tc>
          <w:tcPr>
            <w:tcW w:w="904" w:type="dxa"/>
            <w:tcBorders/>
            <w:shd w:fill="EFF6EA" w:val="clear"/>
            <w:tcMar>
              <w:bottom w:w="0" w:type="dxa"/>
            </w:tcMar>
            <w:vAlign w:val="center"/>
          </w:tcPr>
          <w:p>
            <w:pPr>
              <w:pStyle w:val="TableContents"/>
              <w:spacing w:before="0" w:after="283"/>
              <w:jc w:val="right"/>
              <w:rPr/>
            </w:pPr>
            <w:r>
              <w:rPr/>
              <w:t>5,000</w:t>
            </w:r>
          </w:p>
        </w:tc>
        <w:tc>
          <w:tcPr>
            <w:tcW w:w="75" w:type="dxa"/>
            <w:tcBorders/>
            <w:shd w:fill="EFF6EA" w:val="clear"/>
            <w:tcMar>
              <w:bottom w:w="0" w:type="dxa"/>
            </w:tcMar>
            <w:vAlign w:val="center"/>
          </w:tcPr>
          <w:p>
            <w:pPr>
              <w:pStyle w:val="TableContents"/>
              <w:spacing w:before="0" w:after="283"/>
              <w:jc w:val="left"/>
              <w:rPr/>
            </w:pPr>
            <w:r>
              <w:rPr/>
              <w:t> </w:t>
            </w:r>
          </w:p>
        </w:tc>
      </w:tr>
      <w:tr>
        <w:trPr/>
        <w:tc>
          <w:tcPr>
            <w:tcW w:w="5345" w:type="dxa"/>
            <w:tcBorders/>
            <w:shd w:fill="auto" w:val="clear"/>
            <w:tcMar>
              <w:bottom w:w="0" w:type="dxa"/>
            </w:tcMar>
            <w:vAlign w:val="center"/>
          </w:tcPr>
          <w:p>
            <w:pPr>
              <w:pStyle w:val="TableContents"/>
              <w:spacing w:before="0" w:after="283"/>
              <w:jc w:val="left"/>
              <w:rPr>
                <w:b/>
              </w:rPr>
            </w:pPr>
            <w:r>
              <w:rPr>
                <w:b/>
              </w:rPr>
              <w:t>Research and Development Committee:</w:t>
            </w:r>
          </w:p>
        </w:tc>
        <w:tc>
          <w:tcPr>
            <w:tcW w:w="60" w:type="dxa"/>
            <w:tcBorders/>
            <w:shd w:fill="auto" w:val="clear"/>
            <w:tcMar>
              <w:bottom w:w="0" w:type="dxa"/>
            </w:tcMar>
            <w:vAlign w:val="center"/>
          </w:tcPr>
          <w:p>
            <w:pPr>
              <w:pStyle w:val="TableContents"/>
              <w:spacing w:before="0" w:after="283"/>
              <w:rPr/>
            </w:pPr>
            <w:r>
              <w:rPr/>
              <w:t> </w:t>
            </w:r>
          </w:p>
        </w:tc>
        <w:tc>
          <w:tcPr>
            <w:tcW w:w="825" w:type="dxa"/>
            <w:tcBorders/>
            <w:shd w:fill="auto" w:val="clear"/>
            <w:tcMar>
              <w:bottom w:w="0" w:type="dxa"/>
            </w:tcMar>
            <w:vAlign w:val="center"/>
          </w:tcPr>
          <w:p>
            <w:pPr>
              <w:pStyle w:val="TableContents"/>
              <w:spacing w:before="0" w:after="283"/>
              <w:jc w:val="right"/>
              <w:rPr/>
            </w:pPr>
            <w:r>
              <w:rPr/>
              <w:t> </w:t>
            </w:r>
          </w:p>
        </w:tc>
        <w:tc>
          <w:tcPr>
            <w:tcW w:w="904"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jc w:val="left"/>
              <w:rPr/>
            </w:pPr>
            <w:r>
              <w:rPr/>
              <w:t> </w:t>
            </w:r>
          </w:p>
        </w:tc>
      </w:tr>
      <w:tr>
        <w:trPr/>
        <w:tc>
          <w:tcPr>
            <w:tcW w:w="5345" w:type="dxa"/>
            <w:tcBorders/>
            <w:shd w:fill="EFF6EA" w:val="clear"/>
            <w:tcMar>
              <w:bottom w:w="0" w:type="dxa"/>
            </w:tcMar>
            <w:vAlign w:val="center"/>
          </w:tcPr>
          <w:p>
            <w:pPr>
              <w:pStyle w:val="TableContents"/>
              <w:spacing w:before="0" w:after="283"/>
              <w:rPr/>
            </w:pPr>
            <w:r>
              <w:rPr/>
              <w:t>Chairman</w:t>
            </w:r>
          </w:p>
        </w:tc>
        <w:tc>
          <w:tcPr>
            <w:tcW w:w="60" w:type="dxa"/>
            <w:tcBorders/>
            <w:shd w:fill="EFF6EA" w:val="clear"/>
            <w:tcMar>
              <w:bottom w:w="0" w:type="dxa"/>
            </w:tcMar>
            <w:vAlign w:val="center"/>
          </w:tcPr>
          <w:p>
            <w:pPr>
              <w:pStyle w:val="TableContents"/>
              <w:spacing w:before="0" w:after="283"/>
              <w:rPr/>
            </w:pPr>
            <w:r>
              <w:rPr/>
              <w:t> </w:t>
            </w:r>
          </w:p>
        </w:tc>
        <w:tc>
          <w:tcPr>
            <w:tcW w:w="825" w:type="dxa"/>
            <w:tcBorders/>
            <w:shd w:fill="EFF6EA" w:val="clear"/>
            <w:tcMar>
              <w:bottom w:w="0" w:type="dxa"/>
            </w:tcMar>
            <w:vAlign w:val="center"/>
          </w:tcPr>
          <w:p>
            <w:pPr>
              <w:pStyle w:val="TableContents"/>
              <w:spacing w:before="0" w:after="283"/>
              <w:jc w:val="right"/>
              <w:rPr/>
            </w:pPr>
            <w:r>
              <w:rPr/>
              <w:t>$</w:t>
            </w:r>
          </w:p>
        </w:tc>
        <w:tc>
          <w:tcPr>
            <w:tcW w:w="904" w:type="dxa"/>
            <w:tcBorders/>
            <w:shd w:fill="EFF6EA" w:val="clear"/>
            <w:tcMar>
              <w:bottom w:w="0" w:type="dxa"/>
            </w:tcMar>
            <w:vAlign w:val="center"/>
          </w:tcPr>
          <w:p>
            <w:pPr>
              <w:pStyle w:val="TableContents"/>
              <w:spacing w:before="0" w:after="283"/>
              <w:jc w:val="right"/>
              <w:rPr/>
            </w:pPr>
            <w:r>
              <w:rPr/>
              <w:t>14,000</w:t>
            </w:r>
          </w:p>
        </w:tc>
        <w:tc>
          <w:tcPr>
            <w:tcW w:w="75" w:type="dxa"/>
            <w:tcBorders/>
            <w:shd w:fill="EFF6EA" w:val="clear"/>
            <w:tcMar>
              <w:bottom w:w="0" w:type="dxa"/>
            </w:tcMar>
            <w:vAlign w:val="center"/>
          </w:tcPr>
          <w:p>
            <w:pPr>
              <w:pStyle w:val="TableContents"/>
              <w:spacing w:before="0" w:after="283"/>
              <w:jc w:val="left"/>
              <w:rPr/>
            </w:pPr>
            <w:r>
              <w:rPr/>
              <w:t> </w:t>
            </w:r>
          </w:p>
        </w:tc>
      </w:tr>
      <w:tr>
        <w:trPr/>
        <w:tc>
          <w:tcPr>
            <w:tcW w:w="5345" w:type="dxa"/>
            <w:tcBorders>
              <w:bottom w:val="single" w:sz="12" w:space="0" w:color="7CBC3E"/>
            </w:tcBorders>
            <w:shd w:fill="auto" w:val="clear"/>
            <w:vAlign w:val="center"/>
          </w:tcPr>
          <w:p>
            <w:pPr>
              <w:pStyle w:val="TableContents"/>
              <w:spacing w:before="0" w:after="283"/>
              <w:rPr/>
            </w:pPr>
            <w:r>
              <w:rPr/>
              <w:t>Non-Chairman members</w:t>
            </w:r>
          </w:p>
        </w:tc>
        <w:tc>
          <w:tcPr>
            <w:tcW w:w="60" w:type="dxa"/>
            <w:tcBorders>
              <w:bottom w:val="single" w:sz="12" w:space="0" w:color="7CBC3E"/>
            </w:tcBorders>
            <w:shd w:fill="auto" w:val="clear"/>
            <w:vAlign w:val="center"/>
          </w:tcPr>
          <w:p>
            <w:pPr>
              <w:pStyle w:val="TableContents"/>
              <w:spacing w:before="0" w:after="283"/>
              <w:rPr/>
            </w:pPr>
            <w:r>
              <w:rPr/>
              <w:t> </w:t>
            </w:r>
          </w:p>
        </w:tc>
        <w:tc>
          <w:tcPr>
            <w:tcW w:w="825" w:type="dxa"/>
            <w:tcBorders>
              <w:bottom w:val="single" w:sz="12" w:space="0" w:color="7CBC3E"/>
            </w:tcBorders>
            <w:shd w:fill="auto" w:val="clear"/>
            <w:vAlign w:val="center"/>
          </w:tcPr>
          <w:p>
            <w:pPr>
              <w:pStyle w:val="TableContents"/>
              <w:spacing w:before="0" w:after="283"/>
              <w:jc w:val="right"/>
              <w:rPr/>
            </w:pPr>
            <w:r>
              <w:rPr/>
              <w:t>$</w:t>
            </w:r>
          </w:p>
        </w:tc>
        <w:tc>
          <w:tcPr>
            <w:tcW w:w="904" w:type="dxa"/>
            <w:tcBorders>
              <w:bottom w:val="single" w:sz="12" w:space="0" w:color="7CBC3E"/>
            </w:tcBorders>
            <w:shd w:fill="auto" w:val="clear"/>
            <w:vAlign w:val="center"/>
          </w:tcPr>
          <w:p>
            <w:pPr>
              <w:pStyle w:val="TableContents"/>
              <w:spacing w:before="0" w:after="283"/>
              <w:jc w:val="right"/>
              <w:rPr/>
            </w:pPr>
            <w:r>
              <w:rPr/>
              <w:t>7,000</w:t>
            </w:r>
          </w:p>
        </w:tc>
        <w:tc>
          <w:tcPr>
            <w:tcW w:w="75" w:type="dxa"/>
            <w:tcBorders>
              <w:bottom w:val="single" w:sz="12" w:space="0" w:color="7CBC3E"/>
            </w:tcBorders>
            <w:shd w:fill="auto" w:val="clear"/>
            <w:vAlign w:val="center"/>
          </w:tcPr>
          <w:p>
            <w:pPr>
              <w:pStyle w:val="TableContents"/>
              <w:spacing w:before="0" w:after="283"/>
              <w:jc w:val="left"/>
              <w:rPr/>
            </w:pPr>
            <w:r>
              <w:rPr/>
              <w:t> </w:t>
            </w:r>
          </w:p>
        </w:tc>
      </w:tr>
    </w:tbl>
    <w:p>
      <w:pPr>
        <w:pStyle w:val="TextBody"/>
        <w:ind w:left="0" w:right="0" w:firstLine="720"/>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2023, upon recommendation of the Compensation Committee, the Board maintained the cash compensation arrangements for non-employee directors for fiscal 2023.</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non-employee director compensation policy for fiscal 2022, each non-employee director who was initially appointed or elected to the Board received an equity award with a target value of $800,000, comprised 50% of options to purchase shares of our common stock and 50% of RSUs on the date he or she first becomes a non-employee director. The options vest monthly over a three-year period and the RSUs vest annually in equal amounts over a three year period, in each case subject to the director’s continued service to us through each such vesting date. In addition, for fiscal year 2022, on the date of the annual meeting of stockholders, each continuing non-employee director received an annual equity award at a target value of $400,000, comprised of 50% options to purchase shares of our common stock and 50% RSUs, each of which would vest in full upon the earlier of (1) our subsequent annual meeting of stockholders and (2) the first anniversary of the date of grant, subject to the director’s continued service to us through such vesting date. The exercise price of all of the foregoing options was equal to the fair market value of a share of our common stock on the date of grant.</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2023, upon recommendation of the Compensation Committee, the Board maintained the target values of equity awards for newly appointed directors and the annual awards for non-employee directors.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Dr. Kakkis, our President and Chief Executive Officer, receives no compensation for his service as a director.</w:t>
      </w:r>
    </w:p>
    <w:p>
      <w:pPr>
        <w:pStyle w:val="TextBody"/>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68</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shows the compensation earned in fiscal 2022 by our non-employee directors.</w:t>
      </w:r>
    </w:p>
    <w:p>
      <w:pPr>
        <w:pStyle w:val="TextBody"/>
        <w:rPr>
          <w:caps w:val="false"/>
          <w:smallCaps w:val="false"/>
        </w:rPr>
      </w:pPr>
      <w:r>
        <w:rPr>
          <w:caps w:val="false"/>
          <w:smallCaps w:val="false"/>
        </w:rPr>
        <w:t> </w:t>
      </w:r>
    </w:p>
    <w:tbl>
      <w:tblPr>
        <w:tblW w:w="7539" w:type="dxa"/>
        <w:jc w:val="left"/>
        <w:tblInd w:w="0" w:type="dxa"/>
        <w:tblCellMar>
          <w:top w:w="0" w:type="dxa"/>
          <w:left w:w="0" w:type="dxa"/>
          <w:bottom w:w="28" w:type="dxa"/>
          <w:right w:w="0" w:type="dxa"/>
        </w:tblCellMar>
      </w:tblPr>
      <w:tblGrid>
        <w:gridCol w:w="2495"/>
        <w:gridCol w:w="60"/>
        <w:gridCol w:w="596"/>
        <w:gridCol w:w="953"/>
        <w:gridCol w:w="60"/>
        <w:gridCol w:w="60"/>
        <w:gridCol w:w="140"/>
        <w:gridCol w:w="800"/>
        <w:gridCol w:w="60"/>
        <w:gridCol w:w="60"/>
        <w:gridCol w:w="140"/>
        <w:gridCol w:w="800"/>
        <w:gridCol w:w="60"/>
        <w:gridCol w:w="60"/>
        <w:gridCol w:w="140"/>
        <w:gridCol w:w="980"/>
        <w:gridCol w:w="75"/>
      </w:tblGrid>
      <w:tr>
        <w:trPr/>
        <w:tc>
          <w:tcPr>
            <w:tcW w:w="2495" w:type="dxa"/>
            <w:tcBorders>
              <w:bottom w:val="single" w:sz="12" w:space="0" w:color="7CBC3E"/>
            </w:tcBorders>
            <w:shd w:fill="auto" w:val="clear"/>
            <w:vAlign w:val="center"/>
          </w:tcPr>
          <w:p>
            <w:pPr>
              <w:pStyle w:val="TableContents"/>
              <w:spacing w:before="0" w:after="283"/>
              <w:rPr>
                <w:b/>
              </w:rPr>
            </w:pPr>
            <w:r>
              <w:rPr>
                <w:b/>
              </w:rPr>
              <w:t>Name</w:t>
            </w:r>
          </w:p>
        </w:tc>
        <w:tc>
          <w:tcPr>
            <w:tcW w:w="60" w:type="dxa"/>
            <w:tcBorders>
              <w:bottom w:val="single" w:sz="12" w:space="0" w:color="7CBC3E"/>
            </w:tcBorders>
            <w:shd w:fill="auto" w:val="clear"/>
            <w:vAlign w:val="center"/>
          </w:tcPr>
          <w:p>
            <w:pPr>
              <w:pStyle w:val="TableContents"/>
              <w:spacing w:before="0" w:after="283"/>
              <w:rPr/>
            </w:pPr>
            <w:r>
              <w:rPr/>
              <w:t> </w:t>
            </w:r>
          </w:p>
        </w:tc>
        <w:tc>
          <w:tcPr>
            <w:tcW w:w="1549" w:type="dxa"/>
            <w:gridSpan w:val="2"/>
            <w:tcBorders>
              <w:bottom w:val="single" w:sz="12" w:space="0" w:color="7CBC3E"/>
            </w:tcBorders>
            <w:shd w:fill="auto" w:val="clear"/>
            <w:vAlign w:val="center"/>
          </w:tcPr>
          <w:p>
            <w:pPr>
              <w:pStyle w:val="TableContents"/>
              <w:spacing w:before="0" w:after="283"/>
              <w:jc w:val="right"/>
              <w:rPr>
                <w:b/>
              </w:rPr>
            </w:pPr>
            <w:r>
              <w:rPr>
                <w:b/>
              </w:rPr>
              <w:t>Fees Earned in</w:t>
              <w:br/>
              <w:t>Fiscal 2022</w:t>
            </w:r>
          </w:p>
        </w:tc>
        <w:tc>
          <w:tcPr>
            <w:tcW w:w="60" w:type="dxa"/>
            <w:tcBorders>
              <w:bottom w:val="single" w:sz="12" w:space="0" w:color="7CBC3E"/>
            </w:tcBorders>
            <w:shd w:fill="auto" w:val="clear"/>
            <w:vAlign w:val="center"/>
          </w:tcPr>
          <w:p>
            <w:pPr>
              <w:pStyle w:val="TableContents"/>
              <w:spacing w:before="0" w:after="283"/>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940" w:type="dxa"/>
            <w:gridSpan w:val="2"/>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Stock</w:t>
              <w:br/>
              <w:t>Awards</w:t>
            </w:r>
            <w:r>
              <w:rPr>
                <w:rFonts w:ascii="Arial;Helvetica;Sans-Serif" w:hAnsi="Arial;Helvetica;Sans-Serif"/>
                <w:b/>
                <w:i w:val="false"/>
                <w:caps w:val="false"/>
                <w:smallCaps w:val="false"/>
                <w:position w:val="6"/>
                <w:sz w:val="14"/>
                <w:sz w:val="18"/>
              </w:rPr>
              <w:t>(1)</w:t>
            </w:r>
          </w:p>
        </w:tc>
        <w:tc>
          <w:tcPr>
            <w:tcW w:w="60" w:type="dxa"/>
            <w:tcBorders>
              <w:bottom w:val="single" w:sz="12" w:space="0" w:color="7CBC3E"/>
            </w:tcBorders>
            <w:shd w:fill="auto" w:val="clear"/>
            <w:vAlign w:val="center"/>
          </w:tcPr>
          <w:p>
            <w:pPr>
              <w:pStyle w:val="TableContents"/>
              <w:spacing w:before="0" w:after="283"/>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940" w:type="dxa"/>
            <w:gridSpan w:val="2"/>
            <w:tcBorders>
              <w:bottom w:val="single" w:sz="12" w:space="0" w:color="7CBC3E"/>
            </w:tcBorders>
            <w:shd w:fill="auto" w:val="clear"/>
            <w:vAlign w:val="center"/>
          </w:tcPr>
          <w:p>
            <w:pPr>
              <w:pStyle w:val="TableContents"/>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Option</w:t>
              <w:br/>
              <w:t>Awards</w:t>
            </w:r>
            <w:r>
              <w:rPr>
                <w:rFonts w:ascii="Arial;Helvetica;Sans-Serif" w:hAnsi="Arial;Helvetica;Sans-Serif"/>
                <w:b/>
                <w:i w:val="false"/>
                <w:caps w:val="false"/>
                <w:smallCaps w:val="false"/>
                <w:position w:val="6"/>
                <w:sz w:val="14"/>
                <w:sz w:val="18"/>
              </w:rPr>
              <w:t>(2)</w:t>
            </w:r>
          </w:p>
        </w:tc>
        <w:tc>
          <w:tcPr>
            <w:tcW w:w="60" w:type="dxa"/>
            <w:tcBorders>
              <w:bottom w:val="single" w:sz="12" w:space="0" w:color="7CBC3E"/>
            </w:tcBorders>
            <w:shd w:fill="auto" w:val="clear"/>
            <w:vAlign w:val="center"/>
          </w:tcPr>
          <w:p>
            <w:pPr>
              <w:pStyle w:val="TableContents"/>
              <w:spacing w:before="0" w:after="283"/>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120" w:type="dxa"/>
            <w:gridSpan w:val="2"/>
            <w:tcBorders>
              <w:bottom w:val="single" w:sz="12" w:space="0" w:color="7CBC3E"/>
            </w:tcBorders>
            <w:shd w:fill="auto" w:val="clear"/>
            <w:vAlign w:val="center"/>
          </w:tcPr>
          <w:p>
            <w:pPr>
              <w:pStyle w:val="TableContents"/>
              <w:spacing w:before="0" w:after="283"/>
              <w:jc w:val="right"/>
              <w:rPr>
                <w:b/>
              </w:rPr>
            </w:pPr>
            <w:r>
              <w:rPr>
                <w:b/>
              </w:rPr>
              <w:t>Total</w:t>
            </w:r>
          </w:p>
        </w:tc>
        <w:tc>
          <w:tcPr>
            <w:tcW w:w="75" w:type="dxa"/>
            <w:tcBorders>
              <w:bottom w:val="single" w:sz="12" w:space="0" w:color="7CBC3E"/>
            </w:tcBorders>
            <w:shd w:fill="auto" w:val="clear"/>
            <w:vAlign w:val="center"/>
          </w:tcPr>
          <w:p>
            <w:pPr>
              <w:pStyle w:val="TableContents"/>
              <w:spacing w:before="0" w:after="283"/>
              <w:rPr/>
            </w:pPr>
            <w:r>
              <w:rPr/>
              <w:t> </w:t>
            </w:r>
          </w:p>
        </w:tc>
      </w:tr>
      <w:tr>
        <w:trPr/>
        <w:tc>
          <w:tcPr>
            <w:tcW w:w="2495" w:type="dxa"/>
            <w:tcBorders/>
            <w:shd w:fill="auto" w:val="clear"/>
            <w:tcMar>
              <w:bottom w:w="0" w:type="dxa"/>
            </w:tcMar>
            <w:vAlign w:val="center"/>
          </w:tcPr>
          <w:p>
            <w:pPr>
              <w:pStyle w:val="TableContents"/>
              <w:spacing w:before="0" w:after="283"/>
              <w:jc w:val="left"/>
              <w:rPr/>
            </w:pPr>
            <w:r>
              <w:rPr/>
              <w:t>Daniel G. Welch</w:t>
            </w:r>
          </w:p>
        </w:tc>
        <w:tc>
          <w:tcPr>
            <w:tcW w:w="60" w:type="dxa"/>
            <w:tcBorders/>
            <w:shd w:fill="auto" w:val="clear"/>
            <w:tcMar>
              <w:bottom w:w="0" w:type="dxa"/>
            </w:tcMar>
            <w:vAlign w:val="center"/>
          </w:tcPr>
          <w:p>
            <w:pPr>
              <w:pStyle w:val="TableContents"/>
              <w:spacing w:before="0" w:after="283"/>
              <w:rPr/>
            </w:pPr>
            <w:r>
              <w:rPr/>
              <w:t> </w:t>
            </w:r>
          </w:p>
        </w:tc>
        <w:tc>
          <w:tcPr>
            <w:tcW w:w="596" w:type="dxa"/>
            <w:tcBorders/>
            <w:shd w:fill="auto" w:val="clear"/>
            <w:tcMar>
              <w:bottom w:w="0" w:type="dxa"/>
            </w:tcMar>
            <w:vAlign w:val="center"/>
          </w:tcPr>
          <w:p>
            <w:pPr>
              <w:pStyle w:val="TableContents"/>
              <w:spacing w:before="0" w:after="283"/>
              <w:jc w:val="left"/>
              <w:rPr/>
            </w:pPr>
            <w:r>
              <w:rPr/>
              <w:t>      </w:t>
            </w:r>
            <w:r>
              <w:rPr/>
              <w:t>$</w:t>
            </w:r>
          </w:p>
        </w:tc>
        <w:tc>
          <w:tcPr>
            <w:tcW w:w="953" w:type="dxa"/>
            <w:tcBorders/>
            <w:shd w:fill="auto" w:val="clear"/>
            <w:tcMar>
              <w:bottom w:w="0" w:type="dxa"/>
            </w:tcMar>
            <w:vAlign w:val="center"/>
          </w:tcPr>
          <w:p>
            <w:pPr>
              <w:pStyle w:val="TableContents"/>
              <w:spacing w:before="0" w:after="283"/>
              <w:jc w:val="right"/>
              <w:rPr/>
            </w:pPr>
            <w:r>
              <w:rPr/>
              <w:t>100,000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w:t>
            </w:r>
          </w:p>
        </w:tc>
        <w:tc>
          <w:tcPr>
            <w:tcW w:w="800" w:type="dxa"/>
            <w:tcBorders/>
            <w:shd w:fill="auto" w:val="clear"/>
            <w:tcMar>
              <w:bottom w:w="0" w:type="dxa"/>
            </w:tcMar>
            <w:vAlign w:val="center"/>
          </w:tcPr>
          <w:p>
            <w:pPr>
              <w:pStyle w:val="TableContents"/>
              <w:spacing w:before="0" w:after="283"/>
              <w:jc w:val="right"/>
              <w:rPr/>
            </w:pPr>
            <w:r>
              <w:rPr/>
              <w:t>199,881</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w:t>
            </w:r>
          </w:p>
        </w:tc>
        <w:tc>
          <w:tcPr>
            <w:tcW w:w="800" w:type="dxa"/>
            <w:tcBorders/>
            <w:shd w:fill="auto" w:val="clear"/>
            <w:tcMar>
              <w:bottom w:w="0" w:type="dxa"/>
            </w:tcMar>
            <w:vAlign w:val="center"/>
          </w:tcPr>
          <w:p>
            <w:pPr>
              <w:pStyle w:val="TableContents"/>
              <w:spacing w:before="0" w:after="283"/>
              <w:jc w:val="right"/>
              <w:rPr/>
            </w:pPr>
            <w:r>
              <w:rPr/>
              <w:t>199,555</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w:t>
            </w:r>
          </w:p>
        </w:tc>
        <w:tc>
          <w:tcPr>
            <w:tcW w:w="980" w:type="dxa"/>
            <w:tcBorders/>
            <w:shd w:fill="auto" w:val="clear"/>
            <w:tcMar>
              <w:bottom w:w="0" w:type="dxa"/>
            </w:tcMar>
            <w:vAlign w:val="center"/>
          </w:tcPr>
          <w:p>
            <w:pPr>
              <w:pStyle w:val="TableContents"/>
              <w:spacing w:before="0" w:after="283"/>
              <w:jc w:val="right"/>
              <w:rPr/>
            </w:pPr>
            <w:r>
              <w:rPr/>
              <w:t>499,436</w:t>
            </w:r>
          </w:p>
        </w:tc>
        <w:tc>
          <w:tcPr>
            <w:tcW w:w="75" w:type="dxa"/>
            <w:tcBorders/>
            <w:shd w:fill="auto" w:val="clear"/>
            <w:tcMar>
              <w:bottom w:w="0" w:type="dxa"/>
            </w:tcMar>
            <w:vAlign w:val="center"/>
          </w:tcPr>
          <w:p>
            <w:pPr>
              <w:pStyle w:val="TableContents"/>
              <w:spacing w:before="0" w:after="283"/>
              <w:jc w:val="left"/>
              <w:rPr/>
            </w:pPr>
            <w:r>
              <w:rPr/>
              <w:t> </w:t>
            </w:r>
          </w:p>
        </w:tc>
      </w:tr>
      <w:tr>
        <w:trPr/>
        <w:tc>
          <w:tcPr>
            <w:tcW w:w="2495" w:type="dxa"/>
            <w:tcBorders/>
            <w:shd w:fill="EFF6EA" w:val="clear"/>
            <w:tcMar>
              <w:bottom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William Aliski</w:t>
            </w:r>
            <w:r>
              <w:rPr>
                <w:rFonts w:ascii="Arial;Helvetica;Sans-Serif" w:hAnsi="Arial;Helvetica;Sans-Serif"/>
                <w:b w:val="false"/>
                <w:i w:val="false"/>
                <w:caps w:val="false"/>
                <w:smallCaps w:val="false"/>
                <w:position w:val="6"/>
                <w:sz w:val="14"/>
                <w:sz w:val="18"/>
              </w:rPr>
              <w:t>(3)</w:t>
            </w:r>
          </w:p>
        </w:tc>
        <w:tc>
          <w:tcPr>
            <w:tcW w:w="60" w:type="dxa"/>
            <w:tcBorders/>
            <w:shd w:fill="EFF6EA" w:val="clear"/>
            <w:tcMar>
              <w:bottom w:w="0" w:type="dxa"/>
            </w:tcMar>
            <w:vAlign w:val="center"/>
          </w:tcPr>
          <w:p>
            <w:pPr>
              <w:pStyle w:val="TableContents"/>
              <w:spacing w:before="0" w:after="283"/>
              <w:rPr/>
            </w:pPr>
            <w:r>
              <w:rPr/>
              <w:t> </w:t>
            </w:r>
          </w:p>
        </w:tc>
        <w:tc>
          <w:tcPr>
            <w:tcW w:w="596" w:type="dxa"/>
            <w:tcBorders/>
            <w:shd w:fill="EFF6EA" w:val="clear"/>
            <w:tcMar>
              <w:bottom w:w="0" w:type="dxa"/>
            </w:tcMar>
            <w:vAlign w:val="center"/>
          </w:tcPr>
          <w:p>
            <w:pPr>
              <w:pStyle w:val="TableContents"/>
              <w:spacing w:before="0" w:after="283"/>
              <w:jc w:val="left"/>
              <w:rPr/>
            </w:pPr>
            <w:r>
              <w:rPr/>
              <w:t> </w:t>
            </w:r>
          </w:p>
        </w:tc>
        <w:tc>
          <w:tcPr>
            <w:tcW w:w="953" w:type="dxa"/>
            <w:tcBorders/>
            <w:shd w:fill="EFF6EA" w:val="clear"/>
            <w:tcMar>
              <w:bottom w:w="0" w:type="dxa"/>
            </w:tcMar>
            <w:vAlign w:val="center"/>
          </w:tcPr>
          <w:p>
            <w:pPr>
              <w:pStyle w:val="TableContents"/>
              <w:spacing w:before="0" w:after="283"/>
              <w:jc w:val="right"/>
              <w:rPr/>
            </w:pPr>
            <w:r>
              <w:rPr/>
              <w:t>35,625</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800"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800"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980" w:type="dxa"/>
            <w:tcBorders/>
            <w:shd w:fill="EFF6EA" w:val="clear"/>
            <w:tcMar>
              <w:bottom w:w="0" w:type="dxa"/>
            </w:tcMar>
            <w:vAlign w:val="center"/>
          </w:tcPr>
          <w:p>
            <w:pPr>
              <w:pStyle w:val="TableContents"/>
              <w:spacing w:before="0" w:after="283"/>
              <w:jc w:val="right"/>
              <w:rPr/>
            </w:pPr>
            <w:r>
              <w:rPr/>
              <w:t>35,625</w:t>
            </w:r>
          </w:p>
        </w:tc>
        <w:tc>
          <w:tcPr>
            <w:tcW w:w="75" w:type="dxa"/>
            <w:tcBorders/>
            <w:shd w:fill="EFF6EA" w:val="clear"/>
            <w:tcMar>
              <w:bottom w:w="0" w:type="dxa"/>
            </w:tcMar>
            <w:vAlign w:val="center"/>
          </w:tcPr>
          <w:p>
            <w:pPr>
              <w:pStyle w:val="TableContents"/>
              <w:spacing w:before="0" w:after="283"/>
              <w:jc w:val="left"/>
              <w:rPr/>
            </w:pPr>
            <w:r>
              <w:rPr/>
              <w:t> </w:t>
            </w:r>
          </w:p>
        </w:tc>
      </w:tr>
      <w:tr>
        <w:trPr/>
        <w:tc>
          <w:tcPr>
            <w:tcW w:w="2495" w:type="dxa"/>
            <w:tcBorders/>
            <w:shd w:fill="auto" w:val="clear"/>
            <w:tcMar>
              <w:bottom w:w="0" w:type="dxa"/>
            </w:tcMar>
            <w:vAlign w:val="center"/>
          </w:tcPr>
          <w:p>
            <w:pPr>
              <w:pStyle w:val="TableContents"/>
              <w:spacing w:before="0" w:after="283"/>
              <w:jc w:val="left"/>
              <w:rPr/>
            </w:pPr>
            <w:r>
              <w:rPr/>
              <w:t>Deborah Dunsire, M.D.</w:t>
            </w:r>
          </w:p>
        </w:tc>
        <w:tc>
          <w:tcPr>
            <w:tcW w:w="60" w:type="dxa"/>
            <w:tcBorders/>
            <w:shd w:fill="auto" w:val="clear"/>
            <w:tcMar>
              <w:bottom w:w="0" w:type="dxa"/>
            </w:tcMar>
            <w:vAlign w:val="center"/>
          </w:tcPr>
          <w:p>
            <w:pPr>
              <w:pStyle w:val="TableContents"/>
              <w:spacing w:before="0" w:after="283"/>
              <w:rPr/>
            </w:pPr>
            <w:r>
              <w:rPr/>
              <w:t> </w:t>
            </w:r>
          </w:p>
        </w:tc>
        <w:tc>
          <w:tcPr>
            <w:tcW w:w="596" w:type="dxa"/>
            <w:tcBorders/>
            <w:shd w:fill="auto" w:val="clear"/>
            <w:tcMar>
              <w:bottom w:w="0" w:type="dxa"/>
            </w:tcMar>
            <w:vAlign w:val="center"/>
          </w:tcPr>
          <w:p>
            <w:pPr>
              <w:pStyle w:val="TableContents"/>
              <w:spacing w:before="0" w:after="283"/>
              <w:jc w:val="left"/>
              <w:rPr/>
            </w:pPr>
            <w:r>
              <w:rPr/>
              <w:t> </w:t>
            </w:r>
          </w:p>
        </w:tc>
        <w:tc>
          <w:tcPr>
            <w:tcW w:w="953" w:type="dxa"/>
            <w:tcBorders/>
            <w:shd w:fill="auto" w:val="clear"/>
            <w:tcMar>
              <w:bottom w:w="0" w:type="dxa"/>
            </w:tcMar>
            <w:vAlign w:val="center"/>
          </w:tcPr>
          <w:p>
            <w:pPr>
              <w:pStyle w:val="TableContents"/>
              <w:spacing w:before="0" w:after="283"/>
              <w:jc w:val="right"/>
              <w:rPr/>
            </w:pPr>
            <w:r>
              <w:rPr/>
              <w:t>62,750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800" w:type="dxa"/>
            <w:tcBorders/>
            <w:shd w:fill="auto" w:val="clear"/>
            <w:tcMar>
              <w:bottom w:w="0" w:type="dxa"/>
            </w:tcMar>
            <w:vAlign w:val="center"/>
          </w:tcPr>
          <w:p>
            <w:pPr>
              <w:pStyle w:val="TableContents"/>
              <w:spacing w:before="0" w:after="283"/>
              <w:jc w:val="right"/>
              <w:rPr/>
            </w:pPr>
            <w:r>
              <w:rPr/>
              <w:t>199,881</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800" w:type="dxa"/>
            <w:tcBorders/>
            <w:shd w:fill="auto" w:val="clear"/>
            <w:tcMar>
              <w:bottom w:w="0" w:type="dxa"/>
            </w:tcMar>
            <w:vAlign w:val="center"/>
          </w:tcPr>
          <w:p>
            <w:pPr>
              <w:pStyle w:val="TableContents"/>
              <w:spacing w:before="0" w:after="283"/>
              <w:jc w:val="right"/>
              <w:rPr/>
            </w:pPr>
            <w:r>
              <w:rPr/>
              <w:t>199,555</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980" w:type="dxa"/>
            <w:tcBorders/>
            <w:shd w:fill="auto" w:val="clear"/>
            <w:tcMar>
              <w:bottom w:w="0" w:type="dxa"/>
            </w:tcMar>
            <w:vAlign w:val="center"/>
          </w:tcPr>
          <w:p>
            <w:pPr>
              <w:pStyle w:val="TableContents"/>
              <w:spacing w:before="0" w:after="283"/>
              <w:jc w:val="right"/>
              <w:rPr/>
            </w:pPr>
            <w:r>
              <w:rPr/>
              <w:t>462,186</w:t>
            </w:r>
          </w:p>
        </w:tc>
        <w:tc>
          <w:tcPr>
            <w:tcW w:w="75" w:type="dxa"/>
            <w:tcBorders/>
            <w:shd w:fill="auto" w:val="clear"/>
            <w:tcMar>
              <w:bottom w:w="0" w:type="dxa"/>
            </w:tcMar>
            <w:vAlign w:val="center"/>
          </w:tcPr>
          <w:p>
            <w:pPr>
              <w:pStyle w:val="TableContents"/>
              <w:spacing w:before="0" w:after="283"/>
              <w:jc w:val="left"/>
              <w:rPr/>
            </w:pPr>
            <w:r>
              <w:rPr/>
              <w:t> </w:t>
            </w:r>
          </w:p>
        </w:tc>
      </w:tr>
      <w:tr>
        <w:trPr/>
        <w:tc>
          <w:tcPr>
            <w:tcW w:w="2495" w:type="dxa"/>
            <w:tcBorders/>
            <w:shd w:fill="EFF6EA" w:val="clear"/>
            <w:tcMar>
              <w:bottom w:w="0" w:type="dxa"/>
            </w:tcMar>
            <w:vAlign w:val="center"/>
          </w:tcPr>
          <w:p>
            <w:pPr>
              <w:pStyle w:val="TableContents"/>
              <w:spacing w:before="0" w:after="283"/>
              <w:jc w:val="left"/>
              <w:rPr/>
            </w:pPr>
            <w:r>
              <w:rPr/>
              <w:t>Lars Ekman, M.D., Ph.D.</w:t>
            </w:r>
          </w:p>
        </w:tc>
        <w:tc>
          <w:tcPr>
            <w:tcW w:w="60" w:type="dxa"/>
            <w:tcBorders/>
            <w:shd w:fill="EFF6EA" w:val="clear"/>
            <w:tcMar>
              <w:bottom w:w="0" w:type="dxa"/>
            </w:tcMar>
            <w:vAlign w:val="center"/>
          </w:tcPr>
          <w:p>
            <w:pPr>
              <w:pStyle w:val="TableContents"/>
              <w:spacing w:before="0" w:after="283"/>
              <w:rPr/>
            </w:pPr>
            <w:r>
              <w:rPr/>
              <w:t> </w:t>
            </w:r>
          </w:p>
        </w:tc>
        <w:tc>
          <w:tcPr>
            <w:tcW w:w="596" w:type="dxa"/>
            <w:tcBorders/>
            <w:shd w:fill="EFF6EA" w:val="clear"/>
            <w:tcMar>
              <w:bottom w:w="0" w:type="dxa"/>
            </w:tcMar>
            <w:vAlign w:val="center"/>
          </w:tcPr>
          <w:p>
            <w:pPr>
              <w:pStyle w:val="TableContents"/>
              <w:spacing w:before="0" w:after="283"/>
              <w:jc w:val="left"/>
              <w:rPr/>
            </w:pPr>
            <w:r>
              <w:rPr/>
              <w:t> </w:t>
            </w:r>
          </w:p>
        </w:tc>
        <w:tc>
          <w:tcPr>
            <w:tcW w:w="953" w:type="dxa"/>
            <w:tcBorders/>
            <w:shd w:fill="EFF6EA" w:val="clear"/>
            <w:tcMar>
              <w:bottom w:w="0" w:type="dxa"/>
            </w:tcMar>
            <w:vAlign w:val="center"/>
          </w:tcPr>
          <w:p>
            <w:pPr>
              <w:pStyle w:val="TableContents"/>
              <w:spacing w:before="0" w:after="283"/>
              <w:jc w:val="right"/>
              <w:rPr/>
            </w:pPr>
            <w:r>
              <w:rPr/>
              <w:t>64,000</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800" w:type="dxa"/>
            <w:tcBorders/>
            <w:shd w:fill="EFF6EA" w:val="clear"/>
            <w:tcMar>
              <w:bottom w:w="0" w:type="dxa"/>
            </w:tcMar>
            <w:vAlign w:val="center"/>
          </w:tcPr>
          <w:p>
            <w:pPr>
              <w:pStyle w:val="TableContents"/>
              <w:spacing w:before="0" w:after="283"/>
              <w:jc w:val="right"/>
              <w:rPr/>
            </w:pPr>
            <w:r>
              <w:rPr/>
              <w:t>199,881</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800" w:type="dxa"/>
            <w:tcBorders/>
            <w:shd w:fill="EFF6EA" w:val="clear"/>
            <w:tcMar>
              <w:bottom w:w="0" w:type="dxa"/>
            </w:tcMar>
            <w:vAlign w:val="center"/>
          </w:tcPr>
          <w:p>
            <w:pPr>
              <w:pStyle w:val="TableContents"/>
              <w:spacing w:before="0" w:after="283"/>
              <w:jc w:val="right"/>
              <w:rPr/>
            </w:pPr>
            <w:r>
              <w:rPr/>
              <w:t>199,555</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980" w:type="dxa"/>
            <w:tcBorders/>
            <w:shd w:fill="EFF6EA" w:val="clear"/>
            <w:tcMar>
              <w:bottom w:w="0" w:type="dxa"/>
            </w:tcMar>
            <w:vAlign w:val="center"/>
          </w:tcPr>
          <w:p>
            <w:pPr>
              <w:pStyle w:val="TableContents"/>
              <w:spacing w:before="0" w:after="283"/>
              <w:jc w:val="right"/>
              <w:rPr/>
            </w:pPr>
            <w:r>
              <w:rPr/>
              <w:t>463,436</w:t>
            </w:r>
          </w:p>
        </w:tc>
        <w:tc>
          <w:tcPr>
            <w:tcW w:w="75" w:type="dxa"/>
            <w:tcBorders/>
            <w:shd w:fill="EFF6EA" w:val="clear"/>
            <w:tcMar>
              <w:bottom w:w="0" w:type="dxa"/>
            </w:tcMar>
            <w:vAlign w:val="center"/>
          </w:tcPr>
          <w:p>
            <w:pPr>
              <w:pStyle w:val="TableContents"/>
              <w:spacing w:before="0" w:after="283"/>
              <w:jc w:val="left"/>
              <w:rPr/>
            </w:pPr>
            <w:r>
              <w:rPr/>
              <w:t> </w:t>
            </w:r>
          </w:p>
        </w:tc>
      </w:tr>
      <w:tr>
        <w:trPr/>
        <w:tc>
          <w:tcPr>
            <w:tcW w:w="2495" w:type="dxa"/>
            <w:tcBorders/>
            <w:shd w:fill="auto" w:val="clear"/>
            <w:tcMar>
              <w:bottom w:w="0" w:type="dxa"/>
            </w:tcMar>
            <w:vAlign w:val="center"/>
          </w:tcPr>
          <w:p>
            <w:pPr>
              <w:pStyle w:val="TableContents"/>
              <w:spacing w:before="0" w:after="283"/>
              <w:jc w:val="left"/>
              <w:rPr/>
            </w:pPr>
            <w:r>
              <w:rPr/>
              <w:t>Matthew K. Fust</w:t>
            </w:r>
          </w:p>
        </w:tc>
        <w:tc>
          <w:tcPr>
            <w:tcW w:w="60" w:type="dxa"/>
            <w:tcBorders/>
            <w:shd w:fill="auto" w:val="clear"/>
            <w:tcMar>
              <w:bottom w:w="0" w:type="dxa"/>
            </w:tcMar>
            <w:vAlign w:val="center"/>
          </w:tcPr>
          <w:p>
            <w:pPr>
              <w:pStyle w:val="TableContents"/>
              <w:spacing w:before="0" w:after="283"/>
              <w:rPr/>
            </w:pPr>
            <w:r>
              <w:rPr/>
              <w:t> </w:t>
            </w:r>
          </w:p>
        </w:tc>
        <w:tc>
          <w:tcPr>
            <w:tcW w:w="596" w:type="dxa"/>
            <w:tcBorders/>
            <w:shd w:fill="auto" w:val="clear"/>
            <w:tcMar>
              <w:bottom w:w="0" w:type="dxa"/>
            </w:tcMar>
            <w:vAlign w:val="center"/>
          </w:tcPr>
          <w:p>
            <w:pPr>
              <w:pStyle w:val="TableContents"/>
              <w:spacing w:before="0" w:after="283"/>
              <w:jc w:val="left"/>
              <w:rPr/>
            </w:pPr>
            <w:r>
              <w:rPr/>
              <w:t> </w:t>
            </w:r>
          </w:p>
        </w:tc>
        <w:tc>
          <w:tcPr>
            <w:tcW w:w="953" w:type="dxa"/>
            <w:tcBorders/>
            <w:shd w:fill="auto" w:val="clear"/>
            <w:tcMar>
              <w:bottom w:w="0" w:type="dxa"/>
            </w:tcMar>
            <w:vAlign w:val="center"/>
          </w:tcPr>
          <w:p>
            <w:pPr>
              <w:pStyle w:val="TableContents"/>
              <w:spacing w:before="0" w:after="283"/>
              <w:jc w:val="right"/>
              <w:rPr/>
            </w:pPr>
            <w:r>
              <w:rPr/>
              <w:t>78,750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800" w:type="dxa"/>
            <w:tcBorders/>
            <w:shd w:fill="auto" w:val="clear"/>
            <w:tcMar>
              <w:bottom w:w="0" w:type="dxa"/>
            </w:tcMar>
            <w:vAlign w:val="center"/>
          </w:tcPr>
          <w:p>
            <w:pPr>
              <w:pStyle w:val="TableContents"/>
              <w:spacing w:before="0" w:after="283"/>
              <w:jc w:val="right"/>
              <w:rPr/>
            </w:pPr>
            <w:r>
              <w:rPr/>
              <w:t>199,881</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800" w:type="dxa"/>
            <w:tcBorders/>
            <w:shd w:fill="auto" w:val="clear"/>
            <w:tcMar>
              <w:bottom w:w="0" w:type="dxa"/>
            </w:tcMar>
            <w:vAlign w:val="center"/>
          </w:tcPr>
          <w:p>
            <w:pPr>
              <w:pStyle w:val="TableContents"/>
              <w:spacing w:before="0" w:after="283"/>
              <w:jc w:val="right"/>
              <w:rPr/>
            </w:pPr>
            <w:r>
              <w:rPr/>
              <w:t>199,555</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980" w:type="dxa"/>
            <w:tcBorders/>
            <w:shd w:fill="auto" w:val="clear"/>
            <w:tcMar>
              <w:bottom w:w="0" w:type="dxa"/>
            </w:tcMar>
            <w:vAlign w:val="center"/>
          </w:tcPr>
          <w:p>
            <w:pPr>
              <w:pStyle w:val="TableContents"/>
              <w:spacing w:before="0" w:after="283"/>
              <w:jc w:val="right"/>
              <w:rPr/>
            </w:pPr>
            <w:r>
              <w:rPr/>
              <w:t>478,186</w:t>
            </w:r>
          </w:p>
        </w:tc>
        <w:tc>
          <w:tcPr>
            <w:tcW w:w="75" w:type="dxa"/>
            <w:tcBorders/>
            <w:shd w:fill="auto" w:val="clear"/>
            <w:tcMar>
              <w:bottom w:w="0" w:type="dxa"/>
            </w:tcMar>
            <w:vAlign w:val="center"/>
          </w:tcPr>
          <w:p>
            <w:pPr>
              <w:pStyle w:val="TableContents"/>
              <w:spacing w:before="0" w:after="283"/>
              <w:jc w:val="left"/>
              <w:rPr/>
            </w:pPr>
            <w:r>
              <w:rPr/>
              <w:t> </w:t>
            </w:r>
          </w:p>
        </w:tc>
      </w:tr>
      <w:tr>
        <w:trPr/>
        <w:tc>
          <w:tcPr>
            <w:tcW w:w="2495" w:type="dxa"/>
            <w:tcBorders/>
            <w:shd w:fill="EFF6EA" w:val="clear"/>
            <w:tcMar>
              <w:bottom w:w="0" w:type="dxa"/>
            </w:tcMar>
            <w:vAlign w:val="center"/>
          </w:tcPr>
          <w:p>
            <w:pPr>
              <w:pStyle w:val="TableContents"/>
              <w:spacing w:before="0" w:after="283"/>
              <w:jc w:val="left"/>
              <w:rPr/>
            </w:pPr>
            <w:r>
              <w:rPr/>
              <w:t>Michael Narachi</w:t>
            </w:r>
          </w:p>
        </w:tc>
        <w:tc>
          <w:tcPr>
            <w:tcW w:w="60" w:type="dxa"/>
            <w:tcBorders/>
            <w:shd w:fill="EFF6EA" w:val="clear"/>
            <w:tcMar>
              <w:bottom w:w="0" w:type="dxa"/>
            </w:tcMar>
            <w:vAlign w:val="center"/>
          </w:tcPr>
          <w:p>
            <w:pPr>
              <w:pStyle w:val="TableContents"/>
              <w:spacing w:before="0" w:after="283"/>
              <w:rPr/>
            </w:pPr>
            <w:r>
              <w:rPr/>
              <w:t> </w:t>
            </w:r>
          </w:p>
        </w:tc>
        <w:tc>
          <w:tcPr>
            <w:tcW w:w="596" w:type="dxa"/>
            <w:tcBorders/>
            <w:shd w:fill="EFF6EA" w:val="clear"/>
            <w:tcMar>
              <w:bottom w:w="0" w:type="dxa"/>
            </w:tcMar>
            <w:vAlign w:val="center"/>
          </w:tcPr>
          <w:p>
            <w:pPr>
              <w:pStyle w:val="TableContents"/>
              <w:spacing w:before="0" w:after="283"/>
              <w:jc w:val="left"/>
              <w:rPr/>
            </w:pPr>
            <w:r>
              <w:rPr/>
              <w:t> </w:t>
            </w:r>
          </w:p>
        </w:tc>
        <w:tc>
          <w:tcPr>
            <w:tcW w:w="953" w:type="dxa"/>
            <w:tcBorders/>
            <w:shd w:fill="EFF6EA" w:val="clear"/>
            <w:tcMar>
              <w:bottom w:w="0" w:type="dxa"/>
            </w:tcMar>
            <w:vAlign w:val="center"/>
          </w:tcPr>
          <w:p>
            <w:pPr>
              <w:pStyle w:val="TableContents"/>
              <w:spacing w:before="0" w:after="283"/>
              <w:jc w:val="right"/>
              <w:rPr/>
            </w:pPr>
            <w:r>
              <w:rPr/>
              <w:t>81,875</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800" w:type="dxa"/>
            <w:tcBorders/>
            <w:shd w:fill="EFF6EA" w:val="clear"/>
            <w:tcMar>
              <w:bottom w:w="0" w:type="dxa"/>
            </w:tcMar>
            <w:vAlign w:val="center"/>
          </w:tcPr>
          <w:p>
            <w:pPr>
              <w:pStyle w:val="TableContents"/>
              <w:spacing w:before="0" w:after="283"/>
              <w:jc w:val="right"/>
              <w:rPr/>
            </w:pPr>
            <w:r>
              <w:rPr/>
              <w:t>199,881</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800" w:type="dxa"/>
            <w:tcBorders/>
            <w:shd w:fill="EFF6EA" w:val="clear"/>
            <w:tcMar>
              <w:bottom w:w="0" w:type="dxa"/>
            </w:tcMar>
            <w:vAlign w:val="center"/>
          </w:tcPr>
          <w:p>
            <w:pPr>
              <w:pStyle w:val="TableContents"/>
              <w:spacing w:before="0" w:after="283"/>
              <w:jc w:val="right"/>
              <w:rPr/>
            </w:pPr>
            <w:r>
              <w:rPr/>
              <w:t>199,555</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980" w:type="dxa"/>
            <w:tcBorders/>
            <w:shd w:fill="EFF6EA" w:val="clear"/>
            <w:tcMar>
              <w:bottom w:w="0" w:type="dxa"/>
            </w:tcMar>
            <w:vAlign w:val="center"/>
          </w:tcPr>
          <w:p>
            <w:pPr>
              <w:pStyle w:val="TableContents"/>
              <w:spacing w:before="0" w:after="283"/>
              <w:jc w:val="right"/>
              <w:rPr/>
            </w:pPr>
            <w:r>
              <w:rPr/>
              <w:t>481,311</w:t>
            </w:r>
          </w:p>
        </w:tc>
        <w:tc>
          <w:tcPr>
            <w:tcW w:w="75" w:type="dxa"/>
            <w:tcBorders/>
            <w:shd w:fill="EFF6EA" w:val="clear"/>
            <w:tcMar>
              <w:bottom w:w="0" w:type="dxa"/>
            </w:tcMar>
            <w:vAlign w:val="center"/>
          </w:tcPr>
          <w:p>
            <w:pPr>
              <w:pStyle w:val="TableContents"/>
              <w:spacing w:before="0" w:after="283"/>
              <w:jc w:val="left"/>
              <w:rPr/>
            </w:pPr>
            <w:r>
              <w:rPr/>
              <w:t> </w:t>
            </w:r>
          </w:p>
        </w:tc>
      </w:tr>
      <w:tr>
        <w:trPr/>
        <w:tc>
          <w:tcPr>
            <w:tcW w:w="2495" w:type="dxa"/>
            <w:tcBorders/>
            <w:shd w:fill="auto" w:val="clear"/>
            <w:tcMar>
              <w:bottom w:w="0" w:type="dxa"/>
            </w:tcMar>
            <w:vAlign w:val="center"/>
          </w:tcPr>
          <w:p>
            <w:pPr>
              <w:pStyle w:val="TableContents"/>
              <w:spacing w:before="0" w:after="283"/>
              <w:jc w:val="left"/>
              <w:rPr/>
            </w:pPr>
            <w:r>
              <w:rPr/>
              <w:t>Amrit Ray, M.D.</w:t>
            </w:r>
          </w:p>
        </w:tc>
        <w:tc>
          <w:tcPr>
            <w:tcW w:w="60" w:type="dxa"/>
            <w:tcBorders/>
            <w:shd w:fill="auto" w:val="clear"/>
            <w:tcMar>
              <w:bottom w:w="0" w:type="dxa"/>
            </w:tcMar>
            <w:vAlign w:val="center"/>
          </w:tcPr>
          <w:p>
            <w:pPr>
              <w:pStyle w:val="TableContents"/>
              <w:spacing w:before="0" w:after="283"/>
              <w:rPr/>
            </w:pPr>
            <w:r>
              <w:rPr/>
              <w:t> </w:t>
            </w:r>
          </w:p>
        </w:tc>
        <w:tc>
          <w:tcPr>
            <w:tcW w:w="596" w:type="dxa"/>
            <w:tcBorders/>
            <w:shd w:fill="auto" w:val="clear"/>
            <w:tcMar>
              <w:bottom w:w="0" w:type="dxa"/>
            </w:tcMar>
            <w:vAlign w:val="center"/>
          </w:tcPr>
          <w:p>
            <w:pPr>
              <w:pStyle w:val="TableContents"/>
              <w:spacing w:before="0" w:after="283"/>
              <w:jc w:val="left"/>
              <w:rPr/>
            </w:pPr>
            <w:r>
              <w:rPr/>
              <w:t> </w:t>
            </w:r>
          </w:p>
        </w:tc>
        <w:tc>
          <w:tcPr>
            <w:tcW w:w="953" w:type="dxa"/>
            <w:tcBorders/>
            <w:shd w:fill="auto" w:val="clear"/>
            <w:tcMar>
              <w:bottom w:w="0" w:type="dxa"/>
            </w:tcMar>
            <w:vAlign w:val="center"/>
          </w:tcPr>
          <w:p>
            <w:pPr>
              <w:pStyle w:val="TableContents"/>
              <w:spacing w:before="0" w:after="283"/>
              <w:jc w:val="right"/>
              <w:rPr/>
            </w:pPr>
            <w:r>
              <w:rPr/>
              <w:t>41,000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800" w:type="dxa"/>
            <w:tcBorders/>
            <w:shd w:fill="auto" w:val="clear"/>
            <w:tcMar>
              <w:bottom w:w="0" w:type="dxa"/>
            </w:tcMar>
            <w:vAlign w:val="center"/>
          </w:tcPr>
          <w:p>
            <w:pPr>
              <w:pStyle w:val="TableContents"/>
              <w:spacing w:before="0" w:after="283"/>
              <w:jc w:val="right"/>
              <w:rPr/>
            </w:pPr>
            <w:r>
              <w:rPr/>
              <w:t>599,753</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800" w:type="dxa"/>
            <w:tcBorders/>
            <w:shd w:fill="auto" w:val="clear"/>
            <w:tcMar>
              <w:bottom w:w="0" w:type="dxa"/>
            </w:tcMar>
            <w:vAlign w:val="center"/>
          </w:tcPr>
          <w:p>
            <w:pPr>
              <w:pStyle w:val="TableContents"/>
              <w:spacing w:before="0" w:after="283"/>
              <w:jc w:val="right"/>
              <w:rPr/>
            </w:pPr>
            <w:r>
              <w:rPr/>
              <w:t>600,845</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980" w:type="dxa"/>
            <w:tcBorders/>
            <w:shd w:fill="auto" w:val="clear"/>
            <w:tcMar>
              <w:bottom w:w="0" w:type="dxa"/>
            </w:tcMar>
            <w:vAlign w:val="center"/>
          </w:tcPr>
          <w:p>
            <w:pPr>
              <w:pStyle w:val="TableContents"/>
              <w:spacing w:before="0" w:after="283"/>
              <w:jc w:val="right"/>
              <w:rPr/>
            </w:pPr>
            <w:r>
              <w:rPr/>
              <w:t>1,241,598</w:t>
            </w:r>
          </w:p>
        </w:tc>
        <w:tc>
          <w:tcPr>
            <w:tcW w:w="75" w:type="dxa"/>
            <w:tcBorders/>
            <w:shd w:fill="auto" w:val="clear"/>
            <w:tcMar>
              <w:bottom w:w="0" w:type="dxa"/>
            </w:tcMar>
            <w:vAlign w:val="center"/>
          </w:tcPr>
          <w:p>
            <w:pPr>
              <w:pStyle w:val="TableContents"/>
              <w:spacing w:before="0" w:after="283"/>
              <w:jc w:val="left"/>
              <w:rPr/>
            </w:pPr>
            <w:r>
              <w:rPr/>
              <w:t> </w:t>
            </w:r>
          </w:p>
        </w:tc>
      </w:tr>
      <w:tr>
        <w:trPr/>
        <w:tc>
          <w:tcPr>
            <w:tcW w:w="2495" w:type="dxa"/>
            <w:tcBorders/>
            <w:shd w:fill="EFF6EA" w:val="clear"/>
            <w:tcMar>
              <w:bottom w:w="0" w:type="dxa"/>
            </w:tcMar>
            <w:vAlign w:val="center"/>
          </w:tcPr>
          <w:p>
            <w:pPr>
              <w:pStyle w:val="TableContents"/>
              <w:spacing w:before="0" w:after="283"/>
              <w:jc w:val="left"/>
              <w:rPr/>
            </w:pPr>
            <w:r>
              <w:rPr/>
              <w:t>Corsee D. Sanders, Ph.D.</w:t>
            </w:r>
          </w:p>
        </w:tc>
        <w:tc>
          <w:tcPr>
            <w:tcW w:w="60" w:type="dxa"/>
            <w:tcBorders/>
            <w:shd w:fill="EFF6EA" w:val="clear"/>
            <w:tcMar>
              <w:bottom w:w="0" w:type="dxa"/>
            </w:tcMar>
            <w:vAlign w:val="center"/>
          </w:tcPr>
          <w:p>
            <w:pPr>
              <w:pStyle w:val="TableContents"/>
              <w:spacing w:before="0" w:after="283"/>
              <w:rPr/>
            </w:pPr>
            <w:r>
              <w:rPr/>
              <w:t> </w:t>
            </w:r>
          </w:p>
        </w:tc>
        <w:tc>
          <w:tcPr>
            <w:tcW w:w="596" w:type="dxa"/>
            <w:tcBorders/>
            <w:shd w:fill="EFF6EA" w:val="clear"/>
            <w:tcMar>
              <w:bottom w:w="0" w:type="dxa"/>
            </w:tcMar>
            <w:vAlign w:val="center"/>
          </w:tcPr>
          <w:p>
            <w:pPr>
              <w:pStyle w:val="TableContents"/>
              <w:spacing w:before="0" w:after="283"/>
              <w:jc w:val="left"/>
              <w:rPr/>
            </w:pPr>
            <w:r>
              <w:rPr/>
              <w:t> </w:t>
            </w:r>
          </w:p>
        </w:tc>
        <w:tc>
          <w:tcPr>
            <w:tcW w:w="953" w:type="dxa"/>
            <w:tcBorders/>
            <w:shd w:fill="EFF6EA" w:val="clear"/>
            <w:tcMar>
              <w:bottom w:w="0" w:type="dxa"/>
            </w:tcMar>
            <w:vAlign w:val="center"/>
          </w:tcPr>
          <w:p>
            <w:pPr>
              <w:pStyle w:val="TableContents"/>
              <w:spacing w:before="0" w:after="283"/>
              <w:jc w:val="right"/>
              <w:rPr/>
            </w:pPr>
            <w:r>
              <w:rPr/>
              <w:t>66,375</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800" w:type="dxa"/>
            <w:tcBorders/>
            <w:shd w:fill="EFF6EA" w:val="clear"/>
            <w:tcMar>
              <w:bottom w:w="0" w:type="dxa"/>
            </w:tcMar>
            <w:vAlign w:val="center"/>
          </w:tcPr>
          <w:p>
            <w:pPr>
              <w:pStyle w:val="TableContents"/>
              <w:spacing w:before="0" w:after="283"/>
              <w:jc w:val="right"/>
              <w:rPr/>
            </w:pPr>
            <w:r>
              <w:rPr/>
              <w:t>199,881</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800" w:type="dxa"/>
            <w:tcBorders/>
            <w:shd w:fill="EFF6EA" w:val="clear"/>
            <w:tcMar>
              <w:bottom w:w="0" w:type="dxa"/>
            </w:tcMar>
            <w:vAlign w:val="center"/>
          </w:tcPr>
          <w:p>
            <w:pPr>
              <w:pStyle w:val="TableContents"/>
              <w:spacing w:before="0" w:after="283"/>
              <w:jc w:val="right"/>
              <w:rPr/>
            </w:pPr>
            <w:r>
              <w:rPr/>
              <w:t>199,555</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980" w:type="dxa"/>
            <w:tcBorders/>
            <w:shd w:fill="EFF6EA" w:val="clear"/>
            <w:tcMar>
              <w:bottom w:w="0" w:type="dxa"/>
            </w:tcMar>
            <w:vAlign w:val="center"/>
          </w:tcPr>
          <w:p>
            <w:pPr>
              <w:pStyle w:val="TableContents"/>
              <w:spacing w:before="0" w:after="283"/>
              <w:jc w:val="right"/>
              <w:rPr/>
            </w:pPr>
            <w:r>
              <w:rPr/>
              <w:t>465,811</w:t>
            </w:r>
          </w:p>
        </w:tc>
        <w:tc>
          <w:tcPr>
            <w:tcW w:w="75" w:type="dxa"/>
            <w:tcBorders/>
            <w:shd w:fill="EFF6EA" w:val="clear"/>
            <w:tcMar>
              <w:bottom w:w="0" w:type="dxa"/>
            </w:tcMar>
            <w:vAlign w:val="center"/>
          </w:tcPr>
          <w:p>
            <w:pPr>
              <w:pStyle w:val="TableContents"/>
              <w:spacing w:before="0" w:after="283"/>
              <w:jc w:val="left"/>
              <w:rPr/>
            </w:pPr>
            <w:r>
              <w:rPr/>
              <w:t> </w:t>
            </w:r>
          </w:p>
        </w:tc>
      </w:tr>
      <w:tr>
        <w:trPr/>
        <w:tc>
          <w:tcPr>
            <w:tcW w:w="2495" w:type="dxa"/>
            <w:tcBorders>
              <w:bottom w:val="single" w:sz="12" w:space="0" w:color="7CBC3E"/>
            </w:tcBorders>
            <w:shd w:fill="auto" w:val="clear"/>
            <w:vAlign w:val="center"/>
          </w:tcPr>
          <w:p>
            <w:pPr>
              <w:pStyle w:val="TableContents"/>
              <w:spacing w:before="0" w:after="283"/>
              <w:jc w:val="left"/>
              <w:rPr/>
            </w:pPr>
            <w:r>
              <w:rPr/>
              <w:t>Shehnaaz Suliman, M.D.</w:t>
            </w:r>
          </w:p>
        </w:tc>
        <w:tc>
          <w:tcPr>
            <w:tcW w:w="60" w:type="dxa"/>
            <w:tcBorders>
              <w:bottom w:val="single" w:sz="12" w:space="0" w:color="7CBC3E"/>
            </w:tcBorders>
            <w:shd w:fill="auto" w:val="clear"/>
            <w:vAlign w:val="center"/>
          </w:tcPr>
          <w:p>
            <w:pPr>
              <w:pStyle w:val="TableContents"/>
              <w:spacing w:before="0" w:after="283"/>
              <w:rPr/>
            </w:pPr>
            <w:r>
              <w:rPr/>
              <w:t> </w:t>
            </w:r>
          </w:p>
        </w:tc>
        <w:tc>
          <w:tcPr>
            <w:tcW w:w="596" w:type="dxa"/>
            <w:tcBorders>
              <w:bottom w:val="single" w:sz="12" w:space="0" w:color="7CBC3E"/>
            </w:tcBorders>
            <w:shd w:fill="auto" w:val="clear"/>
            <w:vAlign w:val="center"/>
          </w:tcPr>
          <w:p>
            <w:pPr>
              <w:pStyle w:val="TableContents"/>
              <w:spacing w:before="0" w:after="283"/>
              <w:jc w:val="left"/>
              <w:rPr/>
            </w:pPr>
            <w:r>
              <w:rPr/>
              <w:t> </w:t>
            </w:r>
          </w:p>
        </w:tc>
        <w:tc>
          <w:tcPr>
            <w:tcW w:w="953" w:type="dxa"/>
            <w:tcBorders>
              <w:bottom w:val="single" w:sz="12" w:space="0" w:color="7CBC3E"/>
            </w:tcBorders>
            <w:shd w:fill="auto" w:val="clear"/>
            <w:vAlign w:val="center"/>
          </w:tcPr>
          <w:p>
            <w:pPr>
              <w:pStyle w:val="TableContents"/>
              <w:spacing w:before="0" w:after="283"/>
              <w:jc w:val="right"/>
              <w:rPr/>
            </w:pPr>
            <w:r>
              <w:rPr/>
              <w:t>67,000</w:t>
            </w:r>
          </w:p>
        </w:tc>
        <w:tc>
          <w:tcPr>
            <w:tcW w:w="60" w:type="dxa"/>
            <w:tcBorders>
              <w:bottom w:val="single" w:sz="12" w:space="0" w:color="7CBC3E"/>
            </w:tcBorders>
            <w:shd w:fill="auto" w:val="clear"/>
            <w:vAlign w:val="center"/>
          </w:tcPr>
          <w:p>
            <w:pPr>
              <w:pStyle w:val="TableContents"/>
              <w:spacing w:before="0" w:after="283"/>
              <w:jc w:val="left"/>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40" w:type="dxa"/>
            <w:tcBorders>
              <w:bottom w:val="single" w:sz="12" w:space="0" w:color="7CBC3E"/>
            </w:tcBorders>
            <w:shd w:fill="auto" w:val="clear"/>
            <w:vAlign w:val="center"/>
          </w:tcPr>
          <w:p>
            <w:pPr>
              <w:pStyle w:val="TableContents"/>
              <w:spacing w:before="0" w:after="283"/>
              <w:jc w:val="left"/>
              <w:rPr/>
            </w:pPr>
            <w:r>
              <w:rPr/>
              <w:t> </w:t>
            </w:r>
          </w:p>
        </w:tc>
        <w:tc>
          <w:tcPr>
            <w:tcW w:w="800" w:type="dxa"/>
            <w:tcBorders>
              <w:bottom w:val="single" w:sz="12" w:space="0" w:color="7CBC3E"/>
            </w:tcBorders>
            <w:shd w:fill="auto" w:val="clear"/>
            <w:vAlign w:val="center"/>
          </w:tcPr>
          <w:p>
            <w:pPr>
              <w:pStyle w:val="TableContents"/>
              <w:spacing w:before="0" w:after="283"/>
              <w:jc w:val="right"/>
              <w:rPr/>
            </w:pPr>
            <w:r>
              <w:rPr/>
              <w:t>199,881</w:t>
            </w:r>
          </w:p>
        </w:tc>
        <w:tc>
          <w:tcPr>
            <w:tcW w:w="60" w:type="dxa"/>
            <w:tcBorders>
              <w:bottom w:val="single" w:sz="12" w:space="0" w:color="7CBC3E"/>
            </w:tcBorders>
            <w:shd w:fill="auto" w:val="clear"/>
            <w:vAlign w:val="center"/>
          </w:tcPr>
          <w:p>
            <w:pPr>
              <w:pStyle w:val="TableContents"/>
              <w:spacing w:before="0" w:after="283"/>
              <w:jc w:val="left"/>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40" w:type="dxa"/>
            <w:tcBorders>
              <w:bottom w:val="single" w:sz="12" w:space="0" w:color="7CBC3E"/>
            </w:tcBorders>
            <w:shd w:fill="auto" w:val="clear"/>
            <w:vAlign w:val="center"/>
          </w:tcPr>
          <w:p>
            <w:pPr>
              <w:pStyle w:val="TableContents"/>
              <w:spacing w:before="0" w:after="283"/>
              <w:jc w:val="left"/>
              <w:rPr/>
            </w:pPr>
            <w:r>
              <w:rPr/>
              <w:t> </w:t>
            </w:r>
          </w:p>
        </w:tc>
        <w:tc>
          <w:tcPr>
            <w:tcW w:w="800" w:type="dxa"/>
            <w:tcBorders>
              <w:bottom w:val="single" w:sz="12" w:space="0" w:color="7CBC3E"/>
            </w:tcBorders>
            <w:shd w:fill="auto" w:val="clear"/>
            <w:vAlign w:val="center"/>
          </w:tcPr>
          <w:p>
            <w:pPr>
              <w:pStyle w:val="TableContents"/>
              <w:spacing w:before="0" w:after="283"/>
              <w:jc w:val="right"/>
              <w:rPr/>
            </w:pPr>
            <w:r>
              <w:rPr/>
              <w:t>199,555</w:t>
            </w:r>
          </w:p>
        </w:tc>
        <w:tc>
          <w:tcPr>
            <w:tcW w:w="60" w:type="dxa"/>
            <w:tcBorders>
              <w:bottom w:val="single" w:sz="12" w:space="0" w:color="7CBC3E"/>
            </w:tcBorders>
            <w:shd w:fill="auto" w:val="clear"/>
            <w:vAlign w:val="center"/>
          </w:tcPr>
          <w:p>
            <w:pPr>
              <w:pStyle w:val="TableContents"/>
              <w:spacing w:before="0" w:after="283"/>
              <w:jc w:val="left"/>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40" w:type="dxa"/>
            <w:tcBorders>
              <w:bottom w:val="single" w:sz="12" w:space="0" w:color="7CBC3E"/>
            </w:tcBorders>
            <w:shd w:fill="auto" w:val="clear"/>
            <w:vAlign w:val="center"/>
          </w:tcPr>
          <w:p>
            <w:pPr>
              <w:pStyle w:val="TableContents"/>
              <w:spacing w:before="0" w:after="283"/>
              <w:jc w:val="left"/>
              <w:rPr/>
            </w:pPr>
            <w:r>
              <w:rPr/>
              <w:t> </w:t>
            </w:r>
          </w:p>
        </w:tc>
        <w:tc>
          <w:tcPr>
            <w:tcW w:w="980" w:type="dxa"/>
            <w:tcBorders>
              <w:bottom w:val="single" w:sz="12" w:space="0" w:color="7CBC3E"/>
            </w:tcBorders>
            <w:shd w:fill="auto" w:val="clear"/>
            <w:vAlign w:val="center"/>
          </w:tcPr>
          <w:p>
            <w:pPr>
              <w:pStyle w:val="TableContents"/>
              <w:spacing w:before="0" w:after="283"/>
              <w:jc w:val="right"/>
              <w:rPr/>
            </w:pPr>
            <w:r>
              <w:rPr/>
              <w:t>466,436</w:t>
            </w:r>
          </w:p>
        </w:tc>
        <w:tc>
          <w:tcPr>
            <w:tcW w:w="75" w:type="dxa"/>
            <w:tcBorders>
              <w:bottom w:val="single" w:sz="12" w:space="0" w:color="7CBC3E"/>
            </w:tcBorders>
            <w:shd w:fill="auto" w:val="clear"/>
            <w:vAlign w:val="center"/>
          </w:tcPr>
          <w:p>
            <w:pPr>
              <w:pStyle w:val="TableContents"/>
              <w:spacing w:before="0" w:after="283"/>
              <w:jc w:val="left"/>
              <w:rPr/>
            </w:pPr>
            <w:r>
              <w:rPr/>
              <w:t> </w:t>
            </w:r>
          </w:p>
        </w:tc>
      </w:tr>
    </w:tbl>
    <w:p>
      <w:pPr>
        <w:pStyle w:val="TextBody"/>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7"/>
        <w:gridCol w:w="9968"/>
      </w:tblGrid>
      <w:tr>
        <w:trPr/>
        <w:tc>
          <w:tcPr>
            <w:tcW w:w="237" w:type="dxa"/>
            <w:tcBorders/>
            <w:shd w:fill="auto" w:val="clear"/>
            <w:vAlign w:val="center"/>
          </w:tcPr>
          <w:p>
            <w:pPr>
              <w:pStyle w:val="TableContents"/>
              <w:spacing w:before="0" w:after="283"/>
              <w:rPr/>
            </w:pPr>
            <w:r>
              <w:rPr/>
              <w:t>(1)</w:t>
            </w:r>
          </w:p>
        </w:tc>
        <w:tc>
          <w:tcPr>
            <w:tcW w:w="9968" w:type="dxa"/>
            <w:tcBorders/>
            <w:shd w:fill="auto" w:val="clear"/>
            <w:vAlign w:val="center"/>
          </w:tcPr>
          <w:p>
            <w:pPr>
              <w:pStyle w:val="TableContents"/>
              <w:spacing w:before="0" w:after="283"/>
              <w:jc w:val="both"/>
              <w:rPr/>
            </w:pPr>
            <w:r>
              <w:rPr/>
              <w:t>The amounts reported in this column for a fiscal year represent the grant date fair value of the RSUs granted to our non-employee directors during the fiscal year, as computed in accordance with ASC Topic 718, not including any estimates of forfeitures. The assumptions used in calculating the grant date fair value of the RSUs reported in this column are set forth in the notes to our financial statements included in our Annual Report. The amounts reported in this column reflect the accounting cost for these RSUs, and do not correspond to the actual economic value that may be received by the non-employee directors from the RSUs. As of December 31, 2022, our then non-employee directors had the following outstanding RSUs: Mr. Welch – 3,300; Mr. Aliski – 0; Dr. Dunsire – 3,300; Dr. Ekman - 3,300; Mr. Fust - 3,300; Mr. Narachi - 3,300; Dr. Ray – 8,420; Dr. Sanders – 5,897; and Dr. Suliman – 3,300.</w:t>
            </w:r>
          </w:p>
        </w:tc>
      </w:tr>
      <w:tr>
        <w:trPr/>
        <w:tc>
          <w:tcPr>
            <w:tcW w:w="237" w:type="dxa"/>
            <w:tcBorders/>
            <w:shd w:fill="auto" w:val="clear"/>
            <w:vAlign w:val="center"/>
          </w:tcPr>
          <w:p>
            <w:pPr>
              <w:pStyle w:val="TableContents"/>
              <w:spacing w:before="0" w:after="283"/>
              <w:rPr/>
            </w:pPr>
            <w:r>
              <w:rPr/>
              <w:t>(2)</w:t>
            </w:r>
          </w:p>
        </w:tc>
        <w:tc>
          <w:tcPr>
            <w:tcW w:w="9968" w:type="dxa"/>
            <w:tcBorders/>
            <w:shd w:fill="auto" w:val="clear"/>
            <w:vAlign w:val="center"/>
          </w:tcPr>
          <w:p>
            <w:pPr>
              <w:pStyle w:val="TableContents"/>
              <w:spacing w:before="0" w:after="283"/>
              <w:jc w:val="both"/>
              <w:rPr/>
            </w:pPr>
            <w:r>
              <w:rPr/>
              <w:t>The amounts reported in this column represent the grant date fair value of the stock options granted to our non-employee directors during fiscal 2022, as computed in accordance with ASC Topic 718, not including any estimates of forfeitures. The assumptions used in calculating the grant date fair value of the stock options reported in this column are set forth in the notes to our financial statements included in our Annual Report. The amounts reported in this column reflect the accounting cost for these stock options, and do not correspond to the actual economic value that may be received by the non-employee directors from the options. As of December 31, 2022, our then non-employee directors had the following outstanding options: Mr. Welch – 57,120; Mr. Aliski – 0; Dr. Dunsire – 43,370; Dr. Ekman – 47,120; Mr. Fust – 39,620; Mr. Narachi – 57,120; Dr. Ray – 15,770, Dr. Sanders– 13,500; and Dr. Suliman – 39,620.</w:t>
            </w:r>
          </w:p>
        </w:tc>
      </w:tr>
      <w:tr>
        <w:trPr/>
        <w:tc>
          <w:tcPr>
            <w:tcW w:w="237" w:type="dxa"/>
            <w:tcBorders/>
            <w:shd w:fill="auto" w:val="clear"/>
            <w:vAlign w:val="center"/>
          </w:tcPr>
          <w:p>
            <w:pPr>
              <w:pStyle w:val="TableContents"/>
              <w:spacing w:before="0" w:after="283"/>
              <w:rPr/>
            </w:pPr>
            <w:r>
              <w:rPr/>
              <w:t>(3)</w:t>
            </w:r>
          </w:p>
        </w:tc>
        <w:tc>
          <w:tcPr>
            <w:tcW w:w="9968" w:type="dxa"/>
            <w:tcBorders/>
            <w:shd w:fill="auto" w:val="clear"/>
            <w:vAlign w:val="center"/>
          </w:tcPr>
          <w:p>
            <w:pPr>
              <w:pStyle w:val="TableContents"/>
              <w:spacing w:before="0" w:after="283"/>
              <w:jc w:val="both"/>
              <w:rPr/>
            </w:pPr>
            <w:r>
              <w:rPr/>
              <w:t>Mr. Aliski did not stand for re-election at our 2022 annual meeting of stockholders and his term expired on June 24, 2022.</w:t>
            </w:r>
          </w:p>
        </w:tc>
      </w:tr>
    </w:tbl>
    <w:p>
      <w:pPr>
        <w:pStyle w:val="TextBody"/>
        <w:rPr>
          <w:caps w:val="false"/>
          <w:smallCaps w:val="false"/>
        </w:rPr>
      </w:pPr>
      <w:r>
        <w:rPr>
          <w:caps w:val="false"/>
          <w:smallCaps w:val="false"/>
        </w:rPr>
        <w:t> </w:t>
      </w:r>
    </w:p>
    <w:p>
      <w:pPr>
        <w:pStyle w:val="Heading2"/>
        <w:rPr>
          <w:rFonts w:ascii="Arial;Helvetica;Sans-Serif" w:hAnsi="Arial;Helvetica;Sans-Serif"/>
          <w:b/>
          <w:i w:val="false"/>
          <w:caps w:val="false"/>
          <w:smallCaps w:val="false"/>
          <w:color w:val="7CBC3E"/>
          <w:sz w:val="40"/>
        </w:rPr>
      </w:pPr>
      <w:bookmarkStart w:id="117" w:name="lrarea104"/>
      <w:bookmarkEnd w:id="117"/>
      <w:r>
        <w:rPr>
          <w:rFonts w:ascii="Arial;Helvetica;Sans-Serif" w:hAnsi="Arial;Helvetica;Sans-Serif"/>
          <w:b/>
          <w:i w:val="false"/>
          <w:caps w:val="false"/>
          <w:smallCaps w:val="false"/>
          <w:color w:val="7CBC3E"/>
          <w:sz w:val="40"/>
        </w:rPr>
        <w:t>CEO Pay Ratio</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required by SEC rules adopted under the Dodd-Frank Act to disclose the ratio of our median employee’s annual total compensation to the annual total compensation of our principal executive officer. This disclosure provides a measure of the equitability of pay within our company. We believe our compensation philosophy and process yield an equitable result for all of our employees. For 2022, the annual total compensation for Dr. Emil Kakkis, our Chief Executive Officer and President, was $12,140,330 and for our median employee was $314,351, resulting in a pay ratio of 39:1.</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accordance with Item 402(u) of Regulation S-K, we identified the median employee by (i) aggregating for each applicable employee (A) base salary for 2022 on the calculation date, (B) the target bonus for 2022, and (C) the accounting value of any equity awards granted during 2021, and (ii) ranking this annual compensation measure for our employees from lowest to highest. This calculation encompasses individuals, excluding our CEO, employed by us on October 1, 2022, whether employed on a full-time, part-time, or seasonal basis. For any permanent employees who were only employed for part of the 2022 fiscal year, we annualized their compensation to present a more accurate representation of their comparative annual compensation. On October 1, 2022, we had 1,300 employees. The total compensation of our identified median employee using the same methodology we use for our named executive officers as set forth in the Summary Compensation Table.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69</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2"/>
        <w:rPr>
          <w:rFonts w:ascii="Arial;Helvetica;Sans-Serif" w:hAnsi="Arial;Helvetica;Sans-Serif"/>
          <w:b/>
          <w:i w:val="false"/>
          <w:caps w:val="false"/>
          <w:smallCaps w:val="false"/>
          <w:color w:val="7CBC3E"/>
          <w:sz w:val="40"/>
        </w:rPr>
      </w:pPr>
      <w:bookmarkStart w:id="118" w:name="lrarea105"/>
      <w:bookmarkEnd w:id="118"/>
      <w:r>
        <w:rPr>
          <w:rFonts w:ascii="Arial;Helvetica;Sans-Serif" w:hAnsi="Arial;Helvetica;Sans-Serif"/>
          <w:b/>
          <w:i w:val="false"/>
          <w:caps w:val="false"/>
          <w:smallCaps w:val="false"/>
          <w:color w:val="7CBC3E"/>
          <w:sz w:val="40"/>
        </w:rPr>
        <w:t>Pay versus Performance</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required by Section 953(a) of the Dodd-Frank Wall Street Reform and Consumer Protection Act, and Item 402(v) of Regulation S-K, we are providing the following information about the relationship between Compensation Actually Paid (CAP) and certain financial performance of the Company. For further information concerning the Company’s pay for performance philosophy and how the Company’s aligns executive compensation with the Company’s performance, refer to “Executive Compensation – Compensation Discussion and Analysis.”</w:t>
      </w:r>
    </w:p>
    <w:p>
      <w:pPr>
        <w:pStyle w:val="TextBody"/>
        <w:rPr>
          <w:caps w:val="false"/>
          <w:smallCaps w:val="false"/>
        </w:rPr>
      </w:pPr>
      <w:r>
        <w:rPr>
          <w:caps w:val="false"/>
          <w:smallCaps w:val="false"/>
        </w:rPr>
        <w:t> </w:t>
      </w:r>
    </w:p>
    <w:tbl>
      <w:tblPr>
        <w:tblW w:w="13180" w:type="dxa"/>
        <w:jc w:val="left"/>
        <w:tblInd w:w="0" w:type="dxa"/>
        <w:tblCellMar>
          <w:top w:w="0" w:type="dxa"/>
          <w:left w:w="0" w:type="dxa"/>
          <w:bottom w:w="0" w:type="dxa"/>
          <w:right w:w="0" w:type="dxa"/>
        </w:tblCellMar>
      </w:tblPr>
      <w:tblGrid>
        <w:gridCol w:w="545"/>
        <w:gridCol w:w="60"/>
        <w:gridCol w:w="560"/>
        <w:gridCol w:w="1100"/>
        <w:gridCol w:w="60"/>
        <w:gridCol w:w="60"/>
        <w:gridCol w:w="380"/>
        <w:gridCol w:w="1110"/>
        <w:gridCol w:w="60"/>
        <w:gridCol w:w="60"/>
        <w:gridCol w:w="560"/>
        <w:gridCol w:w="980"/>
        <w:gridCol w:w="60"/>
        <w:gridCol w:w="60"/>
        <w:gridCol w:w="560"/>
        <w:gridCol w:w="1055"/>
        <w:gridCol w:w="60"/>
        <w:gridCol w:w="60"/>
        <w:gridCol w:w="762"/>
        <w:gridCol w:w="518"/>
        <w:gridCol w:w="60"/>
        <w:gridCol w:w="60"/>
        <w:gridCol w:w="762"/>
        <w:gridCol w:w="518"/>
        <w:gridCol w:w="60"/>
        <w:gridCol w:w="60"/>
        <w:gridCol w:w="560"/>
        <w:gridCol w:w="875"/>
        <w:gridCol w:w="60"/>
        <w:gridCol w:w="60"/>
        <w:gridCol w:w="560"/>
        <w:gridCol w:w="800"/>
        <w:gridCol w:w="75"/>
      </w:tblGrid>
      <w:tr>
        <w:trPr/>
        <w:tc>
          <w:tcPr>
            <w:tcW w:w="54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0" w:type="dxa"/>
            <w:gridSpan w:val="2"/>
            <w:tcBorders/>
            <w:shd w:fill="auto" w:val="clear"/>
            <w:vAlign w:val="center"/>
          </w:tcPr>
          <w:p>
            <w:pPr>
              <w:pStyle w:val="TableContents"/>
              <w:spacing w:before="0" w:after="283"/>
              <w:jc w:val="right"/>
              <w:rPr>
                <w:b/>
              </w:rPr>
            </w:pPr>
            <w:r>
              <w:rPr>
                <w:b/>
              </w:rPr>
              <w:t>Average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1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80" w:type="dxa"/>
            <w:gridSpan w:val="6"/>
            <w:tcBorders>
              <w:bottom w:val="single" w:sz="12" w:space="0" w:color="7CBC3E"/>
            </w:tcBorders>
            <w:shd w:fill="auto" w:val="clear"/>
            <w:tcMar>
              <w:bottom w:w="28" w:type="dxa"/>
            </w:tcMar>
            <w:vAlign w:val="center"/>
          </w:tcPr>
          <w:p>
            <w:pPr>
              <w:pStyle w:val="TableContents"/>
              <w:spacing w:before="0" w:after="283"/>
              <w:jc w:val="center"/>
              <w:rPr>
                <w:b/>
              </w:rPr>
            </w:pPr>
            <w:r>
              <w:rPr>
                <w:b/>
              </w:rPr>
              <w:t>Value of Initial Fixed $100</w:t>
              <w:br/>
              <w:t>Investment Based On:</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545" w:type="dxa"/>
            <w:tcBorders>
              <w:bottom w:val="single" w:sz="12" w:space="0" w:color="7CBC3E"/>
            </w:tcBorders>
            <w:shd w:fill="auto" w:val="clear"/>
            <w:tcMar>
              <w:bottom w:w="28" w:type="dxa"/>
            </w:tcMar>
            <w:vAlign w:val="center"/>
          </w:tcPr>
          <w:p>
            <w:pPr>
              <w:pStyle w:val="TableContents"/>
              <w:spacing w:before="0" w:after="283"/>
              <w:jc w:val="left"/>
              <w:rPr>
                <w:b/>
              </w:rPr>
            </w:pPr>
            <w:r>
              <w:rPr>
                <w:b/>
              </w:rPr>
              <w:t>Year</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1660" w:type="dxa"/>
            <w:gridSpan w:val="2"/>
            <w:tcBorders>
              <w:bottom w:val="single" w:sz="12" w:space="0" w:color="7CBC3E"/>
            </w:tcBorders>
            <w:shd w:fill="auto" w:val="clear"/>
            <w:tcMar>
              <w:bottom w:w="28" w:type="dxa"/>
            </w:tcMar>
            <w:vAlign w:val="center"/>
          </w:tcPr>
          <w:p>
            <w:pPr>
              <w:pStyle w:val="TableContents"/>
              <w:spacing w:before="0" w:after="283"/>
              <w:jc w:val="right"/>
              <w:rPr>
                <w:b/>
              </w:rPr>
            </w:pPr>
            <w:r>
              <w:rPr>
                <w:b/>
              </w:rPr>
              <w:t>Summary</w:t>
              <w:br/>
              <w:t>Compensation Table</w:t>
              <w:br/>
              <w:t>Total for PEO</w:t>
            </w:r>
            <w:r>
              <w:rPr>
                <w:b/>
                <w:position w:val="8"/>
                <w:sz w:val="19"/>
              </w:rPr>
              <w:t>(1)</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1490" w:type="dxa"/>
            <w:gridSpan w:val="2"/>
            <w:tcBorders>
              <w:bottom w:val="single" w:sz="12" w:space="0" w:color="7CBC3E"/>
            </w:tcBorders>
            <w:shd w:fill="auto" w:val="clear"/>
            <w:tcMar>
              <w:bottom w:w="28" w:type="dxa"/>
            </w:tcMar>
            <w:vAlign w:val="center"/>
          </w:tcPr>
          <w:p>
            <w:pPr>
              <w:pStyle w:val="TableContents"/>
              <w:spacing w:before="0" w:after="283"/>
              <w:jc w:val="right"/>
              <w:rPr>
                <w:b/>
              </w:rPr>
            </w:pPr>
            <w:r>
              <w:rPr>
                <w:b/>
              </w:rPr>
              <w:t>Compensation</w:t>
              <w:br/>
              <w:t>Actually Paid to</w:t>
              <w:br/>
              <w:t>PEO</w:t>
            </w:r>
            <w:r>
              <w:rPr>
                <w:b/>
                <w:position w:val="8"/>
                <w:sz w:val="19"/>
              </w:rPr>
              <w:t>(2)</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1540" w:type="dxa"/>
            <w:gridSpan w:val="2"/>
            <w:tcBorders>
              <w:bottom w:val="single" w:sz="12" w:space="0" w:color="7CBC3E"/>
            </w:tcBorders>
            <w:shd w:fill="auto" w:val="clear"/>
            <w:tcMar>
              <w:bottom w:w="28" w:type="dxa"/>
            </w:tcMar>
            <w:vAlign w:val="center"/>
          </w:tcPr>
          <w:p>
            <w:pPr>
              <w:pStyle w:val="TableContents"/>
              <w:spacing w:before="0" w:after="283"/>
              <w:jc w:val="right"/>
              <w:rPr>
                <w:b/>
              </w:rPr>
            </w:pPr>
            <w:r>
              <w:rPr>
                <w:b/>
              </w:rPr>
              <w:t>Summary</w:t>
              <w:br/>
              <w:t>Compensation</w:t>
              <w:br/>
              <w:t>Table Total for</w:t>
              <w:br/>
              <w:t>Non-PEO NEOs</w:t>
            </w:r>
            <w:r>
              <w:rPr>
                <w:b/>
                <w:position w:val="8"/>
                <w:sz w:val="19"/>
              </w:rPr>
              <w:t>(3)</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1615" w:type="dxa"/>
            <w:gridSpan w:val="2"/>
            <w:tcBorders>
              <w:bottom w:val="single" w:sz="12" w:space="0" w:color="7CBC3E"/>
            </w:tcBorders>
            <w:shd w:fill="auto" w:val="clear"/>
            <w:tcMar>
              <w:bottom w:w="28" w:type="dxa"/>
            </w:tcMar>
            <w:vAlign w:val="center"/>
          </w:tcPr>
          <w:p>
            <w:pPr>
              <w:pStyle w:val="TableContents"/>
              <w:spacing w:before="0" w:after="283"/>
              <w:jc w:val="right"/>
              <w:rPr>
                <w:b/>
              </w:rPr>
            </w:pPr>
            <w:r>
              <w:rPr>
                <w:b/>
              </w:rPr>
              <w:t>Average</w:t>
              <w:br/>
              <w:t>Compensation</w:t>
              <w:br/>
              <w:t>Actually Paid to</w:t>
              <w:br/>
              <w:t>Non-PEO NEOs</w:t>
            </w:r>
            <w:r>
              <w:rPr>
                <w:b/>
                <w:position w:val="8"/>
                <w:sz w:val="19"/>
              </w:rPr>
              <w:t>(4)</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1280" w:type="dxa"/>
            <w:gridSpan w:val="2"/>
            <w:tcBorders>
              <w:bottom w:val="single" w:sz="12" w:space="0" w:color="7CBC3E"/>
            </w:tcBorders>
            <w:shd w:fill="auto" w:val="clear"/>
            <w:tcMar>
              <w:bottom w:w="28" w:type="dxa"/>
            </w:tcMar>
            <w:vAlign w:val="center"/>
          </w:tcPr>
          <w:p>
            <w:pPr>
              <w:pStyle w:val="TableContents"/>
              <w:spacing w:before="0" w:after="283"/>
              <w:jc w:val="right"/>
              <w:rPr>
                <w:b/>
              </w:rPr>
            </w:pPr>
            <w:r>
              <w:rPr>
                <w:b/>
              </w:rPr>
              <w:t>Total</w:t>
              <w:br/>
              <w:t>Shareholder</w:t>
              <w:br/>
              <w:t>Return</w:t>
            </w:r>
            <w:r>
              <w:rPr>
                <w:b/>
                <w:position w:val="8"/>
                <w:sz w:val="19"/>
              </w:rPr>
              <w:t>(5)</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1280" w:type="dxa"/>
            <w:gridSpan w:val="2"/>
            <w:tcBorders>
              <w:bottom w:val="single" w:sz="12" w:space="0" w:color="7CBC3E"/>
            </w:tcBorders>
            <w:shd w:fill="auto" w:val="clear"/>
            <w:tcMar>
              <w:bottom w:w="28" w:type="dxa"/>
            </w:tcMar>
            <w:vAlign w:val="center"/>
          </w:tcPr>
          <w:p>
            <w:pPr>
              <w:pStyle w:val="TableContents"/>
              <w:spacing w:before="0" w:after="283"/>
              <w:jc w:val="right"/>
              <w:rPr>
                <w:b/>
              </w:rPr>
            </w:pPr>
            <w:r>
              <w:rPr>
                <w:b/>
              </w:rPr>
              <w:t>Peer Group</w:t>
              <w:br/>
              <w:t>Total</w:t>
              <w:br/>
              <w:t>Shareholder</w:t>
              <w:br/>
              <w:t>Return</w:t>
            </w:r>
            <w:r>
              <w:rPr>
                <w:b/>
                <w:position w:val="8"/>
                <w:sz w:val="19"/>
              </w:rPr>
              <w:t>(6)</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1435" w:type="dxa"/>
            <w:gridSpan w:val="2"/>
            <w:tcBorders>
              <w:bottom w:val="single" w:sz="12" w:space="0" w:color="7CBC3E"/>
            </w:tcBorders>
            <w:shd w:fill="auto" w:val="clear"/>
            <w:tcMar>
              <w:bottom w:w="28" w:type="dxa"/>
            </w:tcMar>
            <w:vAlign w:val="center"/>
          </w:tcPr>
          <w:p>
            <w:pPr>
              <w:pStyle w:val="TableContents"/>
              <w:spacing w:before="0" w:after="283"/>
              <w:jc w:val="right"/>
              <w:rPr>
                <w:b/>
              </w:rPr>
            </w:pPr>
            <w:r>
              <w:rPr>
                <w:b/>
              </w:rPr>
              <w:t>Net Income</w:t>
              <w:br/>
              <w:t>(Loss)</w:t>
              <w:br/>
              <w:t>(in thousands)</w:t>
            </w:r>
            <w:r>
              <w:rPr>
                <w:b/>
                <w:position w:val="8"/>
                <w:sz w:val="19"/>
              </w:rPr>
              <w:t>(7)</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1360" w:type="dxa"/>
            <w:gridSpan w:val="2"/>
            <w:tcBorders>
              <w:bottom w:val="single" w:sz="12" w:space="0" w:color="7CBC3E"/>
            </w:tcBorders>
            <w:shd w:fill="auto" w:val="clear"/>
            <w:tcMar>
              <w:bottom w:w="28" w:type="dxa"/>
            </w:tcMar>
            <w:vAlign w:val="center"/>
          </w:tcPr>
          <w:p>
            <w:pPr>
              <w:pStyle w:val="TableContents"/>
              <w:spacing w:before="0" w:after="283"/>
              <w:jc w:val="right"/>
              <w:rPr>
                <w:b/>
              </w:rPr>
            </w:pPr>
            <w:r>
              <w:rPr>
                <w:b/>
              </w:rPr>
              <w:t>Revenue</w:t>
              <w:br/>
              <w:t>(in thousands)</w:t>
            </w:r>
            <w:r>
              <w:rPr>
                <w:b/>
                <w:position w:val="8"/>
                <w:sz w:val="19"/>
              </w:rPr>
              <w:t>(8)</w:t>
            </w:r>
          </w:p>
        </w:tc>
        <w:tc>
          <w:tcPr>
            <w:tcW w:w="75" w:type="dxa"/>
            <w:tcBorders>
              <w:bottom w:val="single" w:sz="12" w:space="0" w:color="7CBC3E"/>
            </w:tcBorders>
            <w:shd w:fill="auto" w:val="clear"/>
            <w:tcMar>
              <w:bottom w:w="28" w:type="dxa"/>
            </w:tcMar>
            <w:vAlign w:val="center"/>
          </w:tcPr>
          <w:p>
            <w:pPr>
              <w:pStyle w:val="TableContents"/>
              <w:spacing w:before="0" w:after="283"/>
              <w:rPr/>
            </w:pPr>
            <w:r>
              <w:rPr/>
              <w:t> </w:t>
            </w:r>
          </w:p>
        </w:tc>
      </w:tr>
      <w:tr>
        <w:trPr/>
        <w:tc>
          <w:tcPr>
            <w:tcW w:w="545" w:type="dxa"/>
            <w:tcBorders/>
            <w:shd w:fill="auto" w:val="clear"/>
            <w:vAlign w:val="center"/>
          </w:tcPr>
          <w:p>
            <w:pPr>
              <w:pStyle w:val="TableContents"/>
              <w:spacing w:before="0" w:after="283"/>
              <w:jc w:val="left"/>
              <w:rPr>
                <w:b/>
              </w:rPr>
            </w:pPr>
            <w:r>
              <w:rPr>
                <w:b/>
              </w:rPr>
              <w:t>2022</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r>
              <w:rPr/>
              <w:t>$</w:t>
            </w:r>
          </w:p>
        </w:tc>
        <w:tc>
          <w:tcPr>
            <w:tcW w:w="1100" w:type="dxa"/>
            <w:tcBorders/>
            <w:shd w:fill="auto" w:val="clear"/>
            <w:vAlign w:val="center"/>
          </w:tcPr>
          <w:p>
            <w:pPr>
              <w:pStyle w:val="TableContents"/>
              <w:spacing w:before="0" w:after="283"/>
              <w:jc w:val="right"/>
              <w:rPr/>
            </w:pPr>
            <w:r>
              <w:rPr/>
              <w:t>12,140,330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    </w:t>
            </w:r>
            <w:r>
              <w:rPr/>
              <w:t>$</w:t>
            </w:r>
          </w:p>
        </w:tc>
        <w:tc>
          <w:tcPr>
            <w:tcW w:w="1110" w:type="dxa"/>
            <w:tcBorders/>
            <w:shd w:fill="auto" w:val="clear"/>
            <w:vAlign w:val="center"/>
          </w:tcPr>
          <w:p>
            <w:pPr>
              <w:pStyle w:val="TableContents"/>
              <w:spacing w:before="0" w:after="283"/>
              <w:jc w:val="right"/>
              <w:rPr/>
            </w:pPr>
            <w:r>
              <w:rPr/>
              <w:t>3,311,432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r>
              <w:rPr/>
              <w:t>$</w:t>
            </w:r>
          </w:p>
        </w:tc>
        <w:tc>
          <w:tcPr>
            <w:tcW w:w="980" w:type="dxa"/>
            <w:tcBorders/>
            <w:shd w:fill="auto" w:val="clear"/>
            <w:vAlign w:val="center"/>
          </w:tcPr>
          <w:p>
            <w:pPr>
              <w:pStyle w:val="TableContents"/>
              <w:spacing w:before="0" w:after="283"/>
              <w:jc w:val="right"/>
              <w:rPr/>
            </w:pPr>
            <w:r>
              <w:rPr/>
              <w:t>3,911,773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r>
              <w:rPr/>
              <w:t>$</w:t>
            </w:r>
          </w:p>
        </w:tc>
        <w:tc>
          <w:tcPr>
            <w:tcW w:w="1055" w:type="dxa"/>
            <w:tcBorders/>
            <w:shd w:fill="auto" w:val="clear"/>
            <w:vAlign w:val="center"/>
          </w:tcPr>
          <w:p>
            <w:pPr>
              <w:pStyle w:val="TableContents"/>
              <w:spacing w:before="0" w:after="283"/>
              <w:jc w:val="right"/>
              <w:rPr/>
            </w:pPr>
            <w:r>
              <w:rPr/>
              <w:t>(175,590)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jc w:val="right"/>
              <w:rPr/>
            </w:pPr>
            <w:r>
              <w:rPr/>
              <w:t>       </w:t>
            </w:r>
            <w:r>
              <w:rPr/>
              <w:t>$</w:t>
            </w:r>
          </w:p>
        </w:tc>
        <w:tc>
          <w:tcPr>
            <w:tcW w:w="518" w:type="dxa"/>
            <w:tcBorders/>
            <w:shd w:fill="auto" w:val="clear"/>
            <w:vAlign w:val="center"/>
          </w:tcPr>
          <w:p>
            <w:pPr>
              <w:pStyle w:val="TableContents"/>
              <w:spacing w:before="0" w:after="283"/>
              <w:jc w:val="right"/>
              <w:rPr/>
            </w:pPr>
            <w:r>
              <w:rPr/>
              <w:t>108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jc w:val="right"/>
              <w:rPr/>
            </w:pPr>
            <w:r>
              <w:rPr/>
              <w:t>       </w:t>
            </w:r>
            <w:r>
              <w:rPr/>
              <w:t>$</w:t>
            </w:r>
          </w:p>
        </w:tc>
        <w:tc>
          <w:tcPr>
            <w:tcW w:w="518" w:type="dxa"/>
            <w:tcBorders/>
            <w:shd w:fill="auto" w:val="clear"/>
            <w:vAlign w:val="center"/>
          </w:tcPr>
          <w:p>
            <w:pPr>
              <w:pStyle w:val="TableContents"/>
              <w:spacing w:before="0" w:after="283"/>
              <w:jc w:val="right"/>
              <w:rPr/>
            </w:pPr>
            <w:r>
              <w:rPr/>
              <w:t>111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r>
              <w:rPr/>
              <w:t>$</w:t>
            </w:r>
          </w:p>
        </w:tc>
        <w:tc>
          <w:tcPr>
            <w:tcW w:w="875" w:type="dxa"/>
            <w:tcBorders/>
            <w:shd w:fill="auto" w:val="clear"/>
            <w:vAlign w:val="center"/>
          </w:tcPr>
          <w:p>
            <w:pPr>
              <w:pStyle w:val="TableContents"/>
              <w:spacing w:before="0" w:after="283"/>
              <w:jc w:val="right"/>
              <w:rPr/>
            </w:pPr>
            <w:r>
              <w:rPr/>
              <w:t>(707,421)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r>
              <w:rPr/>
              <w:t>$</w:t>
            </w:r>
          </w:p>
        </w:tc>
        <w:tc>
          <w:tcPr>
            <w:tcW w:w="800" w:type="dxa"/>
            <w:tcBorders/>
            <w:shd w:fill="auto" w:val="clear"/>
            <w:vAlign w:val="center"/>
          </w:tcPr>
          <w:p>
            <w:pPr>
              <w:pStyle w:val="TableContents"/>
              <w:spacing w:before="0" w:after="283"/>
              <w:jc w:val="right"/>
              <w:rPr/>
            </w:pPr>
            <w:r>
              <w:rPr/>
              <w:t>363,329</w:t>
            </w:r>
          </w:p>
        </w:tc>
        <w:tc>
          <w:tcPr>
            <w:tcW w:w="75" w:type="dxa"/>
            <w:tcBorders/>
            <w:shd w:fill="auto" w:val="clear"/>
            <w:vAlign w:val="center"/>
          </w:tcPr>
          <w:p>
            <w:pPr>
              <w:pStyle w:val="TableContents"/>
              <w:spacing w:before="0" w:after="283"/>
              <w:jc w:val="left"/>
              <w:rPr/>
            </w:pPr>
            <w:r>
              <w:rPr/>
              <w:t> </w:t>
            </w:r>
          </w:p>
        </w:tc>
      </w:tr>
      <w:tr>
        <w:trPr/>
        <w:tc>
          <w:tcPr>
            <w:tcW w:w="545" w:type="dxa"/>
            <w:tcBorders/>
            <w:shd w:fill="EFF6EA" w:val="clear"/>
            <w:vAlign w:val="center"/>
          </w:tcPr>
          <w:p>
            <w:pPr>
              <w:pStyle w:val="TableContents"/>
              <w:spacing w:before="0" w:after="283"/>
              <w:jc w:val="left"/>
              <w:rPr>
                <w:b/>
              </w:rPr>
            </w:pPr>
            <w:r>
              <w:rPr>
                <w:b/>
              </w:rPr>
              <w:t>2021</w:t>
            </w:r>
          </w:p>
        </w:tc>
        <w:tc>
          <w:tcPr>
            <w:tcW w:w="60" w:type="dxa"/>
            <w:tcBorders/>
            <w:shd w:fill="EFF6EA" w:val="clear"/>
            <w:vAlign w:val="center"/>
          </w:tcPr>
          <w:p>
            <w:pPr>
              <w:pStyle w:val="TableContents"/>
              <w:spacing w:before="0" w:after="283"/>
              <w:rPr/>
            </w:pPr>
            <w:r>
              <w:rPr/>
              <w:t> </w:t>
            </w:r>
          </w:p>
        </w:tc>
        <w:tc>
          <w:tcPr>
            <w:tcW w:w="560" w:type="dxa"/>
            <w:tcBorders/>
            <w:shd w:fill="EFF6EA" w:val="clear"/>
            <w:vAlign w:val="center"/>
          </w:tcPr>
          <w:p>
            <w:pPr>
              <w:pStyle w:val="TableContents"/>
              <w:spacing w:before="0" w:after="283"/>
              <w:jc w:val="right"/>
              <w:rPr/>
            </w:pPr>
            <w:r>
              <w:rPr/>
              <w:t>$</w:t>
            </w:r>
          </w:p>
        </w:tc>
        <w:tc>
          <w:tcPr>
            <w:tcW w:w="1100" w:type="dxa"/>
            <w:tcBorders/>
            <w:shd w:fill="EFF6EA" w:val="clear"/>
            <w:vAlign w:val="center"/>
          </w:tcPr>
          <w:p>
            <w:pPr>
              <w:pStyle w:val="TableContents"/>
              <w:spacing w:before="0" w:after="283"/>
              <w:jc w:val="right"/>
              <w:rPr/>
            </w:pPr>
            <w:r>
              <w:rPr/>
              <w:t>9,522,738</w:t>
            </w:r>
          </w:p>
        </w:tc>
        <w:tc>
          <w:tcPr>
            <w:tcW w:w="60" w:type="dxa"/>
            <w:tcBorders/>
            <w:shd w:fill="EFF6EA" w:val="clear"/>
            <w:vAlign w:val="center"/>
          </w:tcPr>
          <w:p>
            <w:pPr>
              <w:pStyle w:val="TableContents"/>
              <w:spacing w:before="0" w:after="283"/>
              <w:jc w:val="left"/>
              <w:rPr/>
            </w:pPr>
            <w:r>
              <w:rPr/>
              <w:t> </w:t>
            </w:r>
          </w:p>
        </w:tc>
        <w:tc>
          <w:tcPr>
            <w:tcW w:w="60" w:type="dxa"/>
            <w:tcBorders/>
            <w:shd w:fill="EFF6EA" w:val="clear"/>
            <w:vAlign w:val="center"/>
          </w:tcPr>
          <w:p>
            <w:pPr>
              <w:pStyle w:val="TableContents"/>
              <w:spacing w:before="0" w:after="283"/>
              <w:rPr/>
            </w:pPr>
            <w:r>
              <w:rPr/>
              <w:t> </w:t>
            </w:r>
          </w:p>
        </w:tc>
        <w:tc>
          <w:tcPr>
            <w:tcW w:w="380" w:type="dxa"/>
            <w:tcBorders/>
            <w:shd w:fill="EFF6EA" w:val="clear"/>
            <w:vAlign w:val="center"/>
          </w:tcPr>
          <w:p>
            <w:pPr>
              <w:pStyle w:val="TableContents"/>
              <w:spacing w:before="0" w:after="283"/>
              <w:jc w:val="right"/>
              <w:rPr/>
            </w:pPr>
            <w:r>
              <w:rPr/>
              <w:t>$</w:t>
            </w:r>
          </w:p>
        </w:tc>
        <w:tc>
          <w:tcPr>
            <w:tcW w:w="1110" w:type="dxa"/>
            <w:tcBorders/>
            <w:shd w:fill="EFF6EA" w:val="clear"/>
            <w:vAlign w:val="center"/>
          </w:tcPr>
          <w:p>
            <w:pPr>
              <w:pStyle w:val="TableContents"/>
              <w:spacing w:before="0" w:after="283"/>
              <w:jc w:val="right"/>
              <w:rPr/>
            </w:pPr>
            <w:r>
              <w:rPr/>
              <w:t>(2,152,804)</w:t>
            </w:r>
          </w:p>
        </w:tc>
        <w:tc>
          <w:tcPr>
            <w:tcW w:w="60" w:type="dxa"/>
            <w:tcBorders/>
            <w:shd w:fill="EFF6EA" w:val="clear"/>
            <w:vAlign w:val="center"/>
          </w:tcPr>
          <w:p>
            <w:pPr>
              <w:pStyle w:val="TableContents"/>
              <w:spacing w:before="0" w:after="283"/>
              <w:rPr>
                <w:sz w:val="4"/>
                <w:szCs w:val="4"/>
              </w:rPr>
            </w:pPr>
            <w:r>
              <w:rPr>
                <w:sz w:val="4"/>
                <w:szCs w:val="4"/>
              </w:rPr>
            </w:r>
          </w:p>
        </w:tc>
        <w:tc>
          <w:tcPr>
            <w:tcW w:w="60" w:type="dxa"/>
            <w:tcBorders/>
            <w:shd w:fill="EFF6EA" w:val="clear"/>
            <w:vAlign w:val="center"/>
          </w:tcPr>
          <w:p>
            <w:pPr>
              <w:pStyle w:val="TableContents"/>
              <w:spacing w:before="0" w:after="283"/>
              <w:rPr/>
            </w:pPr>
            <w:r>
              <w:rPr/>
              <w:t> </w:t>
            </w:r>
          </w:p>
        </w:tc>
        <w:tc>
          <w:tcPr>
            <w:tcW w:w="560" w:type="dxa"/>
            <w:tcBorders/>
            <w:shd w:fill="EFF6EA" w:val="clear"/>
            <w:vAlign w:val="center"/>
          </w:tcPr>
          <w:p>
            <w:pPr>
              <w:pStyle w:val="TableContents"/>
              <w:spacing w:before="0" w:after="283"/>
              <w:jc w:val="right"/>
              <w:rPr/>
            </w:pPr>
            <w:r>
              <w:rPr/>
              <w:t>$</w:t>
            </w:r>
          </w:p>
        </w:tc>
        <w:tc>
          <w:tcPr>
            <w:tcW w:w="980" w:type="dxa"/>
            <w:tcBorders/>
            <w:shd w:fill="EFF6EA" w:val="clear"/>
            <w:vAlign w:val="center"/>
          </w:tcPr>
          <w:p>
            <w:pPr>
              <w:pStyle w:val="TableContents"/>
              <w:spacing w:before="0" w:after="283"/>
              <w:jc w:val="right"/>
              <w:rPr/>
            </w:pPr>
            <w:r>
              <w:rPr/>
              <w:t>3,314,256</w:t>
            </w:r>
          </w:p>
        </w:tc>
        <w:tc>
          <w:tcPr>
            <w:tcW w:w="60" w:type="dxa"/>
            <w:tcBorders/>
            <w:shd w:fill="EFF6EA" w:val="clear"/>
            <w:vAlign w:val="center"/>
          </w:tcPr>
          <w:p>
            <w:pPr>
              <w:pStyle w:val="TableContents"/>
              <w:spacing w:before="0" w:after="283"/>
              <w:jc w:val="left"/>
              <w:rPr/>
            </w:pPr>
            <w:r>
              <w:rPr/>
              <w:t> </w:t>
            </w:r>
          </w:p>
        </w:tc>
        <w:tc>
          <w:tcPr>
            <w:tcW w:w="60" w:type="dxa"/>
            <w:tcBorders/>
            <w:shd w:fill="EFF6EA" w:val="clear"/>
            <w:vAlign w:val="center"/>
          </w:tcPr>
          <w:p>
            <w:pPr>
              <w:pStyle w:val="TableContents"/>
              <w:spacing w:before="0" w:after="283"/>
              <w:rPr/>
            </w:pPr>
            <w:r>
              <w:rPr/>
              <w:t> </w:t>
            </w:r>
          </w:p>
        </w:tc>
        <w:tc>
          <w:tcPr>
            <w:tcW w:w="560" w:type="dxa"/>
            <w:tcBorders/>
            <w:shd w:fill="EFF6EA" w:val="clear"/>
            <w:vAlign w:val="center"/>
          </w:tcPr>
          <w:p>
            <w:pPr>
              <w:pStyle w:val="TableContents"/>
              <w:spacing w:before="0" w:after="283"/>
              <w:jc w:val="right"/>
              <w:rPr/>
            </w:pPr>
            <w:r>
              <w:rPr/>
              <w:t>$</w:t>
            </w:r>
          </w:p>
        </w:tc>
        <w:tc>
          <w:tcPr>
            <w:tcW w:w="1055" w:type="dxa"/>
            <w:tcBorders/>
            <w:shd w:fill="EFF6EA" w:val="clear"/>
            <w:vAlign w:val="center"/>
          </w:tcPr>
          <w:p>
            <w:pPr>
              <w:pStyle w:val="TableContents"/>
              <w:spacing w:before="0" w:after="283"/>
              <w:jc w:val="right"/>
              <w:rPr/>
            </w:pPr>
            <w:r>
              <w:rPr/>
              <w:t>(1,211,638)</w:t>
            </w:r>
          </w:p>
        </w:tc>
        <w:tc>
          <w:tcPr>
            <w:tcW w:w="60" w:type="dxa"/>
            <w:tcBorders/>
            <w:shd w:fill="EFF6EA" w:val="clear"/>
            <w:vAlign w:val="center"/>
          </w:tcPr>
          <w:p>
            <w:pPr>
              <w:pStyle w:val="TableContents"/>
              <w:spacing w:before="0" w:after="283"/>
              <w:jc w:val="left"/>
              <w:rPr/>
            </w:pPr>
            <w:r>
              <w:rPr/>
              <w:t> </w:t>
            </w:r>
          </w:p>
        </w:tc>
        <w:tc>
          <w:tcPr>
            <w:tcW w:w="60" w:type="dxa"/>
            <w:tcBorders/>
            <w:shd w:fill="EFF6EA" w:val="clear"/>
            <w:vAlign w:val="center"/>
          </w:tcPr>
          <w:p>
            <w:pPr>
              <w:pStyle w:val="TableContents"/>
              <w:spacing w:before="0" w:after="283"/>
              <w:rPr/>
            </w:pPr>
            <w:r>
              <w:rPr/>
              <w:t> </w:t>
            </w:r>
          </w:p>
        </w:tc>
        <w:tc>
          <w:tcPr>
            <w:tcW w:w="762" w:type="dxa"/>
            <w:tcBorders/>
            <w:shd w:fill="EFF6EA" w:val="clear"/>
            <w:vAlign w:val="center"/>
          </w:tcPr>
          <w:p>
            <w:pPr>
              <w:pStyle w:val="TableContents"/>
              <w:spacing w:before="0" w:after="283"/>
              <w:jc w:val="right"/>
              <w:rPr/>
            </w:pPr>
            <w:r>
              <w:rPr/>
              <w:t>$</w:t>
            </w:r>
          </w:p>
        </w:tc>
        <w:tc>
          <w:tcPr>
            <w:tcW w:w="518" w:type="dxa"/>
            <w:tcBorders/>
            <w:shd w:fill="EFF6EA" w:val="clear"/>
            <w:vAlign w:val="center"/>
          </w:tcPr>
          <w:p>
            <w:pPr>
              <w:pStyle w:val="TableContents"/>
              <w:spacing w:before="0" w:after="283"/>
              <w:jc w:val="right"/>
              <w:rPr/>
            </w:pPr>
            <w:r>
              <w:rPr/>
              <w:t>197</w:t>
            </w:r>
          </w:p>
        </w:tc>
        <w:tc>
          <w:tcPr>
            <w:tcW w:w="60" w:type="dxa"/>
            <w:tcBorders/>
            <w:shd w:fill="EFF6EA" w:val="clear"/>
            <w:vAlign w:val="center"/>
          </w:tcPr>
          <w:p>
            <w:pPr>
              <w:pStyle w:val="TableContents"/>
              <w:spacing w:before="0" w:after="283"/>
              <w:jc w:val="left"/>
              <w:rPr/>
            </w:pPr>
            <w:r>
              <w:rPr/>
              <w:t> </w:t>
            </w:r>
          </w:p>
        </w:tc>
        <w:tc>
          <w:tcPr>
            <w:tcW w:w="60" w:type="dxa"/>
            <w:tcBorders/>
            <w:shd w:fill="EFF6EA" w:val="clear"/>
            <w:vAlign w:val="center"/>
          </w:tcPr>
          <w:p>
            <w:pPr>
              <w:pStyle w:val="TableContents"/>
              <w:spacing w:before="0" w:after="283"/>
              <w:rPr/>
            </w:pPr>
            <w:r>
              <w:rPr/>
              <w:t> </w:t>
            </w:r>
          </w:p>
        </w:tc>
        <w:tc>
          <w:tcPr>
            <w:tcW w:w="762" w:type="dxa"/>
            <w:tcBorders/>
            <w:shd w:fill="EFF6EA" w:val="clear"/>
            <w:vAlign w:val="center"/>
          </w:tcPr>
          <w:p>
            <w:pPr>
              <w:pStyle w:val="TableContents"/>
              <w:spacing w:before="0" w:after="283"/>
              <w:jc w:val="right"/>
              <w:rPr/>
            </w:pPr>
            <w:r>
              <w:rPr/>
              <w:t>$</w:t>
            </w:r>
          </w:p>
        </w:tc>
        <w:tc>
          <w:tcPr>
            <w:tcW w:w="518" w:type="dxa"/>
            <w:tcBorders/>
            <w:shd w:fill="EFF6EA" w:val="clear"/>
            <w:vAlign w:val="center"/>
          </w:tcPr>
          <w:p>
            <w:pPr>
              <w:pStyle w:val="TableContents"/>
              <w:spacing w:before="0" w:after="283"/>
              <w:jc w:val="right"/>
              <w:rPr/>
            </w:pPr>
            <w:r>
              <w:rPr/>
              <w:t>125</w:t>
            </w:r>
          </w:p>
        </w:tc>
        <w:tc>
          <w:tcPr>
            <w:tcW w:w="60" w:type="dxa"/>
            <w:tcBorders/>
            <w:shd w:fill="EFF6EA" w:val="clear"/>
            <w:vAlign w:val="center"/>
          </w:tcPr>
          <w:p>
            <w:pPr>
              <w:pStyle w:val="TableContents"/>
              <w:spacing w:before="0" w:after="283"/>
              <w:jc w:val="left"/>
              <w:rPr/>
            </w:pPr>
            <w:r>
              <w:rPr/>
              <w:t> </w:t>
            </w:r>
          </w:p>
        </w:tc>
        <w:tc>
          <w:tcPr>
            <w:tcW w:w="60" w:type="dxa"/>
            <w:tcBorders/>
            <w:shd w:fill="EFF6EA" w:val="clear"/>
            <w:vAlign w:val="center"/>
          </w:tcPr>
          <w:p>
            <w:pPr>
              <w:pStyle w:val="TableContents"/>
              <w:spacing w:before="0" w:after="283"/>
              <w:rPr/>
            </w:pPr>
            <w:r>
              <w:rPr/>
              <w:t> </w:t>
            </w:r>
          </w:p>
        </w:tc>
        <w:tc>
          <w:tcPr>
            <w:tcW w:w="560" w:type="dxa"/>
            <w:tcBorders/>
            <w:shd w:fill="EFF6EA" w:val="clear"/>
            <w:vAlign w:val="center"/>
          </w:tcPr>
          <w:p>
            <w:pPr>
              <w:pStyle w:val="TableContents"/>
              <w:spacing w:before="0" w:after="283"/>
              <w:jc w:val="right"/>
              <w:rPr/>
            </w:pPr>
            <w:r>
              <w:rPr/>
              <w:t>$</w:t>
            </w:r>
          </w:p>
        </w:tc>
        <w:tc>
          <w:tcPr>
            <w:tcW w:w="875" w:type="dxa"/>
            <w:tcBorders/>
            <w:shd w:fill="EFF6EA" w:val="clear"/>
            <w:vAlign w:val="center"/>
          </w:tcPr>
          <w:p>
            <w:pPr>
              <w:pStyle w:val="TableContents"/>
              <w:spacing w:before="0" w:after="283"/>
              <w:jc w:val="right"/>
              <w:rPr/>
            </w:pPr>
            <w:r>
              <w:rPr/>
              <w:t>(454,025)</w:t>
            </w:r>
          </w:p>
        </w:tc>
        <w:tc>
          <w:tcPr>
            <w:tcW w:w="60" w:type="dxa"/>
            <w:tcBorders/>
            <w:shd w:fill="EFF6EA" w:val="clear"/>
            <w:vAlign w:val="center"/>
          </w:tcPr>
          <w:p>
            <w:pPr>
              <w:pStyle w:val="TableContents"/>
              <w:spacing w:before="0" w:after="283"/>
              <w:rPr>
                <w:sz w:val="4"/>
                <w:szCs w:val="4"/>
              </w:rPr>
            </w:pPr>
            <w:r>
              <w:rPr>
                <w:sz w:val="4"/>
                <w:szCs w:val="4"/>
              </w:rPr>
            </w:r>
          </w:p>
        </w:tc>
        <w:tc>
          <w:tcPr>
            <w:tcW w:w="60" w:type="dxa"/>
            <w:tcBorders/>
            <w:shd w:fill="EFF6EA" w:val="clear"/>
            <w:vAlign w:val="center"/>
          </w:tcPr>
          <w:p>
            <w:pPr>
              <w:pStyle w:val="TableContents"/>
              <w:spacing w:before="0" w:after="283"/>
              <w:rPr/>
            </w:pPr>
            <w:r>
              <w:rPr/>
              <w:t> </w:t>
            </w:r>
          </w:p>
        </w:tc>
        <w:tc>
          <w:tcPr>
            <w:tcW w:w="560" w:type="dxa"/>
            <w:tcBorders/>
            <w:shd w:fill="EFF6EA" w:val="clear"/>
            <w:vAlign w:val="center"/>
          </w:tcPr>
          <w:p>
            <w:pPr>
              <w:pStyle w:val="TableContents"/>
              <w:spacing w:before="0" w:after="283"/>
              <w:jc w:val="right"/>
              <w:rPr/>
            </w:pPr>
            <w:r>
              <w:rPr/>
              <w:t>$</w:t>
            </w:r>
          </w:p>
        </w:tc>
        <w:tc>
          <w:tcPr>
            <w:tcW w:w="800" w:type="dxa"/>
            <w:tcBorders/>
            <w:shd w:fill="EFF6EA" w:val="clear"/>
            <w:vAlign w:val="center"/>
          </w:tcPr>
          <w:p>
            <w:pPr>
              <w:pStyle w:val="TableContents"/>
              <w:spacing w:before="0" w:after="283"/>
              <w:jc w:val="right"/>
              <w:rPr/>
            </w:pPr>
            <w:r>
              <w:rPr/>
              <w:t>351,406</w:t>
            </w:r>
          </w:p>
        </w:tc>
        <w:tc>
          <w:tcPr>
            <w:tcW w:w="75" w:type="dxa"/>
            <w:tcBorders/>
            <w:shd w:fill="EFF6EA" w:val="clear"/>
            <w:vAlign w:val="center"/>
          </w:tcPr>
          <w:p>
            <w:pPr>
              <w:pStyle w:val="TableContents"/>
              <w:spacing w:before="0" w:after="283"/>
              <w:jc w:val="left"/>
              <w:rPr/>
            </w:pPr>
            <w:r>
              <w:rPr/>
              <w:t> </w:t>
            </w:r>
          </w:p>
        </w:tc>
      </w:tr>
      <w:tr>
        <w:trPr/>
        <w:tc>
          <w:tcPr>
            <w:tcW w:w="545" w:type="dxa"/>
            <w:tcBorders>
              <w:bottom w:val="single" w:sz="12" w:space="0" w:color="7CBC3E"/>
            </w:tcBorders>
            <w:shd w:fill="auto" w:val="clear"/>
            <w:tcMar>
              <w:bottom w:w="28" w:type="dxa"/>
            </w:tcMar>
            <w:vAlign w:val="center"/>
          </w:tcPr>
          <w:p>
            <w:pPr>
              <w:pStyle w:val="TableContents"/>
              <w:spacing w:before="0" w:after="283"/>
              <w:jc w:val="left"/>
              <w:rPr>
                <w:b/>
              </w:rPr>
            </w:pPr>
            <w:r>
              <w:rPr>
                <w:b/>
              </w:rPr>
              <w:t>2020</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560"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1100" w:type="dxa"/>
            <w:tcBorders>
              <w:bottom w:val="single" w:sz="12" w:space="0" w:color="7CBC3E"/>
            </w:tcBorders>
            <w:shd w:fill="auto" w:val="clear"/>
            <w:tcMar>
              <w:bottom w:w="28" w:type="dxa"/>
            </w:tcMar>
            <w:vAlign w:val="center"/>
          </w:tcPr>
          <w:p>
            <w:pPr>
              <w:pStyle w:val="TableContents"/>
              <w:spacing w:before="0" w:after="283"/>
              <w:jc w:val="right"/>
              <w:rPr/>
            </w:pPr>
            <w:r>
              <w:rPr/>
              <w:t>5,144,220</w:t>
            </w:r>
          </w:p>
        </w:tc>
        <w:tc>
          <w:tcPr>
            <w:tcW w:w="60" w:type="dxa"/>
            <w:tcBorders>
              <w:bottom w:val="single" w:sz="12" w:space="0" w:color="7CBC3E"/>
            </w:tcBorders>
            <w:shd w:fill="auto" w:val="clear"/>
            <w:tcMar>
              <w:bottom w:w="28" w:type="dxa"/>
            </w:tcMar>
            <w:vAlign w:val="center"/>
          </w:tcPr>
          <w:p>
            <w:pPr>
              <w:pStyle w:val="TableContents"/>
              <w:spacing w:before="0" w:after="283"/>
              <w:jc w:val="left"/>
              <w:rPr/>
            </w:pPr>
            <w:r>
              <w:rPr/>
              <w:t> </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380"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1110" w:type="dxa"/>
            <w:tcBorders>
              <w:bottom w:val="single" w:sz="12" w:space="0" w:color="7CBC3E"/>
            </w:tcBorders>
            <w:shd w:fill="auto" w:val="clear"/>
            <w:tcMar>
              <w:bottom w:w="28" w:type="dxa"/>
            </w:tcMar>
            <w:vAlign w:val="center"/>
          </w:tcPr>
          <w:p>
            <w:pPr>
              <w:pStyle w:val="TableContents"/>
              <w:spacing w:before="0" w:after="283"/>
              <w:jc w:val="right"/>
              <w:rPr/>
            </w:pPr>
            <w:r>
              <w:rPr/>
              <w:t>22,726,743</w:t>
            </w:r>
          </w:p>
        </w:tc>
        <w:tc>
          <w:tcPr>
            <w:tcW w:w="60" w:type="dxa"/>
            <w:tcBorders>
              <w:bottom w:val="single" w:sz="12" w:space="0" w:color="7CBC3E"/>
            </w:tcBorders>
            <w:shd w:fill="auto" w:val="clear"/>
            <w:tcMar>
              <w:bottom w:w="28" w:type="dxa"/>
            </w:tcMar>
            <w:vAlign w:val="center"/>
          </w:tcPr>
          <w:p>
            <w:pPr>
              <w:pStyle w:val="TableContents"/>
              <w:spacing w:before="0" w:after="283"/>
              <w:jc w:val="left"/>
              <w:rPr/>
            </w:pPr>
            <w:r>
              <w:rPr/>
              <w:t> </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560"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980" w:type="dxa"/>
            <w:tcBorders>
              <w:bottom w:val="single" w:sz="12" w:space="0" w:color="7CBC3E"/>
            </w:tcBorders>
            <w:shd w:fill="auto" w:val="clear"/>
            <w:tcMar>
              <w:bottom w:w="28" w:type="dxa"/>
            </w:tcMar>
            <w:vAlign w:val="center"/>
          </w:tcPr>
          <w:p>
            <w:pPr>
              <w:pStyle w:val="TableContents"/>
              <w:spacing w:before="0" w:after="283"/>
              <w:jc w:val="right"/>
              <w:rPr/>
            </w:pPr>
            <w:r>
              <w:rPr/>
              <w:t>2,706,102</w:t>
            </w:r>
          </w:p>
        </w:tc>
        <w:tc>
          <w:tcPr>
            <w:tcW w:w="60" w:type="dxa"/>
            <w:tcBorders>
              <w:bottom w:val="single" w:sz="12" w:space="0" w:color="7CBC3E"/>
            </w:tcBorders>
            <w:shd w:fill="auto" w:val="clear"/>
            <w:tcMar>
              <w:bottom w:w="28" w:type="dxa"/>
            </w:tcMar>
            <w:vAlign w:val="center"/>
          </w:tcPr>
          <w:p>
            <w:pPr>
              <w:pStyle w:val="TableContents"/>
              <w:spacing w:before="0" w:after="283"/>
              <w:jc w:val="left"/>
              <w:rPr/>
            </w:pPr>
            <w:r>
              <w:rPr/>
              <w:t> </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560"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1055" w:type="dxa"/>
            <w:tcBorders>
              <w:bottom w:val="single" w:sz="12" w:space="0" w:color="7CBC3E"/>
            </w:tcBorders>
            <w:shd w:fill="auto" w:val="clear"/>
            <w:tcMar>
              <w:bottom w:w="28" w:type="dxa"/>
            </w:tcMar>
            <w:vAlign w:val="center"/>
          </w:tcPr>
          <w:p>
            <w:pPr>
              <w:pStyle w:val="TableContents"/>
              <w:spacing w:before="0" w:after="283"/>
              <w:jc w:val="right"/>
              <w:rPr/>
            </w:pPr>
            <w:r>
              <w:rPr/>
              <w:t>8,015,000</w:t>
            </w:r>
          </w:p>
        </w:tc>
        <w:tc>
          <w:tcPr>
            <w:tcW w:w="60" w:type="dxa"/>
            <w:tcBorders>
              <w:bottom w:val="single" w:sz="12" w:space="0" w:color="7CBC3E"/>
            </w:tcBorders>
            <w:shd w:fill="auto" w:val="clear"/>
            <w:tcMar>
              <w:bottom w:w="28" w:type="dxa"/>
            </w:tcMar>
            <w:vAlign w:val="center"/>
          </w:tcPr>
          <w:p>
            <w:pPr>
              <w:pStyle w:val="TableContents"/>
              <w:spacing w:before="0" w:after="283"/>
              <w:jc w:val="left"/>
              <w:rPr/>
            </w:pPr>
            <w:r>
              <w:rPr/>
              <w:t> </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762"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518" w:type="dxa"/>
            <w:tcBorders>
              <w:bottom w:val="single" w:sz="12" w:space="0" w:color="7CBC3E"/>
            </w:tcBorders>
            <w:shd w:fill="auto" w:val="clear"/>
            <w:tcMar>
              <w:bottom w:w="28" w:type="dxa"/>
            </w:tcMar>
            <w:vAlign w:val="center"/>
          </w:tcPr>
          <w:p>
            <w:pPr>
              <w:pStyle w:val="TableContents"/>
              <w:spacing w:before="0" w:after="283"/>
              <w:jc w:val="right"/>
              <w:rPr/>
            </w:pPr>
            <w:r>
              <w:rPr/>
              <w:t>324</w:t>
            </w:r>
          </w:p>
        </w:tc>
        <w:tc>
          <w:tcPr>
            <w:tcW w:w="60" w:type="dxa"/>
            <w:tcBorders>
              <w:bottom w:val="single" w:sz="12" w:space="0" w:color="7CBC3E"/>
            </w:tcBorders>
            <w:shd w:fill="auto" w:val="clear"/>
            <w:tcMar>
              <w:bottom w:w="28" w:type="dxa"/>
            </w:tcMar>
            <w:vAlign w:val="center"/>
          </w:tcPr>
          <w:p>
            <w:pPr>
              <w:pStyle w:val="TableContents"/>
              <w:spacing w:before="0" w:after="283"/>
              <w:jc w:val="left"/>
              <w:rPr/>
            </w:pPr>
            <w:r>
              <w:rPr/>
              <w:t> </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762"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518" w:type="dxa"/>
            <w:tcBorders>
              <w:bottom w:val="single" w:sz="12" w:space="0" w:color="7CBC3E"/>
            </w:tcBorders>
            <w:shd w:fill="auto" w:val="clear"/>
            <w:tcMar>
              <w:bottom w:w="28" w:type="dxa"/>
            </w:tcMar>
            <w:vAlign w:val="center"/>
          </w:tcPr>
          <w:p>
            <w:pPr>
              <w:pStyle w:val="TableContents"/>
              <w:spacing w:before="0" w:after="283"/>
              <w:jc w:val="right"/>
              <w:rPr/>
            </w:pPr>
            <w:r>
              <w:rPr/>
              <w:t>126</w:t>
            </w:r>
          </w:p>
        </w:tc>
        <w:tc>
          <w:tcPr>
            <w:tcW w:w="60" w:type="dxa"/>
            <w:tcBorders>
              <w:bottom w:val="single" w:sz="12" w:space="0" w:color="7CBC3E"/>
            </w:tcBorders>
            <w:shd w:fill="auto" w:val="clear"/>
            <w:tcMar>
              <w:bottom w:w="28" w:type="dxa"/>
            </w:tcMar>
            <w:vAlign w:val="center"/>
          </w:tcPr>
          <w:p>
            <w:pPr>
              <w:pStyle w:val="TableContents"/>
              <w:spacing w:before="0" w:after="283"/>
              <w:jc w:val="left"/>
              <w:rPr/>
            </w:pPr>
            <w:r>
              <w:rPr/>
              <w:t> </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560"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875" w:type="dxa"/>
            <w:tcBorders>
              <w:bottom w:val="single" w:sz="12" w:space="0" w:color="7CBC3E"/>
            </w:tcBorders>
            <w:shd w:fill="auto" w:val="clear"/>
            <w:tcMar>
              <w:bottom w:w="28" w:type="dxa"/>
            </w:tcMar>
            <w:vAlign w:val="center"/>
          </w:tcPr>
          <w:p>
            <w:pPr>
              <w:pStyle w:val="TableContents"/>
              <w:spacing w:before="0" w:after="283"/>
              <w:jc w:val="right"/>
              <w:rPr/>
            </w:pPr>
            <w:r>
              <w:rPr/>
              <w:t>(186,566)</w:t>
            </w:r>
          </w:p>
        </w:tc>
        <w:tc>
          <w:tcPr>
            <w:tcW w:w="60" w:type="dxa"/>
            <w:tcBorders>
              <w:bottom w:val="single" w:sz="12" w:space="0" w:color="7CBC3E"/>
            </w:tcBorders>
            <w:shd w:fill="auto" w:val="clear"/>
            <w:tcMar>
              <w:bottom w:w="28" w:type="dxa"/>
            </w:tcMar>
            <w:vAlign w:val="center"/>
          </w:tcPr>
          <w:p>
            <w:pPr>
              <w:pStyle w:val="TableContents"/>
              <w:spacing w:before="0" w:after="283"/>
              <w:jc w:val="left"/>
              <w:rPr/>
            </w:pPr>
            <w:r>
              <w:rPr/>
              <w:t> </w:t>
            </w:r>
          </w:p>
        </w:tc>
        <w:tc>
          <w:tcPr>
            <w:tcW w:w="60" w:type="dxa"/>
            <w:tcBorders>
              <w:bottom w:val="single" w:sz="12" w:space="0" w:color="7CBC3E"/>
            </w:tcBorders>
            <w:shd w:fill="auto" w:val="clear"/>
            <w:tcMar>
              <w:bottom w:w="28" w:type="dxa"/>
            </w:tcMar>
            <w:vAlign w:val="center"/>
          </w:tcPr>
          <w:p>
            <w:pPr>
              <w:pStyle w:val="TableContents"/>
              <w:spacing w:before="0" w:after="283"/>
              <w:rPr/>
            </w:pPr>
            <w:r>
              <w:rPr/>
              <w:t> </w:t>
            </w:r>
          </w:p>
        </w:tc>
        <w:tc>
          <w:tcPr>
            <w:tcW w:w="560" w:type="dxa"/>
            <w:tcBorders>
              <w:bottom w:val="single" w:sz="12" w:space="0" w:color="7CBC3E"/>
            </w:tcBorders>
            <w:shd w:fill="auto" w:val="clear"/>
            <w:tcMar>
              <w:bottom w:w="28" w:type="dxa"/>
            </w:tcMar>
            <w:vAlign w:val="center"/>
          </w:tcPr>
          <w:p>
            <w:pPr>
              <w:pStyle w:val="TableContents"/>
              <w:spacing w:before="0" w:after="283"/>
              <w:jc w:val="right"/>
              <w:rPr/>
            </w:pPr>
            <w:r>
              <w:rPr/>
              <w:t>$</w:t>
            </w:r>
          </w:p>
        </w:tc>
        <w:tc>
          <w:tcPr>
            <w:tcW w:w="800" w:type="dxa"/>
            <w:tcBorders>
              <w:bottom w:val="single" w:sz="12" w:space="0" w:color="7CBC3E"/>
            </w:tcBorders>
            <w:shd w:fill="auto" w:val="clear"/>
            <w:tcMar>
              <w:bottom w:w="28" w:type="dxa"/>
            </w:tcMar>
            <w:vAlign w:val="center"/>
          </w:tcPr>
          <w:p>
            <w:pPr>
              <w:pStyle w:val="TableContents"/>
              <w:spacing w:before="0" w:after="283"/>
              <w:jc w:val="right"/>
              <w:rPr/>
            </w:pPr>
            <w:r>
              <w:rPr/>
              <w:t>271,030</w:t>
            </w:r>
          </w:p>
        </w:tc>
        <w:tc>
          <w:tcPr>
            <w:tcW w:w="75" w:type="dxa"/>
            <w:tcBorders>
              <w:bottom w:val="single" w:sz="12" w:space="0" w:color="7CBC3E"/>
            </w:tcBorders>
            <w:shd w:fill="auto" w:val="clear"/>
            <w:tcMar>
              <w:bottom w:w="28" w:type="dxa"/>
            </w:tcMar>
            <w:vAlign w:val="center"/>
          </w:tcPr>
          <w:p>
            <w:pPr>
              <w:pStyle w:val="TableContents"/>
              <w:spacing w:before="0" w:after="283"/>
              <w:jc w:val="left"/>
              <w:rPr/>
            </w:pPr>
            <w:r>
              <w:rPr/>
              <w:t> </w:t>
            </w:r>
          </w:p>
        </w:tc>
      </w:tr>
    </w:tbl>
    <w:p>
      <w:pPr>
        <w:pStyle w:val="TextBody"/>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rPr/>
            </w:pPr>
            <w:r>
              <w:rPr/>
              <w:t>(1)</w:t>
            </w:r>
          </w:p>
        </w:tc>
        <w:tc>
          <w:tcPr>
            <w:tcW w:w="9954" w:type="dxa"/>
            <w:tcBorders/>
            <w:shd w:fill="auto" w:val="clear"/>
            <w:vAlign w:val="center"/>
          </w:tcPr>
          <w:p>
            <w:pPr>
              <w:pStyle w:val="TableContents"/>
              <w:spacing w:before="0" w:after="283"/>
              <w:jc w:val="both"/>
              <w:rPr/>
            </w:pPr>
            <w:r>
              <w:rPr/>
              <w:t>The dollar amounts reported are the amounts in the “Total” column of the Summary Compensation Table in each applicable year for Dr. Kakkis, who served as our Chief Executive Officer during 2020, 2021 and 2022.</w:t>
            </w:r>
          </w:p>
        </w:tc>
      </w:tr>
      <w:tr>
        <w:trPr/>
        <w:tc>
          <w:tcPr>
            <w:tcW w:w="251" w:type="dxa"/>
            <w:tcBorders/>
            <w:shd w:fill="auto" w:val="clear"/>
            <w:vAlign w:val="center"/>
          </w:tcPr>
          <w:p>
            <w:pPr>
              <w:pStyle w:val="TableContents"/>
              <w:spacing w:before="0" w:after="283"/>
              <w:rPr/>
            </w:pPr>
            <w:r>
              <w:rPr/>
              <w:t>(2)</w:t>
            </w:r>
          </w:p>
        </w:tc>
        <w:tc>
          <w:tcPr>
            <w:tcW w:w="9954" w:type="dxa"/>
            <w:tcBorders/>
            <w:shd w:fill="auto" w:val="clear"/>
            <w:vAlign w:val="center"/>
          </w:tcPr>
          <w:p>
            <w:pPr>
              <w:pStyle w:val="TableContents"/>
              <w:spacing w:before="0" w:after="283"/>
              <w:jc w:val="both"/>
              <w:rPr/>
            </w:pPr>
            <w:r>
              <w:rPr/>
              <w:t>The dollar amounts reported represent the amount of CAP, as computed in accordance with SEC rules. The dollar amounts do not reflect the actual amount of compensation earned by or paid during the applicable year. In accordance with SEC rules, the following adjustments were made to total compensation to determine the CAP:</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5990"/>
        <w:gridCol w:w="60"/>
        <w:gridCol w:w="140"/>
        <w:gridCol w:w="1212"/>
        <w:gridCol w:w="60"/>
        <w:gridCol w:w="60"/>
        <w:gridCol w:w="140"/>
        <w:gridCol w:w="1092"/>
        <w:gridCol w:w="60"/>
        <w:gridCol w:w="60"/>
        <w:gridCol w:w="140"/>
        <w:gridCol w:w="1114"/>
        <w:gridCol w:w="77"/>
      </w:tblGrid>
      <w:tr>
        <w:trPr/>
        <w:tc>
          <w:tcPr>
            <w:tcW w:w="5990" w:type="dxa"/>
            <w:tcBorders>
              <w:bottom w:val="single" w:sz="12" w:space="0" w:color="7CBC3E"/>
            </w:tcBorders>
            <w:shd w:fill="auto" w:val="clear"/>
            <w:vAlign w:val="center"/>
          </w:tcPr>
          <w:p>
            <w:pPr>
              <w:pStyle w:val="TableContents"/>
              <w:spacing w:before="0" w:after="283"/>
              <w:rPr>
                <w:b/>
              </w:rPr>
            </w:pPr>
            <w:r>
              <w:rPr>
                <w:b/>
              </w:rPr>
              <w:t>Compensation Actually Paid to PEO</w:t>
            </w:r>
          </w:p>
        </w:tc>
        <w:tc>
          <w:tcPr>
            <w:tcW w:w="60" w:type="dxa"/>
            <w:tcBorders>
              <w:bottom w:val="single" w:sz="12" w:space="0" w:color="7CBC3E"/>
            </w:tcBorders>
            <w:shd w:fill="auto" w:val="clear"/>
            <w:vAlign w:val="center"/>
          </w:tcPr>
          <w:p>
            <w:pPr>
              <w:pStyle w:val="TableContents"/>
              <w:spacing w:before="0" w:after="283"/>
              <w:rPr/>
            </w:pPr>
            <w:r>
              <w:rPr/>
              <w:t> </w:t>
            </w:r>
          </w:p>
        </w:tc>
        <w:tc>
          <w:tcPr>
            <w:tcW w:w="1352" w:type="dxa"/>
            <w:gridSpan w:val="2"/>
            <w:tcBorders>
              <w:bottom w:val="single" w:sz="12" w:space="0" w:color="7CBC3E"/>
            </w:tcBorders>
            <w:shd w:fill="auto" w:val="clear"/>
            <w:vAlign w:val="center"/>
          </w:tcPr>
          <w:p>
            <w:pPr>
              <w:pStyle w:val="TableContents"/>
              <w:spacing w:before="0" w:after="283"/>
              <w:jc w:val="right"/>
              <w:rPr>
                <w:b/>
              </w:rPr>
            </w:pPr>
            <w:r>
              <w:rPr>
                <w:b/>
              </w:rPr>
              <w:t>2022</w:t>
            </w:r>
          </w:p>
        </w:tc>
        <w:tc>
          <w:tcPr>
            <w:tcW w:w="60" w:type="dxa"/>
            <w:tcBorders>
              <w:bottom w:val="single" w:sz="12" w:space="0" w:color="7CBC3E"/>
            </w:tcBorders>
            <w:shd w:fill="auto" w:val="clear"/>
            <w:vAlign w:val="center"/>
          </w:tcPr>
          <w:p>
            <w:pPr>
              <w:pStyle w:val="TableContents"/>
              <w:spacing w:before="0" w:after="283"/>
              <w:jc w:val="left"/>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232" w:type="dxa"/>
            <w:gridSpan w:val="2"/>
            <w:tcBorders>
              <w:bottom w:val="single" w:sz="12" w:space="0" w:color="7CBC3E"/>
            </w:tcBorders>
            <w:shd w:fill="auto" w:val="clear"/>
            <w:vAlign w:val="center"/>
          </w:tcPr>
          <w:p>
            <w:pPr>
              <w:pStyle w:val="TableContents"/>
              <w:spacing w:before="0" w:after="283"/>
              <w:jc w:val="right"/>
              <w:rPr>
                <w:b/>
              </w:rPr>
            </w:pPr>
            <w:r>
              <w:rPr>
                <w:b/>
              </w:rPr>
              <w:t>2021</w:t>
            </w:r>
          </w:p>
        </w:tc>
        <w:tc>
          <w:tcPr>
            <w:tcW w:w="60" w:type="dxa"/>
            <w:tcBorders>
              <w:bottom w:val="single" w:sz="12" w:space="0" w:color="7CBC3E"/>
            </w:tcBorders>
            <w:shd w:fill="auto" w:val="clear"/>
            <w:vAlign w:val="center"/>
          </w:tcPr>
          <w:p>
            <w:pPr>
              <w:pStyle w:val="TableContents"/>
              <w:spacing w:before="0" w:after="283"/>
              <w:jc w:val="left"/>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254" w:type="dxa"/>
            <w:gridSpan w:val="2"/>
            <w:tcBorders>
              <w:bottom w:val="single" w:sz="12" w:space="0" w:color="7CBC3E"/>
            </w:tcBorders>
            <w:shd w:fill="auto" w:val="clear"/>
            <w:vAlign w:val="center"/>
          </w:tcPr>
          <w:p>
            <w:pPr>
              <w:pStyle w:val="TableContents"/>
              <w:spacing w:before="0" w:after="283"/>
              <w:jc w:val="right"/>
              <w:rPr>
                <w:b/>
              </w:rPr>
            </w:pPr>
            <w:r>
              <w:rPr>
                <w:b/>
              </w:rPr>
              <w:t>2020</w:t>
            </w:r>
          </w:p>
        </w:tc>
        <w:tc>
          <w:tcPr>
            <w:tcW w:w="77" w:type="dxa"/>
            <w:tcBorders>
              <w:bottom w:val="single" w:sz="12" w:space="0" w:color="7CBC3E"/>
            </w:tcBorders>
            <w:shd w:fill="auto" w:val="clear"/>
            <w:vAlign w:val="center"/>
          </w:tcPr>
          <w:p>
            <w:pPr>
              <w:pStyle w:val="TableContents"/>
              <w:spacing w:before="0" w:after="283"/>
              <w:jc w:val="left"/>
              <w:rPr/>
            </w:pPr>
            <w:r>
              <w:rPr/>
              <w:t> </w:t>
            </w:r>
          </w:p>
        </w:tc>
      </w:tr>
      <w:tr>
        <w:trPr/>
        <w:tc>
          <w:tcPr>
            <w:tcW w:w="5990" w:type="dxa"/>
            <w:tcBorders/>
            <w:shd w:fill="auto" w:val="clear"/>
            <w:tcMar>
              <w:bottom w:w="0" w:type="dxa"/>
            </w:tcMar>
            <w:vAlign w:val="center"/>
          </w:tcPr>
          <w:p>
            <w:pPr>
              <w:pStyle w:val="TableContents"/>
              <w:spacing w:before="0" w:after="283"/>
              <w:jc w:val="left"/>
              <w:rPr/>
            </w:pPr>
            <w:r>
              <w:rPr/>
              <w:t>Summary Compensation Table Total</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right"/>
              <w:rPr/>
            </w:pPr>
            <w:r>
              <w:rPr/>
              <w:t>$</w:t>
            </w:r>
          </w:p>
        </w:tc>
        <w:tc>
          <w:tcPr>
            <w:tcW w:w="1212" w:type="dxa"/>
            <w:tcBorders/>
            <w:shd w:fill="auto" w:val="clear"/>
            <w:tcMar>
              <w:bottom w:w="0" w:type="dxa"/>
            </w:tcMar>
            <w:vAlign w:val="center"/>
          </w:tcPr>
          <w:p>
            <w:pPr>
              <w:pStyle w:val="TableContents"/>
              <w:spacing w:before="0" w:after="283"/>
              <w:jc w:val="right"/>
              <w:rPr/>
            </w:pPr>
            <w:r>
              <w:rPr/>
              <w:t>12,140,330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right"/>
              <w:rPr/>
            </w:pPr>
            <w:r>
              <w:rPr/>
              <w:t>$</w:t>
            </w:r>
          </w:p>
        </w:tc>
        <w:tc>
          <w:tcPr>
            <w:tcW w:w="1092" w:type="dxa"/>
            <w:tcBorders/>
            <w:shd w:fill="auto" w:val="clear"/>
            <w:tcMar>
              <w:bottom w:w="0" w:type="dxa"/>
            </w:tcMar>
            <w:vAlign w:val="center"/>
          </w:tcPr>
          <w:p>
            <w:pPr>
              <w:pStyle w:val="TableContents"/>
              <w:spacing w:before="0" w:after="283"/>
              <w:jc w:val="right"/>
              <w:rPr/>
            </w:pPr>
            <w:r>
              <w:rPr/>
              <w:t>9,522,738</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right"/>
              <w:rPr/>
            </w:pPr>
            <w:r>
              <w:rPr/>
              <w:t>$</w:t>
            </w:r>
          </w:p>
        </w:tc>
        <w:tc>
          <w:tcPr>
            <w:tcW w:w="1114" w:type="dxa"/>
            <w:tcBorders/>
            <w:shd w:fill="auto" w:val="clear"/>
            <w:tcMar>
              <w:bottom w:w="0" w:type="dxa"/>
            </w:tcMar>
            <w:vAlign w:val="center"/>
          </w:tcPr>
          <w:p>
            <w:pPr>
              <w:pStyle w:val="TableContents"/>
              <w:spacing w:before="0" w:after="283"/>
              <w:jc w:val="right"/>
              <w:rPr/>
            </w:pPr>
            <w:r>
              <w:rPr/>
              <w:t>5,144,220</w:t>
            </w:r>
          </w:p>
        </w:tc>
        <w:tc>
          <w:tcPr>
            <w:tcW w:w="77" w:type="dxa"/>
            <w:tcBorders/>
            <w:shd w:fill="auto" w:val="clear"/>
            <w:tcMar>
              <w:bottom w:w="0" w:type="dxa"/>
            </w:tcMar>
            <w:vAlign w:val="center"/>
          </w:tcPr>
          <w:p>
            <w:pPr>
              <w:pStyle w:val="TableContents"/>
              <w:spacing w:before="0" w:after="283"/>
              <w:jc w:val="left"/>
              <w:rPr/>
            </w:pPr>
            <w:r>
              <w:rPr/>
              <w:t> </w:t>
            </w:r>
          </w:p>
        </w:tc>
      </w:tr>
      <w:tr>
        <w:trPr/>
        <w:tc>
          <w:tcPr>
            <w:tcW w:w="5990" w:type="dxa"/>
            <w:tcBorders/>
            <w:shd w:fill="EFF6EA" w:val="clear"/>
            <w:tcMar>
              <w:bottom w:w="0" w:type="dxa"/>
            </w:tcMar>
            <w:vAlign w:val="center"/>
          </w:tcPr>
          <w:p>
            <w:pPr>
              <w:pStyle w:val="TableContents"/>
              <w:spacing w:before="0" w:after="283"/>
              <w:jc w:val="left"/>
              <w:rPr/>
            </w:pPr>
            <w:r>
              <w:rPr>
                <w:i/>
              </w:rPr>
              <w:t>Less,</w:t>
            </w:r>
            <w:r>
              <w:rPr/>
              <w:t xml:space="preserve"> value of “Stock Awards” and “Option Awards” reported in Summary Compensation Table</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212" w:type="dxa"/>
            <w:tcBorders/>
            <w:shd w:fill="EFF6EA" w:val="clear"/>
            <w:tcMar>
              <w:bottom w:w="0" w:type="dxa"/>
            </w:tcMar>
            <w:vAlign w:val="center"/>
          </w:tcPr>
          <w:p>
            <w:pPr>
              <w:pStyle w:val="TableContents"/>
              <w:spacing w:before="0" w:after="283"/>
              <w:jc w:val="right"/>
              <w:rPr/>
            </w:pPr>
            <w:r>
              <w:rPr/>
              <w:t>(10,773,976)</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092" w:type="dxa"/>
            <w:tcBorders/>
            <w:shd w:fill="EFF6EA" w:val="clear"/>
            <w:tcMar>
              <w:bottom w:w="0" w:type="dxa"/>
            </w:tcMar>
            <w:vAlign w:val="center"/>
          </w:tcPr>
          <w:p>
            <w:pPr>
              <w:pStyle w:val="TableContents"/>
              <w:spacing w:before="0" w:after="283"/>
              <w:jc w:val="right"/>
              <w:rPr/>
            </w:pPr>
            <w:r>
              <w:rPr/>
              <w:t>(8,246,092)</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114" w:type="dxa"/>
            <w:tcBorders/>
            <w:shd w:fill="EFF6EA" w:val="clear"/>
            <w:tcMar>
              <w:bottom w:w="0" w:type="dxa"/>
            </w:tcMar>
            <w:vAlign w:val="center"/>
          </w:tcPr>
          <w:p>
            <w:pPr>
              <w:pStyle w:val="TableContents"/>
              <w:spacing w:before="0" w:after="283"/>
              <w:jc w:val="right"/>
              <w:rPr/>
            </w:pPr>
            <w:r>
              <w:rPr/>
              <w:t>(3,709,589)</w:t>
            </w:r>
          </w:p>
        </w:tc>
        <w:tc>
          <w:tcPr>
            <w:tcW w:w="77" w:type="dxa"/>
            <w:tcBorders/>
            <w:shd w:fill="EFF6EA" w:val="clear"/>
            <w:tcMar>
              <w:bottom w:w="0" w:type="dxa"/>
            </w:tcMar>
            <w:vAlign w:val="center"/>
          </w:tcPr>
          <w:p>
            <w:pPr>
              <w:pStyle w:val="TableContents"/>
              <w:spacing w:before="0" w:after="283"/>
              <w:rPr>
                <w:sz w:val="4"/>
                <w:szCs w:val="4"/>
              </w:rPr>
            </w:pPr>
            <w:r>
              <w:rPr>
                <w:sz w:val="4"/>
                <w:szCs w:val="4"/>
              </w:rPr>
            </w:r>
          </w:p>
        </w:tc>
      </w:tr>
      <w:tr>
        <w:trPr/>
        <w:tc>
          <w:tcPr>
            <w:tcW w:w="5990" w:type="dxa"/>
            <w:tcBorders/>
            <w:shd w:fill="auto" w:val="clear"/>
            <w:tcMar>
              <w:bottom w:w="0" w:type="dxa"/>
            </w:tcMar>
            <w:vAlign w:val="center"/>
          </w:tcPr>
          <w:p>
            <w:pPr>
              <w:pStyle w:val="TableContents"/>
              <w:spacing w:before="0" w:after="283"/>
              <w:jc w:val="left"/>
              <w:rPr/>
            </w:pPr>
            <w:r>
              <w:rPr>
                <w:i/>
              </w:rPr>
              <w:t>Plus,</w:t>
            </w:r>
            <w:r>
              <w:rPr/>
              <w:t xml:space="preserve"> year end fair value of outstanding and unvested equity awards granted during the year</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1212" w:type="dxa"/>
            <w:tcBorders/>
            <w:shd w:fill="auto" w:val="clear"/>
            <w:tcMar>
              <w:bottom w:w="0" w:type="dxa"/>
            </w:tcMar>
            <w:vAlign w:val="center"/>
          </w:tcPr>
          <w:p>
            <w:pPr>
              <w:pStyle w:val="TableContents"/>
              <w:spacing w:before="0" w:after="283"/>
              <w:jc w:val="right"/>
              <w:rPr/>
            </w:pPr>
            <w:r>
              <w:rPr/>
              <w:t>(6,264,762)</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1092" w:type="dxa"/>
            <w:tcBorders/>
            <w:shd w:fill="auto" w:val="clear"/>
            <w:tcMar>
              <w:bottom w:w="0" w:type="dxa"/>
            </w:tcMar>
            <w:vAlign w:val="center"/>
          </w:tcPr>
          <w:p>
            <w:pPr>
              <w:pStyle w:val="TableContents"/>
              <w:spacing w:before="0" w:after="283"/>
              <w:jc w:val="right"/>
              <w:rPr/>
            </w:pPr>
            <w:r>
              <w:rPr/>
              <w:t>4,152,033</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1114" w:type="dxa"/>
            <w:tcBorders/>
            <w:shd w:fill="auto" w:val="clear"/>
            <w:tcMar>
              <w:bottom w:w="0" w:type="dxa"/>
            </w:tcMar>
            <w:vAlign w:val="center"/>
          </w:tcPr>
          <w:p>
            <w:pPr>
              <w:pStyle w:val="TableContents"/>
              <w:spacing w:before="0" w:after="283"/>
              <w:jc w:val="right"/>
              <w:rPr/>
            </w:pPr>
            <w:r>
              <w:rPr/>
              <w:t>10,163,438</w:t>
            </w:r>
          </w:p>
        </w:tc>
        <w:tc>
          <w:tcPr>
            <w:tcW w:w="77" w:type="dxa"/>
            <w:tcBorders/>
            <w:shd w:fill="auto" w:val="clear"/>
            <w:tcMar>
              <w:bottom w:w="0" w:type="dxa"/>
            </w:tcMar>
            <w:vAlign w:val="center"/>
          </w:tcPr>
          <w:p>
            <w:pPr>
              <w:pStyle w:val="TableContents"/>
              <w:spacing w:before="0" w:after="283"/>
              <w:jc w:val="left"/>
              <w:rPr/>
            </w:pPr>
            <w:r>
              <w:rPr/>
              <w:t> </w:t>
            </w:r>
          </w:p>
        </w:tc>
      </w:tr>
      <w:tr>
        <w:trPr/>
        <w:tc>
          <w:tcPr>
            <w:tcW w:w="5990" w:type="dxa"/>
            <w:tcBorders/>
            <w:shd w:fill="EFF6EA" w:val="clear"/>
            <w:tcMar>
              <w:bottom w:w="0" w:type="dxa"/>
            </w:tcMar>
            <w:vAlign w:val="center"/>
          </w:tcPr>
          <w:p>
            <w:pPr>
              <w:pStyle w:val="TableContents"/>
              <w:spacing w:before="0" w:after="283"/>
              <w:jc w:val="left"/>
              <w:rPr/>
            </w:pPr>
            <w:r>
              <w:rPr>
                <w:i/>
              </w:rPr>
              <w:t>Plus</w:t>
            </w:r>
            <w:r>
              <w:rPr/>
              <w:t xml:space="preserve"> (less), year over year change in fair value of outstanding and unvested equity awards granted in prior years</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212" w:type="dxa"/>
            <w:tcBorders/>
            <w:shd w:fill="EFF6EA" w:val="clear"/>
            <w:tcMar>
              <w:bottom w:w="0" w:type="dxa"/>
            </w:tcMar>
            <w:vAlign w:val="center"/>
          </w:tcPr>
          <w:p>
            <w:pPr>
              <w:pStyle w:val="TableContents"/>
              <w:spacing w:before="0" w:after="283"/>
              <w:jc w:val="right"/>
              <w:rPr/>
            </w:pPr>
            <w:r>
              <w:rPr/>
              <w:t>(2,934,552)</w:t>
            </w:r>
          </w:p>
        </w:tc>
        <w:tc>
          <w:tcPr>
            <w:tcW w:w="60" w:type="dxa"/>
            <w:tcBorders/>
            <w:shd w:fill="EFF6EA" w:val="clear"/>
            <w:tcMar>
              <w:bottom w:w="0" w:type="dxa"/>
            </w:tcMar>
            <w:vAlign w:val="center"/>
          </w:tcPr>
          <w:p>
            <w:pPr>
              <w:pStyle w:val="TableContents"/>
              <w:spacing w:before="0" w:after="283"/>
              <w:rPr>
                <w:sz w:val="4"/>
                <w:szCs w:val="4"/>
              </w:rPr>
            </w:pPr>
            <w:r>
              <w:rPr>
                <w:sz w:val="4"/>
                <w:szCs w:val="4"/>
              </w:rPr>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092" w:type="dxa"/>
            <w:tcBorders/>
            <w:shd w:fill="EFF6EA" w:val="clear"/>
            <w:tcMar>
              <w:bottom w:w="0" w:type="dxa"/>
            </w:tcMar>
            <w:vAlign w:val="center"/>
          </w:tcPr>
          <w:p>
            <w:pPr>
              <w:pStyle w:val="TableContents"/>
              <w:spacing w:before="0" w:after="283"/>
              <w:jc w:val="right"/>
              <w:rPr/>
            </w:pPr>
            <w:r>
              <w:rPr/>
              <w:t>(5,753,632)</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114" w:type="dxa"/>
            <w:tcBorders/>
            <w:shd w:fill="EFF6EA" w:val="clear"/>
            <w:tcMar>
              <w:bottom w:w="0" w:type="dxa"/>
            </w:tcMar>
            <w:vAlign w:val="center"/>
          </w:tcPr>
          <w:p>
            <w:pPr>
              <w:pStyle w:val="TableContents"/>
              <w:spacing w:before="0" w:after="283"/>
              <w:jc w:val="right"/>
              <w:rPr/>
            </w:pPr>
            <w:r>
              <w:rPr/>
              <w:t>9,346,926</w:t>
            </w:r>
          </w:p>
        </w:tc>
        <w:tc>
          <w:tcPr>
            <w:tcW w:w="77" w:type="dxa"/>
            <w:tcBorders/>
            <w:shd w:fill="EFF6EA" w:val="clear"/>
            <w:tcMar>
              <w:bottom w:w="0" w:type="dxa"/>
            </w:tcMar>
            <w:vAlign w:val="center"/>
          </w:tcPr>
          <w:p>
            <w:pPr>
              <w:pStyle w:val="TableContents"/>
              <w:spacing w:before="0" w:after="283"/>
              <w:jc w:val="left"/>
              <w:rPr/>
            </w:pPr>
            <w:r>
              <w:rPr/>
              <w:t> </w:t>
            </w:r>
          </w:p>
        </w:tc>
      </w:tr>
      <w:tr>
        <w:trPr/>
        <w:tc>
          <w:tcPr>
            <w:tcW w:w="5990" w:type="dxa"/>
            <w:tcBorders/>
            <w:shd w:fill="auto" w:val="clear"/>
            <w:tcMar>
              <w:bottom w:w="0" w:type="dxa"/>
            </w:tcMar>
            <w:vAlign w:val="center"/>
          </w:tcPr>
          <w:p>
            <w:pPr>
              <w:pStyle w:val="TableContents"/>
              <w:spacing w:before="0" w:after="283"/>
              <w:jc w:val="left"/>
              <w:rPr/>
            </w:pPr>
            <w:r>
              <w:rPr>
                <w:i/>
              </w:rPr>
              <w:t>Plus (less),</w:t>
            </w:r>
            <w:r>
              <w:rPr/>
              <w:t xml:space="preserve"> year over year change in fair value of equity awards granted in prior years that vested in the year</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1212" w:type="dxa"/>
            <w:tcBorders/>
            <w:shd w:fill="auto" w:val="clear"/>
            <w:tcMar>
              <w:bottom w:w="0" w:type="dxa"/>
            </w:tcMar>
            <w:vAlign w:val="center"/>
          </w:tcPr>
          <w:p>
            <w:pPr>
              <w:pStyle w:val="TableContents"/>
              <w:spacing w:before="0" w:after="283"/>
              <w:jc w:val="right"/>
              <w:rPr/>
            </w:pPr>
            <w:r>
              <w:rPr/>
              <w:t>(1,385,132)</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1092" w:type="dxa"/>
            <w:tcBorders/>
            <w:shd w:fill="auto" w:val="clear"/>
            <w:tcMar>
              <w:bottom w:w="0" w:type="dxa"/>
            </w:tcMar>
            <w:vAlign w:val="center"/>
          </w:tcPr>
          <w:p>
            <w:pPr>
              <w:pStyle w:val="TableContents"/>
              <w:spacing w:before="0" w:after="283"/>
              <w:jc w:val="right"/>
              <w:rPr/>
            </w:pPr>
            <w:r>
              <w:rPr/>
              <w:t>(1,827,851)</w:t>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1114" w:type="dxa"/>
            <w:tcBorders/>
            <w:shd w:fill="auto" w:val="clear"/>
            <w:tcMar>
              <w:bottom w:w="0" w:type="dxa"/>
            </w:tcMar>
            <w:vAlign w:val="center"/>
          </w:tcPr>
          <w:p>
            <w:pPr>
              <w:pStyle w:val="TableContents"/>
              <w:spacing w:before="0" w:after="283"/>
              <w:jc w:val="right"/>
              <w:rPr/>
            </w:pPr>
            <w:r>
              <w:rPr/>
              <w:t>1,781,748</w:t>
            </w:r>
          </w:p>
        </w:tc>
        <w:tc>
          <w:tcPr>
            <w:tcW w:w="77" w:type="dxa"/>
            <w:tcBorders/>
            <w:shd w:fill="auto" w:val="clear"/>
            <w:tcMar>
              <w:bottom w:w="0" w:type="dxa"/>
            </w:tcMar>
            <w:vAlign w:val="center"/>
          </w:tcPr>
          <w:p>
            <w:pPr>
              <w:pStyle w:val="TableContents"/>
              <w:spacing w:before="0" w:after="283"/>
              <w:jc w:val="left"/>
              <w:rPr/>
            </w:pPr>
            <w:r>
              <w:rPr/>
              <w:t> </w:t>
            </w:r>
          </w:p>
        </w:tc>
      </w:tr>
      <w:tr>
        <w:trPr/>
        <w:tc>
          <w:tcPr>
            <w:tcW w:w="5990" w:type="dxa"/>
            <w:tcBorders/>
            <w:shd w:fill="EFF6EA" w:val="clear"/>
            <w:tcMar>
              <w:bottom w:w="0" w:type="dxa"/>
            </w:tcMar>
            <w:vAlign w:val="center"/>
          </w:tcPr>
          <w:p>
            <w:pPr>
              <w:pStyle w:val="TableContents"/>
              <w:spacing w:before="0" w:after="283"/>
              <w:jc w:val="left"/>
              <w:rPr/>
            </w:pPr>
            <w:r>
              <w:rPr>
                <w:i/>
              </w:rPr>
              <w:t>Less,</w:t>
            </w:r>
            <w:r>
              <w:rPr/>
              <w:t xml:space="preserve"> prior year-end fair value of any equity awards that failed to meet vesting conditions in the year</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212"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092"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jc w:val="left"/>
              <w:rPr/>
            </w:pPr>
            <w:r>
              <w:rPr/>
              <w:t> </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114" w:type="dxa"/>
            <w:tcBorders/>
            <w:shd w:fill="EFF6EA" w:val="clear"/>
            <w:tcMar>
              <w:bottom w:w="0" w:type="dxa"/>
            </w:tcMar>
            <w:vAlign w:val="center"/>
          </w:tcPr>
          <w:p>
            <w:pPr>
              <w:pStyle w:val="TableContents"/>
              <w:spacing w:before="0" w:after="283"/>
              <w:jc w:val="right"/>
              <w:rPr/>
            </w:pPr>
            <w:r>
              <w:rPr/>
              <w:t>—</w:t>
            </w:r>
          </w:p>
        </w:tc>
        <w:tc>
          <w:tcPr>
            <w:tcW w:w="77" w:type="dxa"/>
            <w:tcBorders/>
            <w:shd w:fill="EFF6EA" w:val="clear"/>
            <w:tcMar>
              <w:bottom w:w="0" w:type="dxa"/>
            </w:tcMar>
            <w:vAlign w:val="center"/>
          </w:tcPr>
          <w:p>
            <w:pPr>
              <w:pStyle w:val="TableContents"/>
              <w:spacing w:before="0" w:after="283"/>
              <w:jc w:val="left"/>
              <w:rPr/>
            </w:pPr>
            <w:r>
              <w:rPr/>
              <w:t> </w:t>
            </w:r>
          </w:p>
        </w:tc>
      </w:tr>
      <w:tr>
        <w:trPr/>
        <w:tc>
          <w:tcPr>
            <w:tcW w:w="5990" w:type="dxa"/>
            <w:tcBorders>
              <w:bottom w:val="single" w:sz="12" w:space="0" w:color="7CBC3E"/>
            </w:tcBorders>
            <w:shd w:fill="auto" w:val="clear"/>
            <w:vAlign w:val="center"/>
          </w:tcPr>
          <w:p>
            <w:pPr>
              <w:pStyle w:val="TableContents"/>
              <w:spacing w:before="0" w:after="283"/>
              <w:jc w:val="left"/>
              <w:rPr>
                <w:b/>
              </w:rPr>
            </w:pPr>
            <w:r>
              <w:rPr>
                <w:b/>
              </w:rPr>
              <w:t>Compensation Actually Paid to Dr. Kakkis</w:t>
            </w:r>
          </w:p>
        </w:tc>
        <w:tc>
          <w:tcPr>
            <w:tcW w:w="60" w:type="dxa"/>
            <w:tcBorders>
              <w:bottom w:val="single" w:sz="12" w:space="0" w:color="7CBC3E"/>
            </w:tcBorders>
            <w:shd w:fill="auto" w:val="clear"/>
            <w:vAlign w:val="center"/>
          </w:tcPr>
          <w:p>
            <w:pPr>
              <w:pStyle w:val="TableContents"/>
              <w:spacing w:before="0" w:after="283"/>
              <w:rPr/>
            </w:pPr>
            <w:r>
              <w:rPr/>
              <w:t> </w:t>
            </w:r>
          </w:p>
        </w:tc>
        <w:tc>
          <w:tcPr>
            <w:tcW w:w="140" w:type="dxa"/>
            <w:tcBorders>
              <w:bottom w:val="single" w:sz="12" w:space="0" w:color="7CBC3E"/>
            </w:tcBorders>
            <w:shd w:fill="auto" w:val="clear"/>
            <w:vAlign w:val="center"/>
          </w:tcPr>
          <w:p>
            <w:pPr>
              <w:pStyle w:val="TableContents"/>
              <w:spacing w:before="0" w:after="283"/>
              <w:jc w:val="right"/>
              <w:rPr>
                <w:b/>
              </w:rPr>
            </w:pPr>
            <w:r>
              <w:rPr>
                <w:b/>
              </w:rPr>
              <w:t>$</w:t>
            </w:r>
          </w:p>
        </w:tc>
        <w:tc>
          <w:tcPr>
            <w:tcW w:w="1212" w:type="dxa"/>
            <w:tcBorders>
              <w:bottom w:val="single" w:sz="12" w:space="0" w:color="7CBC3E"/>
            </w:tcBorders>
            <w:shd w:fill="auto" w:val="clear"/>
            <w:vAlign w:val="center"/>
          </w:tcPr>
          <w:p>
            <w:pPr>
              <w:pStyle w:val="TableContents"/>
              <w:spacing w:before="0" w:after="283"/>
              <w:jc w:val="right"/>
              <w:rPr>
                <w:b/>
              </w:rPr>
            </w:pPr>
            <w:r>
              <w:rPr>
                <w:b/>
              </w:rPr>
              <w:t>3,311,432</w:t>
            </w:r>
          </w:p>
        </w:tc>
        <w:tc>
          <w:tcPr>
            <w:tcW w:w="60" w:type="dxa"/>
            <w:tcBorders>
              <w:bottom w:val="single" w:sz="12" w:space="0" w:color="7CBC3E"/>
            </w:tcBorders>
            <w:shd w:fill="auto" w:val="clear"/>
            <w:vAlign w:val="center"/>
          </w:tcPr>
          <w:p>
            <w:pPr>
              <w:pStyle w:val="TableContents"/>
              <w:spacing w:before="0" w:after="283"/>
              <w:jc w:val="left"/>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40" w:type="dxa"/>
            <w:tcBorders>
              <w:bottom w:val="single" w:sz="12" w:space="0" w:color="7CBC3E"/>
            </w:tcBorders>
            <w:shd w:fill="auto" w:val="clear"/>
            <w:vAlign w:val="center"/>
          </w:tcPr>
          <w:p>
            <w:pPr>
              <w:pStyle w:val="TableContents"/>
              <w:spacing w:before="0" w:after="283"/>
              <w:jc w:val="right"/>
              <w:rPr>
                <w:b/>
              </w:rPr>
            </w:pPr>
            <w:r>
              <w:rPr>
                <w:b/>
              </w:rPr>
              <w:t>$</w:t>
            </w:r>
          </w:p>
        </w:tc>
        <w:tc>
          <w:tcPr>
            <w:tcW w:w="1092" w:type="dxa"/>
            <w:tcBorders>
              <w:bottom w:val="single" w:sz="12" w:space="0" w:color="7CBC3E"/>
            </w:tcBorders>
            <w:shd w:fill="auto" w:val="clear"/>
            <w:vAlign w:val="center"/>
          </w:tcPr>
          <w:p>
            <w:pPr>
              <w:pStyle w:val="TableContents"/>
              <w:spacing w:before="0" w:after="283"/>
              <w:jc w:val="right"/>
              <w:rPr>
                <w:b/>
              </w:rPr>
            </w:pPr>
            <w:r>
              <w:rPr>
                <w:b/>
              </w:rPr>
              <w:t>(2,152,804)</w:t>
            </w:r>
          </w:p>
        </w:tc>
        <w:tc>
          <w:tcPr>
            <w:tcW w:w="60" w:type="dxa"/>
            <w:tcBorders>
              <w:bottom w:val="single" w:sz="12" w:space="0" w:color="7CBC3E"/>
            </w:tcBorders>
            <w:shd w:fill="auto" w:val="clear"/>
            <w:vAlign w:val="center"/>
          </w:tcPr>
          <w:p>
            <w:pPr>
              <w:pStyle w:val="TableContents"/>
              <w:spacing w:before="0" w:after="283"/>
              <w:jc w:val="left"/>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40" w:type="dxa"/>
            <w:tcBorders>
              <w:bottom w:val="single" w:sz="12" w:space="0" w:color="7CBC3E"/>
            </w:tcBorders>
            <w:shd w:fill="auto" w:val="clear"/>
            <w:vAlign w:val="center"/>
          </w:tcPr>
          <w:p>
            <w:pPr>
              <w:pStyle w:val="TableContents"/>
              <w:spacing w:before="0" w:after="283"/>
              <w:jc w:val="right"/>
              <w:rPr>
                <w:b/>
              </w:rPr>
            </w:pPr>
            <w:r>
              <w:rPr>
                <w:b/>
              </w:rPr>
              <w:t>$</w:t>
            </w:r>
          </w:p>
        </w:tc>
        <w:tc>
          <w:tcPr>
            <w:tcW w:w="1114" w:type="dxa"/>
            <w:tcBorders>
              <w:bottom w:val="single" w:sz="12" w:space="0" w:color="7CBC3E"/>
            </w:tcBorders>
            <w:shd w:fill="auto" w:val="clear"/>
            <w:vAlign w:val="center"/>
          </w:tcPr>
          <w:p>
            <w:pPr>
              <w:pStyle w:val="TableContents"/>
              <w:spacing w:before="0" w:after="283"/>
              <w:jc w:val="right"/>
              <w:rPr>
                <w:b/>
              </w:rPr>
            </w:pPr>
            <w:r>
              <w:rPr>
                <w:b/>
              </w:rPr>
              <w:t>22,726,743</w:t>
            </w:r>
          </w:p>
        </w:tc>
        <w:tc>
          <w:tcPr>
            <w:tcW w:w="77" w:type="dxa"/>
            <w:tcBorders>
              <w:bottom w:val="single" w:sz="12" w:space="0" w:color="7CBC3E"/>
            </w:tcBorders>
            <w:shd w:fill="auto" w:val="clear"/>
            <w:vAlign w:val="center"/>
          </w:tcPr>
          <w:p>
            <w:pPr>
              <w:pStyle w:val="TableContents"/>
              <w:spacing w:before="0" w:after="283"/>
              <w:jc w:val="left"/>
              <w:rPr/>
            </w:pPr>
            <w:r>
              <w:rPr/>
              <w:t> </w:t>
            </w:r>
          </w:p>
        </w:tc>
      </w:tr>
    </w:tbl>
    <w:p>
      <w:pPr>
        <w:pStyle w:val="TextBody"/>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26"/>
        <w:gridCol w:w="9904"/>
      </w:tblGrid>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(3)</w:t>
            </w:r>
          </w:p>
        </w:tc>
        <w:tc>
          <w:tcPr>
            <w:tcW w:w="9904" w:type="dxa"/>
            <w:tcBorders/>
            <w:shd w:fill="auto" w:val="clear"/>
            <w:vAlign w:val="center"/>
          </w:tcPr>
          <w:p>
            <w:pPr>
              <w:pStyle w:val="TableContents"/>
              <w:spacing w:before="0" w:after="283"/>
              <w:jc w:val="both"/>
              <w:rPr/>
            </w:pPr>
            <w:r>
              <w:rPr/>
              <w:t>The dollar amounts reported represent the average of the amounts reported for the Company’s named executive officers (NEOs) as a group (excluding our CEO) in the “Total” column of the Summary Compensation Table in each applicable year. The names of each of the NEOs (excluding our CEO) included for purposes of calculating the average amounts in each applicable year are as follows: (i) for 2022 and 2021, Dr. Bedrosian, Mr. Harris, Mr. Pinion and Ms. Dier; and (ii) for 2020, Dr. Bedrosian, Ms. Dier, Mr. Harris, Mr. Pinion, and Shalini Sharp.</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(4)</w:t>
            </w:r>
          </w:p>
        </w:tc>
        <w:tc>
          <w:tcPr>
            <w:tcW w:w="9904" w:type="dxa"/>
            <w:tcBorders/>
            <w:shd w:fill="auto" w:val="clear"/>
            <w:vAlign w:val="center"/>
          </w:tcPr>
          <w:p>
            <w:pPr>
              <w:pStyle w:val="TableContents"/>
              <w:spacing w:before="0" w:after="283"/>
              <w:jc w:val="both"/>
              <w:rPr/>
            </w:pPr>
            <w:r>
              <w:rPr/>
              <w:t>The dollar amounts reported represent the average amount of CAP to the NEOs as a group (excluding our CEO), as computed in accordance with SEC rules. The dollar amounts do not reflect the actual average amount of compensation earned by or paid to the NEOs as a group (excluding our CEO) during the applicable year. In accordance with the SEC rules, the following adjustments were made to average total compensation for the NEOs as a group (excluding our CEO) for each year to determine the compensation actually paid, using the same methodology described above in Note 2:</w:t>
            </w:r>
          </w:p>
        </w:tc>
      </w:tr>
    </w:tbl>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70</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28" w:type="dxa"/>
          <w:right w:w="0" w:type="dxa"/>
        </w:tblCellMar>
      </w:tblPr>
      <w:tblGrid>
        <w:gridCol w:w="6112"/>
        <w:gridCol w:w="60"/>
        <w:gridCol w:w="140"/>
        <w:gridCol w:w="1099"/>
        <w:gridCol w:w="60"/>
        <w:gridCol w:w="60"/>
        <w:gridCol w:w="140"/>
        <w:gridCol w:w="1099"/>
        <w:gridCol w:w="60"/>
        <w:gridCol w:w="60"/>
        <w:gridCol w:w="140"/>
        <w:gridCol w:w="1099"/>
        <w:gridCol w:w="76"/>
      </w:tblGrid>
      <w:tr>
        <w:trPr/>
        <w:tc>
          <w:tcPr>
            <w:tcW w:w="6112" w:type="dxa"/>
            <w:tcBorders>
              <w:bottom w:val="single" w:sz="12" w:space="0" w:color="7CBC3E"/>
            </w:tcBorders>
            <w:shd w:fill="auto" w:val="clear"/>
            <w:vAlign w:val="center"/>
          </w:tcPr>
          <w:p>
            <w:pPr>
              <w:pStyle w:val="TableContents"/>
              <w:spacing w:before="0" w:after="283"/>
              <w:rPr>
                <w:b/>
              </w:rPr>
            </w:pPr>
            <w:r>
              <w:rPr>
                <w:b/>
              </w:rPr>
              <w:t>Compensation Actually Paid to Non-PEO NEOs</w:t>
            </w:r>
          </w:p>
        </w:tc>
        <w:tc>
          <w:tcPr>
            <w:tcW w:w="60" w:type="dxa"/>
            <w:tcBorders>
              <w:bottom w:val="single" w:sz="12" w:space="0" w:color="7CBC3E"/>
            </w:tcBorders>
            <w:shd w:fill="auto" w:val="clear"/>
            <w:vAlign w:val="center"/>
          </w:tcPr>
          <w:p>
            <w:pPr>
              <w:pStyle w:val="TableContents"/>
              <w:spacing w:before="0" w:after="283"/>
              <w:rPr/>
            </w:pPr>
            <w:r>
              <w:rPr/>
              <w:t> </w:t>
            </w:r>
          </w:p>
        </w:tc>
        <w:tc>
          <w:tcPr>
            <w:tcW w:w="1239" w:type="dxa"/>
            <w:gridSpan w:val="2"/>
            <w:tcBorders>
              <w:bottom w:val="single" w:sz="12" w:space="0" w:color="7CBC3E"/>
            </w:tcBorders>
            <w:shd w:fill="auto" w:val="clear"/>
            <w:vAlign w:val="center"/>
          </w:tcPr>
          <w:p>
            <w:pPr>
              <w:pStyle w:val="TableContents"/>
              <w:spacing w:before="0" w:after="283"/>
              <w:jc w:val="right"/>
              <w:rPr>
                <w:b/>
              </w:rPr>
            </w:pPr>
            <w:r>
              <w:rPr>
                <w:b/>
              </w:rPr>
              <w:t>2022</w:t>
            </w:r>
          </w:p>
        </w:tc>
        <w:tc>
          <w:tcPr>
            <w:tcW w:w="60" w:type="dxa"/>
            <w:tcBorders>
              <w:bottom w:val="single" w:sz="12" w:space="0" w:color="7CBC3E"/>
            </w:tcBorders>
            <w:shd w:fill="auto" w:val="clear"/>
            <w:vAlign w:val="center"/>
          </w:tcPr>
          <w:p>
            <w:pPr>
              <w:pStyle w:val="TableContents"/>
              <w:spacing w:before="0" w:after="283"/>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239" w:type="dxa"/>
            <w:gridSpan w:val="2"/>
            <w:tcBorders>
              <w:bottom w:val="single" w:sz="12" w:space="0" w:color="7CBC3E"/>
            </w:tcBorders>
            <w:shd w:fill="auto" w:val="clear"/>
            <w:vAlign w:val="center"/>
          </w:tcPr>
          <w:p>
            <w:pPr>
              <w:pStyle w:val="TableContents"/>
              <w:spacing w:before="0" w:after="283"/>
              <w:jc w:val="right"/>
              <w:rPr>
                <w:b/>
              </w:rPr>
            </w:pPr>
            <w:r>
              <w:rPr>
                <w:b/>
              </w:rPr>
              <w:t>2021</w:t>
            </w:r>
          </w:p>
        </w:tc>
        <w:tc>
          <w:tcPr>
            <w:tcW w:w="60" w:type="dxa"/>
            <w:tcBorders>
              <w:bottom w:val="single" w:sz="12" w:space="0" w:color="7CBC3E"/>
            </w:tcBorders>
            <w:shd w:fill="auto" w:val="clear"/>
            <w:vAlign w:val="center"/>
          </w:tcPr>
          <w:p>
            <w:pPr>
              <w:pStyle w:val="TableContents"/>
              <w:spacing w:before="0" w:after="283"/>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239" w:type="dxa"/>
            <w:gridSpan w:val="2"/>
            <w:tcBorders>
              <w:bottom w:val="single" w:sz="12" w:space="0" w:color="7CBC3E"/>
            </w:tcBorders>
            <w:shd w:fill="auto" w:val="clear"/>
            <w:vAlign w:val="center"/>
          </w:tcPr>
          <w:p>
            <w:pPr>
              <w:pStyle w:val="TableContents"/>
              <w:spacing w:before="0" w:after="283"/>
              <w:jc w:val="right"/>
              <w:rPr>
                <w:b/>
              </w:rPr>
            </w:pPr>
            <w:r>
              <w:rPr>
                <w:b/>
              </w:rPr>
              <w:t>2020</w:t>
            </w:r>
          </w:p>
        </w:tc>
        <w:tc>
          <w:tcPr>
            <w:tcW w:w="76" w:type="dxa"/>
            <w:tcBorders>
              <w:bottom w:val="single" w:sz="12" w:space="0" w:color="7CBC3E"/>
            </w:tcBorders>
            <w:shd w:fill="auto" w:val="clear"/>
            <w:vAlign w:val="center"/>
          </w:tcPr>
          <w:p>
            <w:pPr>
              <w:pStyle w:val="TableContents"/>
              <w:spacing w:before="0" w:after="283"/>
              <w:rPr/>
            </w:pPr>
            <w:r>
              <w:rPr/>
              <w:t> </w:t>
            </w:r>
          </w:p>
        </w:tc>
      </w:tr>
      <w:tr>
        <w:trPr/>
        <w:tc>
          <w:tcPr>
            <w:tcW w:w="6112" w:type="dxa"/>
            <w:tcBorders/>
            <w:shd w:fill="auto" w:val="clear"/>
            <w:tcMar>
              <w:bottom w:w="0" w:type="dxa"/>
            </w:tcMar>
            <w:vAlign w:val="center"/>
          </w:tcPr>
          <w:p>
            <w:pPr>
              <w:pStyle w:val="TableContents"/>
              <w:spacing w:before="0" w:after="283"/>
              <w:jc w:val="left"/>
              <w:rPr/>
            </w:pPr>
            <w:r>
              <w:rPr/>
              <w:t>Summary Compensation Table Total</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w:t>
            </w:r>
          </w:p>
        </w:tc>
        <w:tc>
          <w:tcPr>
            <w:tcW w:w="1099" w:type="dxa"/>
            <w:tcBorders/>
            <w:shd w:fill="auto" w:val="clear"/>
            <w:tcMar>
              <w:bottom w:w="0" w:type="dxa"/>
            </w:tcMar>
            <w:vAlign w:val="center"/>
          </w:tcPr>
          <w:p>
            <w:pPr>
              <w:pStyle w:val="TableContents"/>
              <w:spacing w:before="0" w:after="283"/>
              <w:jc w:val="right"/>
              <w:rPr/>
            </w:pPr>
            <w:r>
              <w:rPr/>
              <w:t>3,911,773</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w:t>
            </w:r>
          </w:p>
        </w:tc>
        <w:tc>
          <w:tcPr>
            <w:tcW w:w="1099" w:type="dxa"/>
            <w:tcBorders/>
            <w:shd w:fill="auto" w:val="clear"/>
            <w:tcMar>
              <w:bottom w:w="0" w:type="dxa"/>
            </w:tcMar>
            <w:vAlign w:val="center"/>
          </w:tcPr>
          <w:p>
            <w:pPr>
              <w:pStyle w:val="TableContents"/>
              <w:spacing w:before="0" w:after="283"/>
              <w:jc w:val="right"/>
              <w:rPr/>
            </w:pPr>
            <w:r>
              <w:rPr/>
              <w:t>3,314,256</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w:t>
            </w:r>
          </w:p>
        </w:tc>
        <w:tc>
          <w:tcPr>
            <w:tcW w:w="1099" w:type="dxa"/>
            <w:tcBorders/>
            <w:shd w:fill="auto" w:val="clear"/>
            <w:tcMar>
              <w:bottom w:w="0" w:type="dxa"/>
            </w:tcMar>
            <w:vAlign w:val="center"/>
          </w:tcPr>
          <w:p>
            <w:pPr>
              <w:pStyle w:val="TableContents"/>
              <w:spacing w:before="0" w:after="283"/>
              <w:jc w:val="right"/>
              <w:rPr/>
            </w:pPr>
            <w:r>
              <w:rPr/>
              <w:t>2,706,102</w:t>
            </w:r>
          </w:p>
        </w:tc>
        <w:tc>
          <w:tcPr>
            <w:tcW w:w="76" w:type="dxa"/>
            <w:tcBorders/>
            <w:shd w:fill="auto" w:val="clear"/>
            <w:tcMar>
              <w:bottom w:w="0" w:type="dxa"/>
            </w:tcMar>
            <w:vAlign w:val="center"/>
          </w:tcPr>
          <w:p>
            <w:pPr>
              <w:pStyle w:val="TableContents"/>
              <w:spacing w:before="0" w:after="283"/>
              <w:jc w:val="left"/>
              <w:rPr/>
            </w:pPr>
            <w:r>
              <w:rPr/>
              <w:t> </w:t>
            </w:r>
          </w:p>
        </w:tc>
      </w:tr>
      <w:tr>
        <w:trPr/>
        <w:tc>
          <w:tcPr>
            <w:tcW w:w="6112" w:type="dxa"/>
            <w:tcBorders/>
            <w:shd w:fill="EFF6EA" w:val="clear"/>
            <w:tcMar>
              <w:bottom w:w="0" w:type="dxa"/>
            </w:tcMar>
            <w:vAlign w:val="center"/>
          </w:tcPr>
          <w:p>
            <w:pPr>
              <w:pStyle w:val="TableContents"/>
              <w:spacing w:before="0" w:after="283"/>
              <w:jc w:val="left"/>
              <w:rPr/>
            </w:pPr>
            <w:r>
              <w:rPr>
                <w:i/>
              </w:rPr>
              <w:t>Less,</w:t>
            </w:r>
            <w:r>
              <w:rPr/>
              <w:t xml:space="preserve"> value of “Stock Awards” and “Option Awards” reported in Summary Compensation Table</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1099" w:type="dxa"/>
            <w:tcBorders/>
            <w:shd w:fill="EFF6EA" w:val="clear"/>
            <w:tcMar>
              <w:bottom w:w="0" w:type="dxa"/>
            </w:tcMar>
            <w:vAlign w:val="center"/>
          </w:tcPr>
          <w:p>
            <w:pPr>
              <w:pStyle w:val="TableContents"/>
              <w:spacing w:before="0" w:after="283"/>
              <w:jc w:val="right"/>
              <w:rPr/>
            </w:pPr>
            <w:r>
              <w:rPr/>
              <w:t>(3,130,468)</w:t>
            </w:r>
          </w:p>
        </w:tc>
        <w:tc>
          <w:tcPr>
            <w:tcW w:w="60" w:type="dxa"/>
            <w:tcBorders/>
            <w:shd w:fill="EFF6EA" w:val="clear"/>
            <w:tcMar>
              <w:bottom w:w="0" w:type="dxa"/>
            </w:tcMar>
            <w:vAlign w:val="center"/>
          </w:tcPr>
          <w:p>
            <w:pPr>
              <w:pStyle w:val="TableContents"/>
              <w:spacing w:before="0" w:after="283"/>
              <w:jc w:val="right"/>
              <w:rPr/>
            </w:pPr>
            <w:r>
              <w:rPr/>
              <w:t> </w:t>
            </w:r>
          </w:p>
        </w:tc>
        <w:tc>
          <w:tcPr>
            <w:tcW w:w="6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099" w:type="dxa"/>
            <w:tcBorders/>
            <w:shd w:fill="EFF6EA" w:val="clear"/>
            <w:tcMar>
              <w:bottom w:w="0" w:type="dxa"/>
            </w:tcMar>
            <w:vAlign w:val="center"/>
          </w:tcPr>
          <w:p>
            <w:pPr>
              <w:pStyle w:val="TableContents"/>
              <w:spacing w:before="0" w:after="283"/>
              <w:jc w:val="right"/>
              <w:rPr/>
            </w:pPr>
            <w:r>
              <w:rPr/>
              <w:t>(2,519,639)</w:t>
            </w:r>
          </w:p>
        </w:tc>
        <w:tc>
          <w:tcPr>
            <w:tcW w:w="60" w:type="dxa"/>
            <w:tcBorders/>
            <w:shd w:fill="EFF6EA" w:val="clear"/>
            <w:tcMar>
              <w:bottom w:w="0" w:type="dxa"/>
            </w:tcMar>
            <w:vAlign w:val="center"/>
          </w:tcPr>
          <w:p>
            <w:pPr>
              <w:pStyle w:val="TableContents"/>
              <w:spacing w:before="0" w:after="283"/>
              <w:jc w:val="right"/>
              <w:rPr/>
            </w:pPr>
            <w:r>
              <w:rPr/>
              <w:t> </w:t>
            </w:r>
          </w:p>
        </w:tc>
        <w:tc>
          <w:tcPr>
            <w:tcW w:w="6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099" w:type="dxa"/>
            <w:tcBorders/>
            <w:shd w:fill="EFF6EA" w:val="clear"/>
            <w:tcMar>
              <w:bottom w:w="0" w:type="dxa"/>
            </w:tcMar>
            <w:vAlign w:val="center"/>
          </w:tcPr>
          <w:p>
            <w:pPr>
              <w:pStyle w:val="TableContents"/>
              <w:spacing w:before="0" w:after="283"/>
              <w:jc w:val="right"/>
              <w:rPr/>
            </w:pPr>
            <w:r>
              <w:rPr/>
              <w:t>(2,027,088)</w:t>
            </w:r>
          </w:p>
        </w:tc>
        <w:tc>
          <w:tcPr>
            <w:tcW w:w="76" w:type="dxa"/>
            <w:tcBorders/>
            <w:shd w:fill="EFF6EA" w:val="clear"/>
            <w:tcMar>
              <w:bottom w:w="0" w:type="dxa"/>
            </w:tcMar>
            <w:vAlign w:val="center"/>
          </w:tcPr>
          <w:p>
            <w:pPr>
              <w:pStyle w:val="TableContents"/>
              <w:spacing w:before="0" w:after="283"/>
              <w:rPr>
                <w:sz w:val="4"/>
                <w:szCs w:val="4"/>
              </w:rPr>
            </w:pPr>
            <w:r>
              <w:rPr>
                <w:sz w:val="4"/>
                <w:szCs w:val="4"/>
              </w:rPr>
            </w:r>
          </w:p>
        </w:tc>
      </w:tr>
      <w:tr>
        <w:trPr/>
        <w:tc>
          <w:tcPr>
            <w:tcW w:w="6112" w:type="dxa"/>
            <w:tcBorders/>
            <w:shd w:fill="auto" w:val="clear"/>
            <w:tcMar>
              <w:bottom w:w="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caps w:val="false"/>
                <w:smallCaps w:val="false"/>
                <w:sz w:val="18"/>
              </w:rPr>
              <w:t xml:space="preserve">Plus, </w:t>
            </w:r>
            <w:r>
              <w:rPr>
                <w:rFonts w:ascii="Arial;Helvetica;Sans-Serif" w:hAnsi="Arial;Helvetica;Sans-Serif"/>
                <w:b w:val="false"/>
                <w:i w:val="false"/>
                <w:caps w:val="false"/>
                <w:smallCaps w:val="false"/>
                <w:sz w:val="18"/>
              </w:rPr>
              <w:t>year end fair value of outstanding and unvested equity awards granted during the year</w:t>
            </w:r>
            <w:r>
              <w:rPr>
                <w:rFonts w:ascii="Arial;Helvetica;Sans-Serif" w:hAnsi="Arial;Helvetica;Sans-Serif"/>
                <w:b w:val="false"/>
                <w:i w:val="false"/>
                <w:caps w:val="false"/>
                <w:smallCaps w:val="false"/>
                <w:position w:val="6"/>
                <w:sz w:val="14"/>
                <w:sz w:val="18"/>
              </w:rPr>
              <w:t>(a)</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1099" w:type="dxa"/>
            <w:tcBorders/>
            <w:shd w:fill="auto" w:val="clear"/>
            <w:tcMar>
              <w:bottom w:w="0" w:type="dxa"/>
            </w:tcMar>
            <w:vAlign w:val="center"/>
          </w:tcPr>
          <w:p>
            <w:pPr>
              <w:pStyle w:val="TableContents"/>
              <w:spacing w:before="0" w:after="283"/>
              <w:jc w:val="right"/>
              <w:rPr/>
            </w:pPr>
            <w:r>
              <w:rPr/>
              <w:t>1,264,910</w:t>
            </w:r>
          </w:p>
        </w:tc>
        <w:tc>
          <w:tcPr>
            <w:tcW w:w="60"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1099" w:type="dxa"/>
            <w:tcBorders/>
            <w:shd w:fill="auto" w:val="clear"/>
            <w:tcMar>
              <w:bottom w:w="0" w:type="dxa"/>
            </w:tcMar>
            <w:vAlign w:val="center"/>
          </w:tcPr>
          <w:p>
            <w:pPr>
              <w:pStyle w:val="TableContents"/>
              <w:spacing w:before="0" w:after="283"/>
              <w:jc w:val="right"/>
              <w:rPr/>
            </w:pPr>
            <w:r>
              <w:rPr/>
              <w:t>1,268,695</w:t>
            </w:r>
          </w:p>
        </w:tc>
        <w:tc>
          <w:tcPr>
            <w:tcW w:w="60"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1099" w:type="dxa"/>
            <w:tcBorders/>
            <w:shd w:fill="auto" w:val="clear"/>
            <w:tcMar>
              <w:bottom w:w="0" w:type="dxa"/>
            </w:tcMar>
            <w:vAlign w:val="center"/>
          </w:tcPr>
          <w:p>
            <w:pPr>
              <w:pStyle w:val="TableContents"/>
              <w:spacing w:before="0" w:after="283"/>
              <w:jc w:val="right"/>
              <w:rPr/>
            </w:pPr>
            <w:r>
              <w:rPr/>
              <w:t>4,150,071</w:t>
            </w:r>
          </w:p>
        </w:tc>
        <w:tc>
          <w:tcPr>
            <w:tcW w:w="76" w:type="dxa"/>
            <w:tcBorders/>
            <w:shd w:fill="auto" w:val="clear"/>
            <w:tcMar>
              <w:bottom w:w="0" w:type="dxa"/>
            </w:tcMar>
            <w:vAlign w:val="center"/>
          </w:tcPr>
          <w:p>
            <w:pPr>
              <w:pStyle w:val="TableContents"/>
              <w:spacing w:before="0" w:after="283"/>
              <w:jc w:val="left"/>
              <w:rPr/>
            </w:pPr>
            <w:r>
              <w:rPr/>
              <w:t> </w:t>
            </w:r>
          </w:p>
        </w:tc>
      </w:tr>
      <w:tr>
        <w:trPr/>
        <w:tc>
          <w:tcPr>
            <w:tcW w:w="6112" w:type="dxa"/>
            <w:tcBorders/>
            <w:shd w:fill="EFF6EA" w:val="clear"/>
            <w:tcMar>
              <w:bottom w:w="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caps w:val="false"/>
                <w:smallCaps w:val="false"/>
                <w:sz w:val="18"/>
              </w:rPr>
              <w:t xml:space="preserve">Plus (less), </w:t>
            </w:r>
            <w:r>
              <w:rPr>
                <w:rFonts w:ascii="Arial;Helvetica;Sans-Serif" w:hAnsi="Arial;Helvetica;Sans-Serif"/>
                <w:b w:val="false"/>
                <w:i w:val="false"/>
                <w:caps w:val="false"/>
                <w:smallCaps w:val="false"/>
                <w:sz w:val="18"/>
              </w:rPr>
              <w:t>year over year change in fair value of outstanding and unvested equity awards granted in prior years</w:t>
            </w:r>
            <w:r>
              <w:rPr>
                <w:rFonts w:ascii="Arial;Helvetica;Sans-Serif" w:hAnsi="Arial;Helvetica;Sans-Serif"/>
                <w:b w:val="false"/>
                <w:i w:val="false"/>
                <w:caps w:val="false"/>
                <w:smallCaps w:val="false"/>
                <w:position w:val="6"/>
                <w:sz w:val="14"/>
                <w:sz w:val="18"/>
              </w:rPr>
              <w:t>(b)</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1099" w:type="dxa"/>
            <w:tcBorders/>
            <w:shd w:fill="EFF6EA" w:val="clear"/>
            <w:tcMar>
              <w:bottom w:w="0" w:type="dxa"/>
            </w:tcMar>
            <w:vAlign w:val="center"/>
          </w:tcPr>
          <w:p>
            <w:pPr>
              <w:pStyle w:val="TableContents"/>
              <w:spacing w:before="0" w:after="283"/>
              <w:jc w:val="right"/>
              <w:rPr/>
            </w:pPr>
            <w:r>
              <w:rPr/>
              <w:t>(784,234)</w:t>
            </w:r>
          </w:p>
        </w:tc>
        <w:tc>
          <w:tcPr>
            <w:tcW w:w="60" w:type="dxa"/>
            <w:tcBorders/>
            <w:shd w:fill="EFF6EA" w:val="clear"/>
            <w:tcMar>
              <w:bottom w:w="0" w:type="dxa"/>
            </w:tcMar>
            <w:vAlign w:val="center"/>
          </w:tcPr>
          <w:p>
            <w:pPr>
              <w:pStyle w:val="TableContents"/>
              <w:spacing w:before="0" w:after="283"/>
              <w:jc w:val="right"/>
              <w:rPr/>
            </w:pPr>
            <w:r>
              <w:rPr/>
              <w:t> </w:t>
            </w:r>
          </w:p>
        </w:tc>
        <w:tc>
          <w:tcPr>
            <w:tcW w:w="6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099" w:type="dxa"/>
            <w:tcBorders/>
            <w:shd w:fill="EFF6EA" w:val="clear"/>
            <w:tcMar>
              <w:bottom w:w="0" w:type="dxa"/>
            </w:tcMar>
            <w:vAlign w:val="center"/>
          </w:tcPr>
          <w:p>
            <w:pPr>
              <w:pStyle w:val="TableContents"/>
              <w:spacing w:before="0" w:after="283"/>
              <w:jc w:val="right"/>
              <w:rPr/>
            </w:pPr>
            <w:r>
              <w:rPr/>
              <w:t>(2,359,539)</w:t>
            </w:r>
          </w:p>
        </w:tc>
        <w:tc>
          <w:tcPr>
            <w:tcW w:w="60" w:type="dxa"/>
            <w:tcBorders/>
            <w:shd w:fill="EFF6EA" w:val="clear"/>
            <w:tcMar>
              <w:bottom w:w="0" w:type="dxa"/>
            </w:tcMar>
            <w:vAlign w:val="center"/>
          </w:tcPr>
          <w:p>
            <w:pPr>
              <w:pStyle w:val="TableContents"/>
              <w:spacing w:before="0" w:after="283"/>
              <w:jc w:val="right"/>
              <w:rPr/>
            </w:pPr>
            <w:r>
              <w:rPr/>
              <w:t> </w:t>
            </w:r>
          </w:p>
        </w:tc>
        <w:tc>
          <w:tcPr>
            <w:tcW w:w="6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099" w:type="dxa"/>
            <w:tcBorders/>
            <w:shd w:fill="EFF6EA" w:val="clear"/>
            <w:tcMar>
              <w:bottom w:w="0" w:type="dxa"/>
            </w:tcMar>
            <w:vAlign w:val="center"/>
          </w:tcPr>
          <w:p>
            <w:pPr>
              <w:pStyle w:val="TableContents"/>
              <w:spacing w:before="0" w:after="283"/>
              <w:jc w:val="right"/>
              <w:rPr/>
            </w:pPr>
            <w:r>
              <w:rPr/>
              <w:t>2,748,610</w:t>
            </w:r>
          </w:p>
        </w:tc>
        <w:tc>
          <w:tcPr>
            <w:tcW w:w="76" w:type="dxa"/>
            <w:tcBorders/>
            <w:shd w:fill="EFF6EA" w:val="clear"/>
            <w:tcMar>
              <w:bottom w:w="0" w:type="dxa"/>
            </w:tcMar>
            <w:vAlign w:val="center"/>
          </w:tcPr>
          <w:p>
            <w:pPr>
              <w:pStyle w:val="TableContents"/>
              <w:spacing w:before="0" w:after="283"/>
              <w:jc w:val="left"/>
              <w:rPr/>
            </w:pPr>
            <w:r>
              <w:rPr/>
              <w:t> </w:t>
            </w:r>
          </w:p>
        </w:tc>
      </w:tr>
      <w:tr>
        <w:trPr/>
        <w:tc>
          <w:tcPr>
            <w:tcW w:w="6112" w:type="dxa"/>
            <w:tcBorders/>
            <w:shd w:fill="auto" w:val="clear"/>
            <w:tcMar>
              <w:bottom w:w="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caps w:val="false"/>
                <w:smallCaps w:val="false"/>
                <w:sz w:val="18"/>
              </w:rPr>
              <w:t xml:space="preserve">Plus (less), </w:t>
            </w:r>
            <w:r>
              <w:rPr>
                <w:rFonts w:ascii="Arial;Helvetica;Sans-Serif" w:hAnsi="Arial;Helvetica;Sans-Serif"/>
                <w:b w:val="false"/>
                <w:i w:val="false"/>
                <w:caps w:val="false"/>
                <w:smallCaps w:val="false"/>
                <w:sz w:val="18"/>
              </w:rPr>
              <w:t>year over year change in fair value of equity awards granted in prior years that vested in the year</w:t>
            </w:r>
            <w:r>
              <w:rPr>
                <w:rFonts w:ascii="Arial;Helvetica;Sans-Serif" w:hAnsi="Arial;Helvetica;Sans-Serif"/>
                <w:b w:val="false"/>
                <w:i w:val="false"/>
                <w:caps w:val="false"/>
                <w:smallCaps w:val="false"/>
                <w:position w:val="6"/>
                <w:sz w:val="14"/>
                <w:sz w:val="18"/>
              </w:rPr>
              <w:t>(c)</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1099" w:type="dxa"/>
            <w:tcBorders/>
            <w:shd w:fill="auto" w:val="clear"/>
            <w:tcMar>
              <w:bottom w:w="0" w:type="dxa"/>
            </w:tcMar>
            <w:vAlign w:val="center"/>
          </w:tcPr>
          <w:p>
            <w:pPr>
              <w:pStyle w:val="TableContents"/>
              <w:spacing w:before="0" w:after="283"/>
              <w:jc w:val="right"/>
              <w:rPr/>
            </w:pPr>
            <w:r>
              <w:rPr/>
              <w:t>(573,020)</w:t>
            </w:r>
          </w:p>
        </w:tc>
        <w:tc>
          <w:tcPr>
            <w:tcW w:w="60"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1099" w:type="dxa"/>
            <w:tcBorders/>
            <w:shd w:fill="auto" w:val="clear"/>
            <w:tcMar>
              <w:bottom w:w="0" w:type="dxa"/>
            </w:tcMar>
            <w:vAlign w:val="center"/>
          </w:tcPr>
          <w:p>
            <w:pPr>
              <w:pStyle w:val="TableContents"/>
              <w:spacing w:before="0" w:after="283"/>
              <w:jc w:val="right"/>
              <w:rPr/>
            </w:pPr>
            <w:r>
              <w:rPr/>
              <w:t>(915,411)</w:t>
            </w:r>
          </w:p>
        </w:tc>
        <w:tc>
          <w:tcPr>
            <w:tcW w:w="60"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40" w:type="dxa"/>
            <w:tcBorders/>
            <w:shd w:fill="auto" w:val="clear"/>
            <w:tcMar>
              <w:bottom w:w="0" w:type="dxa"/>
            </w:tcMar>
            <w:vAlign w:val="center"/>
          </w:tcPr>
          <w:p>
            <w:pPr>
              <w:pStyle w:val="TableContents"/>
              <w:spacing w:before="0" w:after="283"/>
              <w:jc w:val="right"/>
              <w:rPr/>
            </w:pPr>
            <w:r>
              <w:rPr/>
              <w:t> </w:t>
            </w:r>
          </w:p>
        </w:tc>
        <w:tc>
          <w:tcPr>
            <w:tcW w:w="1099" w:type="dxa"/>
            <w:tcBorders/>
            <w:shd w:fill="auto" w:val="clear"/>
            <w:tcMar>
              <w:bottom w:w="0" w:type="dxa"/>
            </w:tcMar>
            <w:vAlign w:val="center"/>
          </w:tcPr>
          <w:p>
            <w:pPr>
              <w:pStyle w:val="TableContents"/>
              <w:spacing w:before="0" w:after="283"/>
              <w:jc w:val="right"/>
              <w:rPr/>
            </w:pPr>
            <w:r>
              <w:rPr/>
              <w:t>437,305</w:t>
            </w:r>
          </w:p>
        </w:tc>
        <w:tc>
          <w:tcPr>
            <w:tcW w:w="76" w:type="dxa"/>
            <w:tcBorders/>
            <w:shd w:fill="auto" w:val="clear"/>
            <w:tcMar>
              <w:bottom w:w="0" w:type="dxa"/>
            </w:tcMar>
            <w:vAlign w:val="center"/>
          </w:tcPr>
          <w:p>
            <w:pPr>
              <w:pStyle w:val="TableContents"/>
              <w:spacing w:before="0" w:after="283"/>
              <w:jc w:val="left"/>
              <w:rPr/>
            </w:pPr>
            <w:r>
              <w:rPr/>
              <w:t> </w:t>
            </w:r>
          </w:p>
        </w:tc>
      </w:tr>
      <w:tr>
        <w:trPr/>
        <w:tc>
          <w:tcPr>
            <w:tcW w:w="6112" w:type="dxa"/>
            <w:tcBorders/>
            <w:shd w:fill="EFF6EA" w:val="clear"/>
            <w:tcMar>
              <w:bottom w:w="0" w:type="dxa"/>
            </w:tcMar>
            <w:vAlign w:val="center"/>
          </w:tcPr>
          <w:p>
            <w:pPr>
              <w:pStyle w:val="TableContents"/>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caps w:val="false"/>
                <w:smallCaps w:val="false"/>
                <w:sz w:val="18"/>
              </w:rPr>
              <w:t xml:space="preserve">Less, </w:t>
            </w:r>
            <w:r>
              <w:rPr>
                <w:rFonts w:ascii="Arial;Helvetica;Sans-Serif" w:hAnsi="Arial;Helvetica;Sans-Serif"/>
                <w:b w:val="false"/>
                <w:i w:val="false"/>
                <w:caps w:val="false"/>
                <w:smallCaps w:val="false"/>
                <w:sz w:val="18"/>
              </w:rPr>
              <w:t>prior year-end fair value of any equity awards that failed to meet vesting conditions in the year</w:t>
            </w:r>
            <w:r>
              <w:rPr>
                <w:rFonts w:ascii="Arial;Helvetica;Sans-Serif" w:hAnsi="Arial;Helvetica;Sans-Serif"/>
                <w:b w:val="false"/>
                <w:i w:val="false"/>
                <w:caps w:val="false"/>
                <w:smallCaps w:val="false"/>
                <w:position w:val="6"/>
                <w:sz w:val="14"/>
                <w:sz w:val="18"/>
              </w:rPr>
              <w:t>(d)</w:t>
            </w:r>
          </w:p>
        </w:tc>
        <w:tc>
          <w:tcPr>
            <w:tcW w:w="60" w:type="dxa"/>
            <w:tcBorders/>
            <w:shd w:fill="EFF6EA" w:val="clear"/>
            <w:tcMar>
              <w:bottom w:w="0" w:type="dxa"/>
            </w:tcMar>
            <w:vAlign w:val="center"/>
          </w:tcPr>
          <w:p>
            <w:pPr>
              <w:pStyle w:val="TableContents"/>
              <w:spacing w:before="0" w:after="283"/>
              <w:rPr/>
            </w:pPr>
            <w:r>
              <w:rPr/>
              <w:t> </w:t>
            </w:r>
          </w:p>
        </w:tc>
        <w:tc>
          <w:tcPr>
            <w:tcW w:w="140" w:type="dxa"/>
            <w:tcBorders/>
            <w:shd w:fill="EFF6EA" w:val="clear"/>
            <w:tcMar>
              <w:bottom w:w="0" w:type="dxa"/>
            </w:tcMar>
            <w:vAlign w:val="center"/>
          </w:tcPr>
          <w:p>
            <w:pPr>
              <w:pStyle w:val="TableContents"/>
              <w:spacing w:before="0" w:after="283"/>
              <w:jc w:val="left"/>
              <w:rPr/>
            </w:pPr>
            <w:r>
              <w:rPr/>
              <w:t> </w:t>
            </w:r>
          </w:p>
        </w:tc>
        <w:tc>
          <w:tcPr>
            <w:tcW w:w="1099" w:type="dxa"/>
            <w:tcBorders/>
            <w:shd w:fill="EFF6EA" w:val="clear"/>
            <w:tcMar>
              <w:bottom w:w="0" w:type="dxa"/>
            </w:tcMar>
            <w:vAlign w:val="center"/>
          </w:tcPr>
          <w:p>
            <w:pPr>
              <w:pStyle w:val="TableContents"/>
              <w:spacing w:before="0" w:after="283"/>
              <w:jc w:val="right"/>
              <w:rPr/>
            </w:pPr>
            <w:r>
              <w:rPr/>
              <w:t>(864,551)</w:t>
            </w:r>
          </w:p>
        </w:tc>
        <w:tc>
          <w:tcPr>
            <w:tcW w:w="60" w:type="dxa"/>
            <w:tcBorders/>
            <w:shd w:fill="EFF6EA" w:val="clear"/>
            <w:tcMar>
              <w:bottom w:w="0" w:type="dxa"/>
            </w:tcMar>
            <w:vAlign w:val="center"/>
          </w:tcPr>
          <w:p>
            <w:pPr>
              <w:pStyle w:val="TableContents"/>
              <w:spacing w:before="0" w:after="283"/>
              <w:jc w:val="right"/>
              <w:rPr/>
            </w:pPr>
            <w:r>
              <w:rPr/>
              <w:t> </w:t>
            </w:r>
          </w:p>
        </w:tc>
        <w:tc>
          <w:tcPr>
            <w:tcW w:w="6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099" w:type="dxa"/>
            <w:tcBorders/>
            <w:shd w:fill="EFF6EA" w:val="clear"/>
            <w:tcMar>
              <w:bottom w:w="0" w:type="dxa"/>
            </w:tcMar>
            <w:vAlign w:val="center"/>
          </w:tcPr>
          <w:p>
            <w:pPr>
              <w:pStyle w:val="TableContents"/>
              <w:spacing w:before="0" w:after="283"/>
              <w:jc w:val="right"/>
              <w:rPr/>
            </w:pPr>
            <w:r>
              <w:rPr/>
              <w:t>—</w:t>
            </w:r>
          </w:p>
        </w:tc>
        <w:tc>
          <w:tcPr>
            <w:tcW w:w="60" w:type="dxa"/>
            <w:tcBorders/>
            <w:shd w:fill="EFF6EA" w:val="clear"/>
            <w:tcMar>
              <w:bottom w:w="0" w:type="dxa"/>
            </w:tcMar>
            <w:vAlign w:val="center"/>
          </w:tcPr>
          <w:p>
            <w:pPr>
              <w:pStyle w:val="TableContents"/>
              <w:spacing w:before="0" w:after="283"/>
              <w:jc w:val="right"/>
              <w:rPr/>
            </w:pPr>
            <w:r>
              <w:rPr/>
              <w:t> </w:t>
            </w:r>
          </w:p>
        </w:tc>
        <w:tc>
          <w:tcPr>
            <w:tcW w:w="60" w:type="dxa"/>
            <w:tcBorders/>
            <w:shd w:fill="EFF6EA" w:val="clear"/>
            <w:tcMar>
              <w:bottom w:w="0" w:type="dxa"/>
            </w:tcMar>
            <w:vAlign w:val="center"/>
          </w:tcPr>
          <w:p>
            <w:pPr>
              <w:pStyle w:val="TableContents"/>
              <w:spacing w:before="0" w:after="283"/>
              <w:jc w:val="right"/>
              <w:rPr/>
            </w:pPr>
            <w:r>
              <w:rPr/>
              <w:t> </w:t>
            </w:r>
          </w:p>
        </w:tc>
        <w:tc>
          <w:tcPr>
            <w:tcW w:w="140" w:type="dxa"/>
            <w:tcBorders/>
            <w:shd w:fill="EFF6EA" w:val="clear"/>
            <w:tcMar>
              <w:bottom w:w="0" w:type="dxa"/>
            </w:tcMar>
            <w:vAlign w:val="center"/>
          </w:tcPr>
          <w:p>
            <w:pPr>
              <w:pStyle w:val="TableContents"/>
              <w:spacing w:before="0" w:after="283"/>
              <w:jc w:val="right"/>
              <w:rPr/>
            </w:pPr>
            <w:r>
              <w:rPr/>
              <w:t> </w:t>
            </w:r>
          </w:p>
        </w:tc>
        <w:tc>
          <w:tcPr>
            <w:tcW w:w="1099" w:type="dxa"/>
            <w:tcBorders/>
            <w:shd w:fill="EFF6EA" w:val="clear"/>
            <w:tcMar>
              <w:bottom w:w="0" w:type="dxa"/>
            </w:tcMar>
            <w:vAlign w:val="center"/>
          </w:tcPr>
          <w:p>
            <w:pPr>
              <w:pStyle w:val="TableContents"/>
              <w:spacing w:before="0" w:after="283"/>
              <w:jc w:val="right"/>
              <w:rPr/>
            </w:pPr>
            <w:r>
              <w:rPr/>
              <w:t>—</w:t>
            </w:r>
          </w:p>
        </w:tc>
        <w:tc>
          <w:tcPr>
            <w:tcW w:w="76" w:type="dxa"/>
            <w:tcBorders/>
            <w:shd w:fill="EFF6EA" w:val="clear"/>
            <w:tcMar>
              <w:bottom w:w="0" w:type="dxa"/>
            </w:tcMar>
            <w:vAlign w:val="center"/>
          </w:tcPr>
          <w:p>
            <w:pPr>
              <w:pStyle w:val="TableContents"/>
              <w:spacing w:before="0" w:after="283"/>
              <w:jc w:val="left"/>
              <w:rPr/>
            </w:pPr>
            <w:r>
              <w:rPr/>
              <w:t> </w:t>
            </w:r>
          </w:p>
        </w:tc>
      </w:tr>
      <w:tr>
        <w:trPr/>
        <w:tc>
          <w:tcPr>
            <w:tcW w:w="6112" w:type="dxa"/>
            <w:tcBorders>
              <w:bottom w:val="single" w:sz="12" w:space="0" w:color="7CBC3E"/>
            </w:tcBorders>
            <w:shd w:fill="auto" w:val="clear"/>
            <w:vAlign w:val="center"/>
          </w:tcPr>
          <w:p>
            <w:pPr>
              <w:pStyle w:val="TableContents"/>
              <w:spacing w:before="0" w:after="283"/>
              <w:jc w:val="left"/>
              <w:rPr>
                <w:b/>
              </w:rPr>
            </w:pPr>
            <w:r>
              <w:rPr>
                <w:b/>
              </w:rPr>
              <w:t>Compensation Actually Paid to Non-PEO NEOs</w:t>
            </w:r>
          </w:p>
        </w:tc>
        <w:tc>
          <w:tcPr>
            <w:tcW w:w="60" w:type="dxa"/>
            <w:tcBorders>
              <w:bottom w:val="single" w:sz="12" w:space="0" w:color="7CBC3E"/>
            </w:tcBorders>
            <w:shd w:fill="auto" w:val="clear"/>
            <w:vAlign w:val="center"/>
          </w:tcPr>
          <w:p>
            <w:pPr>
              <w:pStyle w:val="TableContents"/>
              <w:spacing w:before="0" w:after="283"/>
              <w:rPr/>
            </w:pPr>
            <w:r>
              <w:rPr/>
              <w:t> </w:t>
            </w:r>
          </w:p>
        </w:tc>
        <w:tc>
          <w:tcPr>
            <w:tcW w:w="140" w:type="dxa"/>
            <w:tcBorders>
              <w:bottom w:val="single" w:sz="12" w:space="0" w:color="7CBC3E"/>
            </w:tcBorders>
            <w:shd w:fill="auto" w:val="clear"/>
            <w:vAlign w:val="center"/>
          </w:tcPr>
          <w:p>
            <w:pPr>
              <w:pStyle w:val="TableContents"/>
              <w:spacing w:before="0" w:after="283"/>
              <w:jc w:val="left"/>
              <w:rPr>
                <w:b/>
              </w:rPr>
            </w:pPr>
            <w:r>
              <w:rPr>
                <w:b/>
              </w:rPr>
              <w:t>$</w:t>
            </w:r>
          </w:p>
        </w:tc>
        <w:tc>
          <w:tcPr>
            <w:tcW w:w="1099" w:type="dxa"/>
            <w:tcBorders>
              <w:bottom w:val="single" w:sz="12" w:space="0" w:color="7CBC3E"/>
            </w:tcBorders>
            <w:shd w:fill="auto" w:val="clear"/>
            <w:vAlign w:val="center"/>
          </w:tcPr>
          <w:p>
            <w:pPr>
              <w:pStyle w:val="TableContents"/>
              <w:spacing w:before="0" w:after="283"/>
              <w:jc w:val="right"/>
              <w:rPr>
                <w:b/>
              </w:rPr>
            </w:pPr>
            <w:r>
              <w:rPr>
                <w:b/>
              </w:rPr>
              <w:t>(175,590)</w:t>
            </w:r>
          </w:p>
        </w:tc>
        <w:tc>
          <w:tcPr>
            <w:tcW w:w="60" w:type="dxa"/>
            <w:tcBorders>
              <w:bottom w:val="single" w:sz="12" w:space="0" w:color="7CBC3E"/>
            </w:tcBorders>
            <w:shd w:fill="auto" w:val="clear"/>
            <w:vAlign w:val="center"/>
          </w:tcPr>
          <w:p>
            <w:pPr>
              <w:pStyle w:val="TableContents"/>
              <w:spacing w:before="0" w:after="283"/>
              <w:jc w:val="left"/>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40" w:type="dxa"/>
            <w:tcBorders>
              <w:bottom w:val="single" w:sz="12" w:space="0" w:color="7CBC3E"/>
            </w:tcBorders>
            <w:shd w:fill="auto" w:val="clear"/>
            <w:vAlign w:val="center"/>
          </w:tcPr>
          <w:p>
            <w:pPr>
              <w:pStyle w:val="TableContents"/>
              <w:spacing w:before="0" w:after="283"/>
              <w:jc w:val="left"/>
              <w:rPr>
                <w:b/>
              </w:rPr>
            </w:pPr>
            <w:r>
              <w:rPr>
                <w:b/>
              </w:rPr>
              <w:t>$</w:t>
            </w:r>
          </w:p>
        </w:tc>
        <w:tc>
          <w:tcPr>
            <w:tcW w:w="1099" w:type="dxa"/>
            <w:tcBorders>
              <w:bottom w:val="single" w:sz="12" w:space="0" w:color="7CBC3E"/>
            </w:tcBorders>
            <w:shd w:fill="auto" w:val="clear"/>
            <w:vAlign w:val="center"/>
          </w:tcPr>
          <w:p>
            <w:pPr>
              <w:pStyle w:val="TableContents"/>
              <w:spacing w:before="0" w:after="283"/>
              <w:jc w:val="right"/>
              <w:rPr>
                <w:b/>
              </w:rPr>
            </w:pPr>
            <w:r>
              <w:rPr>
                <w:b/>
              </w:rPr>
              <w:t>(1,211,638)</w:t>
            </w:r>
          </w:p>
        </w:tc>
        <w:tc>
          <w:tcPr>
            <w:tcW w:w="60" w:type="dxa"/>
            <w:tcBorders>
              <w:bottom w:val="single" w:sz="12" w:space="0" w:color="7CBC3E"/>
            </w:tcBorders>
            <w:shd w:fill="auto" w:val="clear"/>
            <w:vAlign w:val="center"/>
          </w:tcPr>
          <w:p>
            <w:pPr>
              <w:pStyle w:val="TableContents"/>
              <w:spacing w:before="0" w:after="283"/>
              <w:jc w:val="left"/>
              <w:rPr/>
            </w:pPr>
            <w:r>
              <w:rPr/>
              <w:t> </w:t>
            </w:r>
          </w:p>
        </w:tc>
        <w:tc>
          <w:tcPr>
            <w:tcW w:w="60" w:type="dxa"/>
            <w:tcBorders>
              <w:bottom w:val="single" w:sz="12" w:space="0" w:color="7CBC3E"/>
            </w:tcBorders>
            <w:shd w:fill="auto" w:val="clear"/>
            <w:vAlign w:val="center"/>
          </w:tcPr>
          <w:p>
            <w:pPr>
              <w:pStyle w:val="TableContents"/>
              <w:spacing w:before="0" w:after="283"/>
              <w:rPr/>
            </w:pPr>
            <w:r>
              <w:rPr/>
              <w:t> </w:t>
            </w:r>
          </w:p>
        </w:tc>
        <w:tc>
          <w:tcPr>
            <w:tcW w:w="140" w:type="dxa"/>
            <w:tcBorders>
              <w:bottom w:val="single" w:sz="12" w:space="0" w:color="7CBC3E"/>
            </w:tcBorders>
            <w:shd w:fill="auto" w:val="clear"/>
            <w:vAlign w:val="center"/>
          </w:tcPr>
          <w:p>
            <w:pPr>
              <w:pStyle w:val="TableContents"/>
              <w:spacing w:before="0" w:after="283"/>
              <w:jc w:val="left"/>
              <w:rPr>
                <w:b/>
              </w:rPr>
            </w:pPr>
            <w:r>
              <w:rPr>
                <w:b/>
              </w:rPr>
              <w:t>$</w:t>
            </w:r>
          </w:p>
        </w:tc>
        <w:tc>
          <w:tcPr>
            <w:tcW w:w="1099" w:type="dxa"/>
            <w:tcBorders>
              <w:bottom w:val="single" w:sz="12" w:space="0" w:color="7CBC3E"/>
            </w:tcBorders>
            <w:shd w:fill="auto" w:val="clear"/>
            <w:vAlign w:val="center"/>
          </w:tcPr>
          <w:p>
            <w:pPr>
              <w:pStyle w:val="TableContents"/>
              <w:spacing w:before="0" w:after="283"/>
              <w:jc w:val="right"/>
              <w:rPr>
                <w:b/>
              </w:rPr>
            </w:pPr>
            <w:r>
              <w:rPr>
                <w:b/>
              </w:rPr>
              <w:t>8,015,000</w:t>
            </w:r>
          </w:p>
        </w:tc>
        <w:tc>
          <w:tcPr>
            <w:tcW w:w="76" w:type="dxa"/>
            <w:tcBorders>
              <w:bottom w:val="single" w:sz="12" w:space="0" w:color="7CBC3E"/>
            </w:tcBorders>
            <w:shd w:fill="auto" w:val="clear"/>
            <w:vAlign w:val="center"/>
          </w:tcPr>
          <w:p>
            <w:pPr>
              <w:pStyle w:val="TableContents"/>
              <w:spacing w:before="0" w:after="283"/>
              <w:jc w:val="left"/>
              <w:rPr/>
            </w:pPr>
            <w:r>
              <w:rPr/>
              <w:t> </w:t>
            </w:r>
          </w:p>
        </w:tc>
      </w:tr>
    </w:tbl>
    <w:p>
      <w:pPr>
        <w:pStyle w:val="TextBody"/>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(5)</w:t>
            </w:r>
          </w:p>
        </w:tc>
        <w:tc>
          <w:tcPr>
            <w:tcW w:w="9900" w:type="dxa"/>
            <w:tcBorders/>
            <w:shd w:fill="auto" w:val="clear"/>
            <w:vAlign w:val="center"/>
          </w:tcPr>
          <w:p>
            <w:pPr>
              <w:pStyle w:val="TableContents"/>
              <w:spacing w:before="0" w:after="283"/>
              <w:jc w:val="both"/>
              <w:rPr/>
            </w:pPr>
            <w:r>
              <w:rPr/>
              <w:t>Cumulative TSR is calculated by dividing (a) the sum of (i) the cumulative amount of dividends for the measurement period, assuming dividend reinvestment, and (ii) the difference between the Company’s share price at the end and the beginning of the measurement period by (b) the Company’s share price at the beginning of the measurement period. The beginning of the measurement period for each year in the table is December 31, 2019.</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(6)</w:t>
            </w:r>
          </w:p>
        </w:tc>
        <w:tc>
          <w:tcPr>
            <w:tcW w:w="9900" w:type="dxa"/>
            <w:tcBorders/>
            <w:shd w:fill="auto" w:val="clear"/>
            <w:vAlign w:val="center"/>
          </w:tcPr>
          <w:p>
            <w:pPr>
              <w:pStyle w:val="TableContents"/>
              <w:spacing w:before="0" w:after="283"/>
              <w:jc w:val="both"/>
              <w:rPr/>
            </w:pPr>
            <w:r>
              <w:rPr/>
              <w:t>Represents the weighted peer group TSR, weighted according to the respective companies’ stock market capitalization at the beginning of each period for which a return is indicated. The peer group used for this purpose is the following published industry index: Nasdaq Biotechnology Index.</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(7)</w:t>
            </w:r>
          </w:p>
        </w:tc>
        <w:tc>
          <w:tcPr>
            <w:tcW w:w="9900" w:type="dxa"/>
            <w:tcBorders/>
            <w:shd w:fill="auto" w:val="clear"/>
            <w:vAlign w:val="center"/>
          </w:tcPr>
          <w:p>
            <w:pPr>
              <w:pStyle w:val="TableContents"/>
              <w:spacing w:before="0" w:after="283"/>
              <w:jc w:val="both"/>
              <w:rPr/>
            </w:pPr>
            <w:r>
              <w:rPr/>
              <w:t>The dollar amounts reported represent the amount of net income calculated in accordance with GAAP reflected in the Company’s audited financial statements for the applicable year.</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(8)</w:t>
            </w:r>
          </w:p>
        </w:tc>
        <w:tc>
          <w:tcPr>
            <w:tcW w:w="9900" w:type="dxa"/>
            <w:tcBorders/>
            <w:shd w:fill="auto" w:val="clear"/>
            <w:vAlign w:val="center"/>
          </w:tcPr>
          <w:p>
            <w:pPr>
              <w:pStyle w:val="TableContents"/>
              <w:spacing w:before="0" w:after="283"/>
              <w:jc w:val="both"/>
              <w:rPr/>
            </w:pPr>
            <w:r>
              <w:rPr/>
              <w:t>The dollar amounts reported represent the amount of revenue calculated in accordance with GAAP reflected in the Company’s audited financial statements for the applicable year.</w:t>
            </w:r>
          </w:p>
        </w:tc>
      </w:tr>
    </w:tbl>
    <w:p>
      <w:pPr>
        <w:pStyle w:val="TextBody"/>
        <w:rPr>
          <w:caps w:val="false"/>
          <w:smallCaps w:val="false"/>
        </w:rPr>
      </w:pPr>
      <w:r>
        <w:rPr>
          <w:caps w:val="false"/>
          <w:smallCaps w:val="false"/>
        </w:rPr>
        <w:t> </w:t>
      </w:r>
    </w:p>
    <w:p>
      <w:pPr>
        <w:pStyle w:val="Heading5"/>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Performance Measures</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described in greater detail in “Executive Compensation –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shareholders. The most important performance measures used by the Company to link executive compensation actually paid to the Company’s NEOs, for the most recently completed fiscal year, to the Company’s performance are as follows:</w:t>
      </w:r>
    </w:p>
    <w:p>
      <w:pPr>
        <w:pStyle w:val="TextBody"/>
        <w:rPr>
          <w:caps w:val="false"/>
          <w:smallCaps w:val="false"/>
        </w:rPr>
      </w:pPr>
      <w:r>
        <w:rPr>
          <w:caps w:val="false"/>
          <w:smallCaps w:val="false"/>
        </w:rPr>
        <w:t> </w:t>
      </w:r>
    </w:p>
    <w:tbl>
      <w:tblPr>
        <w:tblW w:w="3775" w:type="dxa"/>
        <w:jc w:val="left"/>
        <w:tblInd w:w="0" w:type="dxa"/>
        <w:tblCellMar>
          <w:top w:w="0" w:type="dxa"/>
          <w:left w:w="0" w:type="dxa"/>
          <w:bottom w:w="0" w:type="dxa"/>
          <w:right w:w="0" w:type="dxa"/>
        </w:tblCellMar>
      </w:tblPr>
      <w:tblGrid>
        <w:gridCol w:w="125"/>
        <w:gridCol w:w="3650"/>
      </w:tblGrid>
      <w:tr>
        <w:trPr/>
        <w:tc>
          <w:tcPr>
            <w:tcW w:w="125" w:type="dxa"/>
            <w:tcBorders/>
            <w:shd w:fill="auto" w:val="clear"/>
            <w:vAlign w:val="center"/>
          </w:tcPr>
          <w:p>
            <w:pPr>
              <w:pStyle w:val="TableContents"/>
              <w:spacing w:before="0" w:after="283"/>
              <w:jc w:val="left"/>
              <w:rPr>
                <w:caps w:val="false"/>
                <w:smallCaps w:val="false"/>
                <w:color w:val="7CBC3E"/>
              </w:rPr>
            </w:pPr>
            <w:r>
              <w:rPr>
                <w:caps w:val="false"/>
                <w:smallCaps w:val="false"/>
                <w:color w:val="7CBC3E"/>
              </w:rPr>
              <w:t>•</w:t>
            </w:r>
          </w:p>
        </w:tc>
        <w:tc>
          <w:tcPr>
            <w:tcW w:w="3650"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Total Revenue </w:t>
            </w:r>
          </w:p>
        </w:tc>
      </w:tr>
      <w:tr>
        <w:trPr/>
        <w:tc>
          <w:tcPr>
            <w:tcW w:w="125" w:type="dxa"/>
            <w:tcBorders/>
            <w:shd w:fill="auto" w:val="clear"/>
            <w:vAlign w:val="center"/>
          </w:tcPr>
          <w:p>
            <w:pPr>
              <w:pStyle w:val="TableContents"/>
              <w:spacing w:before="0" w:after="283"/>
              <w:jc w:val="left"/>
              <w:rPr>
                <w:caps w:val="false"/>
                <w:smallCaps w:val="false"/>
                <w:color w:val="7CBC3E"/>
              </w:rPr>
            </w:pPr>
            <w:r>
              <w:rPr>
                <w:caps w:val="false"/>
                <w:smallCaps w:val="false"/>
                <w:color w:val="7CBC3E"/>
              </w:rPr>
              <w:t>•</w:t>
            </w:r>
          </w:p>
        </w:tc>
        <w:tc>
          <w:tcPr>
            <w:tcW w:w="3650"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Relative Total Stockholder Return </w:t>
            </w:r>
          </w:p>
        </w:tc>
      </w:tr>
      <w:tr>
        <w:trPr/>
        <w:tc>
          <w:tcPr>
            <w:tcW w:w="125" w:type="dxa"/>
            <w:tcBorders/>
            <w:shd w:fill="auto" w:val="clear"/>
            <w:vAlign w:val="center"/>
          </w:tcPr>
          <w:p>
            <w:pPr>
              <w:pStyle w:val="TableContents"/>
              <w:spacing w:before="0" w:after="283"/>
              <w:jc w:val="left"/>
              <w:rPr>
                <w:caps w:val="false"/>
                <w:smallCaps w:val="false"/>
                <w:color w:val="7CBC3E"/>
              </w:rPr>
            </w:pPr>
            <w:r>
              <w:rPr>
                <w:caps w:val="false"/>
                <w:smallCaps w:val="false"/>
                <w:color w:val="7CBC3E"/>
              </w:rPr>
              <w:t>•</w:t>
            </w:r>
          </w:p>
        </w:tc>
        <w:tc>
          <w:tcPr>
            <w:tcW w:w="3650"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Net Cash Used in Operations </w:t>
            </w:r>
          </w:p>
        </w:tc>
      </w:tr>
      <w:tr>
        <w:trPr/>
        <w:tc>
          <w:tcPr>
            <w:tcW w:w="125" w:type="dxa"/>
            <w:tcBorders/>
            <w:shd w:fill="auto" w:val="clear"/>
            <w:vAlign w:val="center"/>
          </w:tcPr>
          <w:p>
            <w:pPr>
              <w:pStyle w:val="TableContents"/>
              <w:spacing w:before="0" w:after="283"/>
              <w:jc w:val="left"/>
              <w:rPr>
                <w:caps w:val="false"/>
                <w:smallCaps w:val="false"/>
                <w:color w:val="7CBC3E"/>
              </w:rPr>
            </w:pPr>
            <w:r>
              <w:rPr>
                <w:caps w:val="false"/>
                <w:smallCaps w:val="false"/>
                <w:color w:val="7CBC3E"/>
              </w:rPr>
              <w:t>•</w:t>
            </w:r>
          </w:p>
        </w:tc>
        <w:tc>
          <w:tcPr>
            <w:tcW w:w="3650"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Clinical Development of Product Candidates</w:t>
            </w:r>
          </w:p>
        </w:tc>
      </w:tr>
    </w:tbl>
    <w:p>
      <w:pPr>
        <w:pStyle w:val="TextBody"/>
        <w:rPr>
          <w:caps w:val="false"/>
          <w:smallCaps w:val="false"/>
        </w:rPr>
      </w:pPr>
      <w:r>
        <w:rPr>
          <w:caps w:val="false"/>
          <w:smallCaps w:val="false"/>
        </w:rPr>
        <w:t> </w:t>
      </w:r>
    </w:p>
    <w:p>
      <w:pPr>
        <w:pStyle w:val="Heading5"/>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Description of the Relationship between Pay and Performance</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described in more detail in the section “Executive Compensation – Compensation Discussion and Analysis,” the Company’s executive compensation program reflects a variable pay-for-performance philosophy. While the Company utilizes several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descriptions of the relationships between information presented in the Pay versus Performance table.</w:t>
      </w:r>
    </w:p>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71</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graphs provide visual representations of the relationship between both the CAP of our PEO and the average CAP of our non-PEO NEOs and our (i) TSR, (ii) net income, and (iii) Revenue.</w:t>
      </w:r>
    </w:p>
    <w:p>
      <w:pPr>
        <w:pStyle w:val="TextBody"/>
        <w:rPr>
          <w:caps w:val="false"/>
          <w:smallCaps w:val="false"/>
        </w:rPr>
      </w:pPr>
      <w:r>
        <w:rPr>
          <w:caps w:val="false"/>
          <w:smallCaps w:val="false"/>
        </w:rPr>
        <w:t> </w:t>
      </w:r>
    </w:p>
    <w:p>
      <w:pPr>
        <w:pStyle w:val="TextBody"/>
        <w:jc w:val="center"/>
        <w:rPr>
          <w:caps w:val="false"/>
          <w:smallCaps w:val="false"/>
        </w:rPr>
      </w:pPr>
      <w:r>
        <w:rPr>
          <w:caps w:val="false"/>
          <w:smallCaps w:val="false"/>
        </w:rPr>
        <w:drawing>
          <wp:inline distT="0" distB="0" distL="0" distR="0">
            <wp:extent cx="5200650" cy="3114675"/>
            <wp:effectExtent l="0" t="0" r="0" b="0"/>
            <wp:docPr id="16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9" descr=""/>
                    <pic:cNvPicPr>
                      <a:picLocks noChangeAspect="1" noChangeArrowheads="1"/>
                    </pic:cNvPicPr>
                  </pic:nvPicPr>
                  <pic:blipFill>
                    <a:blip r:embed="rId170"/>
                    <a:stretch>
                      <a:fillRect/>
                    </a:stretch>
                  </pic:blipFill>
                  <pic:spPr bwMode="auto">
                    <a:xfrm>
                      <a:off x="0" y="0"/>
                      <a:ext cx="5200650" cy="3114675"/>
                    </a:xfrm>
                    <a:prstGeom prst="rect">
                      <a:avLst/>
                    </a:prstGeom>
                  </pic:spPr>
                </pic:pic>
              </a:graphicData>
            </a:graphic>
          </wp:inline>
        </w:drawing>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drawing>
          <wp:inline distT="0" distB="0" distL="0" distR="0">
            <wp:extent cx="5200650" cy="2981325"/>
            <wp:effectExtent l="0" t="0" r="0" b="0"/>
            <wp:docPr id="17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0" descr=""/>
                    <pic:cNvPicPr>
                      <a:picLocks noChangeAspect="1" noChangeArrowheads="1"/>
                    </pic:cNvPicPr>
                  </pic:nvPicPr>
                  <pic:blipFill>
                    <a:blip r:embed="rId171"/>
                    <a:stretch>
                      <a:fillRect/>
                    </a:stretch>
                  </pic:blipFill>
                  <pic:spPr bwMode="auto">
                    <a:xfrm>
                      <a:off x="0" y="0"/>
                      <a:ext cx="5200650" cy="2981325"/>
                    </a:xfrm>
                    <a:prstGeom prst="rect">
                      <a:avLst/>
                    </a:prstGeom>
                  </pic:spPr>
                </pic:pic>
              </a:graphicData>
            </a:graphic>
          </wp:inline>
        </w:drawing>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drawing>
          <wp:inline distT="0" distB="0" distL="0" distR="0">
            <wp:extent cx="5200650" cy="2981325"/>
            <wp:effectExtent l="0" t="0" r="0" b="0"/>
            <wp:docPr id="17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71" descr=""/>
                    <pic:cNvPicPr>
                      <a:picLocks noChangeAspect="1" noChangeArrowheads="1"/>
                    </pic:cNvPicPr>
                  </pic:nvPicPr>
                  <pic:blipFill>
                    <a:blip r:embed="rId172"/>
                    <a:stretch>
                      <a:fillRect/>
                    </a:stretch>
                  </pic:blipFill>
                  <pic:spPr bwMode="auto">
                    <a:xfrm>
                      <a:off x="0" y="0"/>
                      <a:ext cx="5200650" cy="2981325"/>
                    </a:xfrm>
                    <a:prstGeom prst="rect">
                      <a:avLst/>
                    </a:prstGeom>
                  </pic:spPr>
                </pic:pic>
              </a:graphicData>
            </a:graphic>
          </wp:inline>
        </w:drawing>
      </w:r>
    </w:p>
    <w:p>
      <w:pPr>
        <w:pStyle w:val="TextBody"/>
        <w:jc w:val="center"/>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72</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2"/>
        <w:rPr>
          <w:rFonts w:ascii="Arial;Helvetica;Sans-Serif" w:hAnsi="Arial;Helvetica;Sans-Serif"/>
          <w:b/>
          <w:i w:val="false"/>
          <w:caps w:val="false"/>
          <w:smallCaps w:val="false"/>
          <w:color w:val="7CBC3E"/>
          <w:sz w:val="40"/>
        </w:rPr>
      </w:pPr>
      <w:bookmarkStart w:id="119" w:name="lrarea106"/>
      <w:bookmarkEnd w:id="119"/>
      <w:r>
        <w:rPr>
          <w:rFonts w:ascii="Arial;Helvetica;Sans-Serif" w:hAnsi="Arial;Helvetica;Sans-Serif"/>
          <w:b/>
          <w:i w:val="false"/>
          <w:caps w:val="false"/>
          <w:smallCaps w:val="false"/>
          <w:color w:val="7CBC3E"/>
          <w:sz w:val="40"/>
        </w:rPr>
        <w:t>Additional Information</w:t>
      </w:r>
    </w:p>
    <w:p>
      <w:pPr>
        <w:pStyle w:val="TextBody"/>
        <w:rPr>
          <w:caps w:val="false"/>
          <w:smallCaps w:val="false"/>
        </w:rPr>
      </w:pPr>
      <w:r>
        <w:rPr>
          <w:caps w:val="false"/>
          <w:smallCaps w:val="false"/>
        </w:rPr>
        <w:t> </w:t>
      </w:r>
    </w:p>
    <w:p>
      <w:pPr>
        <w:pStyle w:val="Heading3"/>
        <w:rPr>
          <w:rFonts w:ascii="Arial;Helvetica;Sans-Serif" w:hAnsi="Arial;Helvetica;Sans-Serif"/>
          <w:b/>
          <w:i w:val="false"/>
          <w:caps w:val="false"/>
          <w:smallCaps w:val="false"/>
          <w:sz w:val="28"/>
        </w:rPr>
      </w:pPr>
      <w:bookmarkStart w:id="120" w:name="lrarea107"/>
      <w:bookmarkEnd w:id="120"/>
      <w:r>
        <w:rPr>
          <w:rFonts w:ascii="Arial;Helvetica;Sans-Serif" w:hAnsi="Arial;Helvetica;Sans-Serif"/>
          <w:b/>
          <w:i w:val="false"/>
          <w:caps w:val="false"/>
          <w:smallCaps w:val="false"/>
          <w:sz w:val="28"/>
        </w:rPr>
        <w:t>Questions and Answers About these Proxy Materials and Voting</w:t>
      </w:r>
    </w:p>
    <w:p>
      <w:pPr>
        <w:pStyle w:val="TextBody"/>
        <w:rPr>
          <w:caps w:val="false"/>
          <w:smallCaps w:val="false"/>
        </w:rPr>
      </w:pPr>
      <w:r>
        <w:rPr>
          <w:caps w:val="false"/>
          <w:smallCaps w:val="false"/>
        </w:rPr>
        <w:t> </w:t>
      </w:r>
    </w:p>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Why did I receive a one-page notice in the mail regarding the Internet availability of proxy materials instead of a full set of proxy materials?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Pursuant to rules adopted by the SEC, we have elected to provide access to our proxy materials over the Internet. Accordingly, we are sending an Important Notice Regarding the Availability of Proxy Materials (the Notice of Internet Availability) to our stockholders of record. All stockholders will have the ability to access the proxy materials on the website referred to in the Notice of Internet Availability free of charge or request to receive a printed set of the proxy materials for the Annual Meeting. Instructions on how to access the proxy materials over the Internet or to request a printed copy may be found in the Notice of Internet Availability.</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intend to mail the Notice of Internet Availability beginning on or about April 24, 2023 to all stockholders of record entitled to vote at the Annual Meeting.</w:t>
      </w:r>
    </w:p>
    <w:p>
      <w:pPr>
        <w:pStyle w:val="TextBody"/>
        <w:jc w:val="both"/>
        <w:rPr>
          <w:caps w:val="false"/>
          <w:smallCaps w:val="false"/>
        </w:rPr>
      </w:pPr>
      <w:r>
        <w:rPr>
          <w:caps w:val="false"/>
          <w:smallCaps w:val="false"/>
        </w:rPr>
        <w:t> </w:t>
      </w:r>
    </w:p>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What if I received more than one Notice of Internet Availability?</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receive more than one Notice of Internet Availability, your shares may be registered in more than one name or are registered in different accounts. Please follow the voting instructions on each Notice of Internet Availability and cast your vote with respect to each set of proxy materials to ensure that all of your shares are voted.</w:t>
      </w:r>
    </w:p>
    <w:p>
      <w:pPr>
        <w:pStyle w:val="TextBody"/>
        <w:jc w:val="both"/>
        <w:rPr>
          <w:caps w:val="false"/>
          <w:smallCaps w:val="false"/>
        </w:rPr>
      </w:pPr>
      <w:r>
        <w:rPr>
          <w:caps w:val="false"/>
          <w:smallCaps w:val="false"/>
        </w:rPr>
        <w:t> </w:t>
      </w:r>
    </w:p>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When and where will the Annual Meeting be held?</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The Annual Meeting will be held on June 7, 2023, at 8:00 a.m. Pacific Time virtually via the Internet at </w:t>
      </w:r>
      <w:r>
        <w:rPr>
          <w:rFonts w:ascii="Arial;Helvetica;Sans-Serif" w:hAnsi="Arial;Helvetica;Sans-Serif"/>
          <w:b w:val="false"/>
          <w:i/>
          <w:caps w:val="false"/>
          <w:smallCaps w:val="false"/>
          <w:sz w:val="18"/>
        </w:rPr>
        <w:t xml:space="preserve">www.virtualshareholdermeeting.com/RARE2023. </w:t>
      </w:r>
      <w:r>
        <w:rPr>
          <w:rFonts w:ascii="Arial;Helvetica;Sans-Serif" w:hAnsi="Arial;Helvetica;Sans-Serif"/>
          <w:b w:val="false"/>
          <w:i w:val="false"/>
          <w:caps w:val="false"/>
          <w:smallCaps w:val="false"/>
          <w:sz w:val="18"/>
        </w:rPr>
        <w:t>We conduct the Annual Meeting virtually via the Internet to facilitate stockholder attendance and participation and have done so every year since our initial public offering. We believe the virtual format for the Annual Meeting enhances stockholder access by allowing our stockholders to participate fully, and equally, from any location around the world at no cost. Taking advantage of this virtual approach reduces our expenses and eliminates the time we would otherwise spend managing the various aspects of holding a physical meeting. We believe the virtual format is the right choice for us, not only because it brings cost savings to us and our stockholders, but because it increases our ability to engage with all stockholders, regardless of size, resources, or physical location.</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We are aware of concerns that virtual meetings may diminish stockholder voice or reduce accountability and have taken steps to address these concerns. For example, we believe that our virtual meeting format enhances, rather than constrains, stockholder access, participation, and communication because the online format allows stockholders to communicate with us during the Annual Meeting. Stockholders can ask questions of our Board, management, and a representative from our independent registered public accounting firm during the meeting. During the live Q&amp;A session, we will answer questions as they come in, as time permits, and in accordance with the meeting rules of conduct that will be available at the virtual meeting website. Following the Annual Meeting, we are committed to publishing and answering any questions received. Although the live webcast is available only to stockholders as of the Record Date (defined below) at the time of the Annual Meeting, the webcast of the Annual Meeting will be archived for the public for one year after the date of the Annual Meeting at </w:t>
      </w:r>
      <w:r>
        <w:rPr>
          <w:rFonts w:ascii="Arial;Helvetica;Sans-Serif" w:hAnsi="Arial;Helvetica;Sans-Serif"/>
          <w:b w:val="false"/>
          <w:i/>
          <w:caps w:val="false"/>
          <w:smallCaps w:val="false"/>
          <w:sz w:val="18"/>
        </w:rPr>
        <w:t>www.virtualshareholdermeeting.com/RARE2023.</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annual meetings are only one aspect of our stockholder outreach program, which is a year-long effort by our management to engage with our stockholders in a continuous and meaningful way. Our stockholders can raise questions or concerns regarding the Company at any time by calling our Investor Relations department at (844) 280-7681 or contacting our Board by following the process described under “Corporate Governance—Stockholder Communications.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To participate in the Annual Meeting, you must access the meeting website above, enter your 16-digit control number found on your Notice of Internet Availability, proxy card or voting instruction form, and follow the instructions on the website. If your shares are held in street name and your Notice or voting instruction form indicates that you may vote those shares through </w:t>
      </w:r>
      <w:r>
        <w:rPr>
          <w:rFonts w:ascii="Arial;Helvetica;Sans-Serif" w:hAnsi="Arial;Helvetica;Sans-Serif"/>
          <w:b w:val="false"/>
          <w:i/>
          <w:caps w:val="false"/>
          <w:smallCaps w:val="false"/>
          <w:sz w:val="18"/>
        </w:rPr>
        <w:t xml:space="preserve">www.proxyvote.com, </w:t>
      </w:r>
      <w:r>
        <w:rPr>
          <w:rFonts w:ascii="Arial;Helvetica;Sans-Serif" w:hAnsi="Arial;Helvetica;Sans-Serif"/>
          <w:b w:val="false"/>
          <w:i w:val="false"/>
          <w:caps w:val="false"/>
          <w:smallCaps w:val="false"/>
          <w:sz w:val="18"/>
        </w:rPr>
        <w:t>then you may access, participate in and vote at the Annual Meeting with the 16-digit access code indicated on that Notice or voting instruction form. Otherwise, stockholders who hold their shares in street name should contact their bank, broker or other nominee (preferably at least five days before the Annual Meeting) and obtain a “legal proxy” in order to be able to attend, participate in or vote at the Annual Meeting.</w:t>
      </w:r>
    </w:p>
    <w:p>
      <w:pPr>
        <w:pStyle w:val="TextBody"/>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73</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What am I voting on?</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 the Annual Meeting, you will be asked to consider and vote upon:</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92"/>
        <w:gridCol w:w="10013"/>
      </w:tblGrid>
      <w:tr>
        <w:trPr/>
        <w:tc>
          <w:tcPr>
            <w:tcW w:w="192" w:type="dxa"/>
            <w:tcBorders/>
            <w:shd w:fill="auto" w:val="clear"/>
            <w:vAlign w:val="center"/>
          </w:tcPr>
          <w:p>
            <w:pPr>
              <w:pStyle w:val="TableContents"/>
              <w:spacing w:before="0" w:after="283"/>
              <w:jc w:val="left"/>
              <w:rPr>
                <w:color w:val="7CBC3E"/>
              </w:rPr>
            </w:pPr>
            <w:r>
              <w:rPr>
                <w:color w:val="7CBC3E"/>
              </w:rPr>
              <w:t>1.</w:t>
            </w:r>
          </w:p>
        </w:tc>
        <w:tc>
          <w:tcPr>
            <w:tcW w:w="10013" w:type="dxa"/>
            <w:tcBorders/>
            <w:shd w:fill="auto" w:val="clear"/>
            <w:vAlign w:val="center"/>
          </w:tcPr>
          <w:p>
            <w:pPr>
              <w:pStyle w:val="TableContents"/>
              <w:spacing w:before="0" w:after="283"/>
              <w:jc w:val="both"/>
              <w:rPr/>
            </w:pPr>
            <w:r>
              <w:rPr/>
              <w:t xml:space="preserve">The election of the three directors named in the Proxy Statement as Class I directors; </w:t>
            </w:r>
          </w:p>
        </w:tc>
      </w:tr>
      <w:tr>
        <w:trPr/>
        <w:tc>
          <w:tcPr>
            <w:tcW w:w="192" w:type="dxa"/>
            <w:tcBorders/>
            <w:shd w:fill="auto" w:val="clear"/>
            <w:vAlign w:val="center"/>
          </w:tcPr>
          <w:p>
            <w:pPr>
              <w:pStyle w:val="TableContents"/>
              <w:spacing w:before="0" w:after="283"/>
              <w:jc w:val="left"/>
              <w:rPr>
                <w:color w:val="7CBC3E"/>
              </w:rPr>
            </w:pPr>
            <w:r>
              <w:rPr>
                <w:color w:val="7CBC3E"/>
              </w:rPr>
              <w:t>2.</w:t>
            </w:r>
          </w:p>
        </w:tc>
        <w:tc>
          <w:tcPr>
            <w:tcW w:w="10013" w:type="dxa"/>
            <w:tcBorders/>
            <w:shd w:fill="auto" w:val="clear"/>
            <w:vAlign w:val="center"/>
          </w:tcPr>
          <w:p>
            <w:pPr>
              <w:pStyle w:val="TableContents"/>
              <w:spacing w:before="0" w:after="283"/>
              <w:jc w:val="both"/>
              <w:rPr/>
            </w:pPr>
            <w:r>
              <w:rPr/>
              <w:t xml:space="preserve">Approval of the 2023 Plan </w:t>
            </w:r>
          </w:p>
        </w:tc>
      </w:tr>
      <w:tr>
        <w:trPr/>
        <w:tc>
          <w:tcPr>
            <w:tcW w:w="192" w:type="dxa"/>
            <w:tcBorders/>
            <w:shd w:fill="auto" w:val="clear"/>
            <w:vAlign w:val="center"/>
          </w:tcPr>
          <w:p>
            <w:pPr>
              <w:pStyle w:val="TableContents"/>
              <w:spacing w:before="0" w:after="283"/>
              <w:jc w:val="left"/>
              <w:rPr>
                <w:color w:val="7CBC3E"/>
              </w:rPr>
            </w:pPr>
            <w:r>
              <w:rPr>
                <w:color w:val="7CBC3E"/>
              </w:rPr>
              <w:t>3.</w:t>
            </w:r>
          </w:p>
        </w:tc>
        <w:tc>
          <w:tcPr>
            <w:tcW w:w="10013" w:type="dxa"/>
            <w:tcBorders/>
            <w:shd w:fill="auto" w:val="clear"/>
            <w:vAlign w:val="center"/>
          </w:tcPr>
          <w:p>
            <w:pPr>
              <w:pStyle w:val="TableContents"/>
              <w:spacing w:before="0" w:after="283"/>
              <w:jc w:val="both"/>
              <w:rPr/>
            </w:pPr>
            <w:r>
              <w:rPr/>
              <w:t>Approval of the A&amp;R ESPP</w:t>
            </w:r>
          </w:p>
        </w:tc>
      </w:tr>
      <w:tr>
        <w:trPr/>
        <w:tc>
          <w:tcPr>
            <w:tcW w:w="192" w:type="dxa"/>
            <w:tcBorders/>
            <w:shd w:fill="auto" w:val="clear"/>
            <w:vAlign w:val="center"/>
          </w:tcPr>
          <w:p>
            <w:pPr>
              <w:pStyle w:val="TableContents"/>
              <w:spacing w:before="0" w:after="283"/>
              <w:jc w:val="left"/>
              <w:rPr>
                <w:color w:val="7CBC3E"/>
              </w:rPr>
            </w:pPr>
            <w:r>
              <w:rPr>
                <w:color w:val="7CBC3E"/>
              </w:rPr>
              <w:t>4.</w:t>
            </w:r>
          </w:p>
        </w:tc>
        <w:tc>
          <w:tcPr>
            <w:tcW w:w="10013" w:type="dxa"/>
            <w:tcBorders/>
            <w:shd w:fill="auto" w:val="clear"/>
            <w:vAlign w:val="center"/>
          </w:tcPr>
          <w:p>
            <w:pPr>
              <w:pStyle w:val="TableContents"/>
              <w:spacing w:before="0" w:after="283"/>
              <w:jc w:val="both"/>
              <w:rPr/>
            </w:pPr>
            <w:r>
              <w:rPr/>
              <w:t xml:space="preserve">The ratification of the selection of Ernst &amp; Young LLP as our independent registered public accounting firm for the fiscal year ending December 31, 2023; and </w:t>
            </w:r>
          </w:p>
        </w:tc>
      </w:tr>
      <w:tr>
        <w:trPr/>
        <w:tc>
          <w:tcPr>
            <w:tcW w:w="192" w:type="dxa"/>
            <w:tcBorders/>
            <w:shd w:fill="auto" w:val="clear"/>
            <w:vAlign w:val="center"/>
          </w:tcPr>
          <w:p>
            <w:pPr>
              <w:pStyle w:val="TableContents"/>
              <w:spacing w:before="0" w:after="283"/>
              <w:jc w:val="left"/>
              <w:rPr>
                <w:color w:val="7CBC3E"/>
              </w:rPr>
            </w:pPr>
            <w:r>
              <w:rPr>
                <w:color w:val="7CBC3E"/>
              </w:rPr>
              <w:t>5.</w:t>
            </w:r>
          </w:p>
        </w:tc>
        <w:tc>
          <w:tcPr>
            <w:tcW w:w="10013" w:type="dxa"/>
            <w:tcBorders/>
            <w:shd w:fill="auto" w:val="clear"/>
            <w:vAlign w:val="center"/>
          </w:tcPr>
          <w:p>
            <w:pPr>
              <w:pStyle w:val="TableContents"/>
              <w:spacing w:before="0" w:after="283"/>
              <w:jc w:val="both"/>
              <w:rPr/>
            </w:pPr>
            <w:r>
              <w:rPr/>
              <w:t>An advisory (non-binding) resolution to approve the compensation of our named executive officers.</w:t>
            </w:r>
          </w:p>
        </w:tc>
      </w:tr>
    </w:tbl>
    <w:p>
      <w:pPr>
        <w:pStyle w:val="TextBody"/>
        <w:jc w:val="both"/>
        <w:rPr>
          <w:caps w:val="false"/>
          <w:smallCaps w:val="false"/>
        </w:rPr>
      </w:pPr>
      <w:r>
        <w:rPr>
          <w:caps w:val="false"/>
          <w:smallCaps w:val="false"/>
        </w:rPr>
        <w:t> </w:t>
      </w:r>
    </w:p>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What if another matter is properly brought before the Annual Meeting?</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of Directors is not aware of any other matter that will be presented for consideration at the Annual Meeting. If any other matters are properly brought before the Annual Meeting, the persons named in the accompanying proxy will vote on those matters in accordance with their best judgment.</w:t>
      </w:r>
    </w:p>
    <w:p>
      <w:pPr>
        <w:pStyle w:val="TextBody"/>
        <w:jc w:val="both"/>
        <w:rPr>
          <w:caps w:val="false"/>
          <w:smallCaps w:val="false"/>
        </w:rPr>
      </w:pPr>
      <w:r>
        <w:rPr>
          <w:caps w:val="false"/>
          <w:smallCaps w:val="false"/>
        </w:rPr>
        <w:t> </w:t>
      </w:r>
    </w:p>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What is the Board of Director’s voting recommendation?</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of Directors recommends that you vote your shares: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jc w:val="left"/>
              <w:rPr>
                <w:caps w:val="false"/>
                <w:smallCaps w:val="false"/>
                <w:color w:val="7CBC3E"/>
              </w:rPr>
            </w:pPr>
            <w:r>
              <w:rPr>
                <w:caps w:val="false"/>
                <w:smallCaps w:val="false"/>
                <w:color w:val="7CBC3E"/>
              </w:rPr>
              <w:t>•</w:t>
            </w:r>
          </w:p>
        </w:tc>
        <w:tc>
          <w:tcPr>
            <w:tcW w:w="10080" w:type="dxa"/>
            <w:tcBorders/>
            <w:shd w:fill="auto" w:val="clear"/>
            <w:vAlign w:val="center"/>
          </w:tcPr>
          <w:p>
            <w:pPr>
              <w:pStyle w:val="TableContents"/>
              <w:spacing w:before="0" w:after="283"/>
              <w:jc w:val="both"/>
              <w:rPr>
                <w:caps w:val="false"/>
                <w:smallCaps w:val="false"/>
              </w:rPr>
            </w:pPr>
            <w:r>
              <w:rPr>
                <w:caps w:val="false"/>
                <w:smallCaps w:val="false"/>
              </w:rPr>
              <w:t>“</w:t>
            </w:r>
            <w:r>
              <w:rPr>
                <w:rFonts w:ascii="Arial;Helvetica;Sans-Serif" w:hAnsi="Arial;Helvetica;Sans-Serif"/>
                <w:b/>
                <w:i w:val="false"/>
                <w:caps w:val="false"/>
                <w:smallCaps w:val="false"/>
                <w:sz w:val="18"/>
              </w:rPr>
              <w:t xml:space="preserve">FOR” </w:t>
            </w:r>
            <w:r>
              <w:rPr>
                <w:rFonts w:ascii="Arial;Helvetica;Sans-Serif" w:hAnsi="Arial;Helvetica;Sans-Serif"/>
                <w:b w:val="false"/>
                <w:i w:val="false"/>
                <w:caps w:val="false"/>
                <w:smallCaps w:val="false"/>
                <w:sz w:val="18"/>
              </w:rPr>
              <w:t xml:space="preserve">the election of each of the Class I director nominees; </w:t>
            </w:r>
          </w:p>
        </w:tc>
      </w:tr>
      <w:tr>
        <w:trPr/>
        <w:tc>
          <w:tcPr>
            <w:tcW w:w="125" w:type="dxa"/>
            <w:tcBorders/>
            <w:shd w:fill="auto" w:val="clear"/>
            <w:vAlign w:val="center"/>
          </w:tcPr>
          <w:p>
            <w:pPr>
              <w:pStyle w:val="TableContents"/>
              <w:spacing w:before="0" w:after="283"/>
              <w:jc w:val="left"/>
              <w:rPr>
                <w:caps w:val="false"/>
                <w:smallCaps w:val="false"/>
                <w:color w:val="7CBC3E"/>
              </w:rPr>
            </w:pPr>
            <w:r>
              <w:rPr>
                <w:caps w:val="false"/>
                <w:smallCaps w:val="false"/>
                <w:color w:val="7CBC3E"/>
              </w:rPr>
              <w:t>•</w:t>
            </w:r>
          </w:p>
        </w:tc>
        <w:tc>
          <w:tcPr>
            <w:tcW w:w="10080" w:type="dxa"/>
            <w:tcBorders/>
            <w:shd w:fill="auto" w:val="clear"/>
            <w:vAlign w:val="center"/>
          </w:tcPr>
          <w:p>
            <w:pPr>
              <w:pStyle w:val="TableContents"/>
              <w:spacing w:before="0" w:after="283"/>
              <w:jc w:val="both"/>
              <w:rPr>
                <w:caps w:val="false"/>
                <w:smallCaps w:val="false"/>
              </w:rPr>
            </w:pPr>
            <w:r>
              <w:rPr>
                <w:caps w:val="false"/>
                <w:smallCaps w:val="false"/>
              </w:rPr>
              <w:t>“</w:t>
            </w:r>
            <w:r>
              <w:rPr>
                <w:rFonts w:ascii="Arial;Helvetica;Sans-Serif" w:hAnsi="Arial;Helvetica;Sans-Serif"/>
                <w:b/>
                <w:i w:val="false"/>
                <w:caps w:val="false"/>
                <w:smallCaps w:val="false"/>
                <w:sz w:val="18"/>
              </w:rPr>
              <w:t xml:space="preserve">FOR” </w:t>
            </w:r>
            <w:r>
              <w:rPr>
                <w:rFonts w:ascii="Arial;Helvetica;Sans-Serif" w:hAnsi="Arial;Helvetica;Sans-Serif"/>
                <w:b w:val="false"/>
                <w:i w:val="false"/>
                <w:caps w:val="false"/>
                <w:smallCaps w:val="false"/>
                <w:sz w:val="18"/>
              </w:rPr>
              <w:t xml:space="preserve">the approval of the 2023 Plan; </w:t>
            </w:r>
          </w:p>
        </w:tc>
      </w:tr>
      <w:tr>
        <w:trPr/>
        <w:tc>
          <w:tcPr>
            <w:tcW w:w="125" w:type="dxa"/>
            <w:tcBorders/>
            <w:shd w:fill="auto" w:val="clear"/>
            <w:vAlign w:val="center"/>
          </w:tcPr>
          <w:p>
            <w:pPr>
              <w:pStyle w:val="TableContents"/>
              <w:spacing w:before="0" w:after="283"/>
              <w:jc w:val="left"/>
              <w:rPr>
                <w:caps w:val="false"/>
                <w:smallCaps w:val="false"/>
                <w:color w:val="7CBC3E"/>
              </w:rPr>
            </w:pPr>
            <w:r>
              <w:rPr>
                <w:caps w:val="false"/>
                <w:smallCaps w:val="false"/>
                <w:color w:val="7CBC3E"/>
              </w:rPr>
              <w:t>•</w:t>
            </w:r>
          </w:p>
        </w:tc>
        <w:tc>
          <w:tcPr>
            <w:tcW w:w="10080" w:type="dxa"/>
            <w:tcBorders/>
            <w:shd w:fill="auto" w:val="clear"/>
            <w:vAlign w:val="center"/>
          </w:tcPr>
          <w:p>
            <w:pPr>
              <w:pStyle w:val="TableContents"/>
              <w:spacing w:before="0" w:after="283"/>
              <w:jc w:val="both"/>
              <w:rPr>
                <w:caps w:val="false"/>
                <w:smallCaps w:val="false"/>
              </w:rPr>
            </w:pPr>
            <w:r>
              <w:rPr>
                <w:caps w:val="false"/>
                <w:smallCaps w:val="false"/>
              </w:rPr>
              <w:t>“</w:t>
            </w:r>
            <w:r>
              <w:rPr>
                <w:rFonts w:ascii="Arial;Helvetica;Sans-Serif" w:hAnsi="Arial;Helvetica;Sans-Serif"/>
                <w:b/>
                <w:i w:val="false"/>
                <w:caps w:val="false"/>
                <w:smallCaps w:val="false"/>
                <w:sz w:val="18"/>
              </w:rPr>
              <w:t xml:space="preserve">FOR” </w:t>
            </w:r>
            <w:r>
              <w:rPr>
                <w:rFonts w:ascii="Arial;Helvetica;Sans-Serif" w:hAnsi="Arial;Helvetica;Sans-Serif"/>
                <w:b w:val="false"/>
                <w:i w:val="false"/>
                <w:caps w:val="false"/>
                <w:smallCaps w:val="false"/>
                <w:sz w:val="18"/>
              </w:rPr>
              <w:t xml:space="preserve">the approval of A&amp;R ESPP; </w:t>
            </w:r>
          </w:p>
        </w:tc>
      </w:tr>
      <w:tr>
        <w:trPr/>
        <w:tc>
          <w:tcPr>
            <w:tcW w:w="125" w:type="dxa"/>
            <w:tcBorders/>
            <w:shd w:fill="auto" w:val="clear"/>
            <w:vAlign w:val="center"/>
          </w:tcPr>
          <w:p>
            <w:pPr>
              <w:pStyle w:val="TableContents"/>
              <w:spacing w:before="0" w:after="283"/>
              <w:jc w:val="left"/>
              <w:rPr>
                <w:caps w:val="false"/>
                <w:smallCaps w:val="false"/>
                <w:color w:val="7CBC3E"/>
              </w:rPr>
            </w:pPr>
            <w:r>
              <w:rPr>
                <w:caps w:val="false"/>
                <w:smallCaps w:val="false"/>
                <w:color w:val="7CBC3E"/>
              </w:rPr>
              <w:t>•</w:t>
            </w:r>
          </w:p>
        </w:tc>
        <w:tc>
          <w:tcPr>
            <w:tcW w:w="10080" w:type="dxa"/>
            <w:tcBorders/>
            <w:shd w:fill="auto" w:val="clear"/>
            <w:vAlign w:val="center"/>
          </w:tcPr>
          <w:p>
            <w:pPr>
              <w:pStyle w:val="TableContents"/>
              <w:spacing w:before="0" w:after="283"/>
              <w:jc w:val="both"/>
              <w:rPr>
                <w:caps w:val="false"/>
                <w:smallCaps w:val="false"/>
              </w:rPr>
            </w:pPr>
            <w:r>
              <w:rPr>
                <w:caps w:val="false"/>
                <w:smallCaps w:val="false"/>
              </w:rPr>
              <w:t>“</w:t>
            </w:r>
            <w:r>
              <w:rPr>
                <w:rFonts w:ascii="Arial;Helvetica;Sans-Serif" w:hAnsi="Arial;Helvetica;Sans-Serif"/>
                <w:b/>
                <w:i w:val="false"/>
                <w:caps w:val="false"/>
                <w:smallCaps w:val="false"/>
                <w:sz w:val="18"/>
              </w:rPr>
              <w:t xml:space="preserve">FOR” </w:t>
            </w:r>
            <w:r>
              <w:rPr>
                <w:rFonts w:ascii="Arial;Helvetica;Sans-Serif" w:hAnsi="Arial;Helvetica;Sans-Serif"/>
                <w:b w:val="false"/>
                <w:i w:val="false"/>
                <w:caps w:val="false"/>
                <w:smallCaps w:val="false"/>
                <w:sz w:val="18"/>
              </w:rPr>
              <w:t xml:space="preserve">the ratification selection of Ernst &amp; Young LLP as our independent registered public accounting firm for the fiscal year ending December 31, 2023; and </w:t>
            </w:r>
          </w:p>
        </w:tc>
      </w:tr>
      <w:tr>
        <w:trPr/>
        <w:tc>
          <w:tcPr>
            <w:tcW w:w="125" w:type="dxa"/>
            <w:tcBorders/>
            <w:shd w:fill="auto" w:val="clear"/>
            <w:vAlign w:val="center"/>
          </w:tcPr>
          <w:p>
            <w:pPr>
              <w:pStyle w:val="TableContents"/>
              <w:spacing w:before="0" w:after="283"/>
              <w:jc w:val="left"/>
              <w:rPr>
                <w:caps w:val="false"/>
                <w:smallCaps w:val="false"/>
                <w:color w:val="7CBC3E"/>
              </w:rPr>
            </w:pPr>
            <w:r>
              <w:rPr>
                <w:caps w:val="false"/>
                <w:smallCaps w:val="false"/>
                <w:color w:val="7CBC3E"/>
              </w:rPr>
              <w:t>•</w:t>
            </w:r>
          </w:p>
        </w:tc>
        <w:tc>
          <w:tcPr>
            <w:tcW w:w="10080" w:type="dxa"/>
            <w:tcBorders/>
            <w:shd w:fill="auto" w:val="clear"/>
            <w:vAlign w:val="center"/>
          </w:tcPr>
          <w:p>
            <w:pPr>
              <w:pStyle w:val="TableContents"/>
              <w:spacing w:before="0" w:after="283"/>
              <w:jc w:val="both"/>
              <w:rPr>
                <w:caps w:val="false"/>
                <w:smallCaps w:val="false"/>
              </w:rPr>
            </w:pPr>
            <w:r>
              <w:rPr>
                <w:caps w:val="false"/>
                <w:smallCaps w:val="false"/>
              </w:rPr>
              <w:t>“</w:t>
            </w:r>
            <w:r>
              <w:rPr>
                <w:rFonts w:ascii="Arial;Helvetica;Sans-Serif" w:hAnsi="Arial;Helvetica;Sans-Serif"/>
                <w:b/>
                <w:i w:val="false"/>
                <w:caps w:val="false"/>
                <w:smallCaps w:val="false"/>
                <w:sz w:val="18"/>
              </w:rPr>
              <w:t xml:space="preserve">FOR” </w:t>
            </w:r>
            <w:r>
              <w:rPr>
                <w:rFonts w:ascii="Arial;Helvetica;Sans-Serif" w:hAnsi="Arial;Helvetica;Sans-Serif"/>
                <w:b w:val="false"/>
                <w:i w:val="false"/>
                <w:caps w:val="false"/>
                <w:smallCaps w:val="false"/>
                <w:sz w:val="18"/>
              </w:rPr>
              <w:t>the approval, on an advisory basis, of the compensation of our named executive officers</w:t>
            </w:r>
          </w:p>
        </w:tc>
      </w:tr>
    </w:tbl>
    <w:p>
      <w:pPr>
        <w:pStyle w:val="TextBody"/>
        <w:jc w:val="both"/>
        <w:rPr>
          <w:caps w:val="false"/>
          <w:smallCaps w:val="false"/>
        </w:rPr>
      </w:pPr>
      <w:r>
        <w:rPr>
          <w:caps w:val="false"/>
          <w:smallCaps w:val="false"/>
        </w:rPr>
        <w:t> </w:t>
      </w:r>
    </w:p>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How many votes do I have?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share of common stock is entitled to one vote on all matters to be voted upon at the Annual Meeting. Holders of common stock do not have the right to cumulate votes in the election of directors.</w:t>
      </w:r>
    </w:p>
    <w:p>
      <w:pPr>
        <w:pStyle w:val="TextBody"/>
        <w:jc w:val="both"/>
        <w:rPr>
          <w:caps w:val="false"/>
          <w:smallCaps w:val="false"/>
        </w:rPr>
      </w:pPr>
      <w:r>
        <w:rPr>
          <w:caps w:val="false"/>
          <w:smallCaps w:val="false"/>
        </w:rPr>
        <w:t> </w:t>
      </w:r>
    </w:p>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When is the record date for the Annual Meeting?</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of Directors has fixed the record date for the Annual Meeting as of the close of business on April 17, 2023 (Record Date).</w:t>
      </w:r>
    </w:p>
    <w:p>
      <w:pPr>
        <w:pStyle w:val="TextBody"/>
        <w:jc w:val="both"/>
        <w:rPr>
          <w:caps w:val="false"/>
          <w:smallCaps w:val="false"/>
        </w:rPr>
      </w:pPr>
      <w:r>
        <w:rPr>
          <w:caps w:val="false"/>
          <w:smallCaps w:val="false"/>
        </w:rPr>
        <w:t> </w:t>
      </w:r>
    </w:p>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How many shares must be represented in order to hold the Annual Meeting?</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quorum of stockholders is necessary to hold a valid stockholder meeting. A quorum will be present if stockholders holding at least a majority of the outstanding shares entitled to vote are present or represented by proxy at the Annual Meeting. On the Record Date, there were 70,683,383 shares outstanding and entitled to vote. Thus, the holders of at least 35,341,692 shares must be present or represented by proxy at the Annual Meeting to reach quorum.</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Your shares will be counted towards the quorum if you submit a valid proxy by mail, over the phone or via the Internet (or one is submitted on your behalf by your broker, bank or other nominee) or if you attend the Annual Meeting. In addition, abstentions and broker non-votes will be counted towards the quorum requirement. If there is no quorum, the chair of the Annual Meeting may adjourn the meeting to another date.</w:t>
      </w:r>
    </w:p>
    <w:p>
      <w:pPr>
        <w:pStyle w:val="TextBody"/>
        <w:jc w:val="both"/>
        <w:rPr>
          <w:caps w:val="false"/>
          <w:smallCaps w:val="false"/>
        </w:rPr>
      </w:pPr>
      <w:r>
        <w:rPr>
          <w:caps w:val="false"/>
          <w:smallCaps w:val="false"/>
        </w:rPr>
        <w:t> </w:t>
      </w:r>
    </w:p>
    <w:p>
      <w:pPr>
        <w:pStyle w:val="Heading4"/>
        <w:jc w:val="both"/>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How do I vote?</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With regard to Proposal No. 1, the election of directors, you may vote “For” all the nominees to the Board or you may “Withhold” your vote for all the nominees or any individual nominee you specify. With regard to Proposal No. 2, 3, 4 and 5, you may vote “For” or “Against” or abstain from voting.</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procedures for voting depend on whether your shares are registered in your name or are held by a bank, broker or other nominee:</w:t>
      </w:r>
    </w:p>
    <w:p>
      <w:pPr>
        <w:pStyle w:val="TextBody"/>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74</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5"/>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Registered Holders: Shares Registered in Your Name</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are a stockholder of record, you may vote at the Annual Meeting, which will be held virtually via the Internet, vote by proxy over the telephone, vote by proxy via the Internet, or vote by proxy using a proxy card that you may request or that we may elect to deliver at a later time. Whether or not you plan to attend the Annual Meeting, we urge you to vote by proxy to ensure your vote is counted. You may still attend the Annual Meeting and vote online even if you have already voted by proxy.</w:t>
      </w:r>
    </w:p>
    <w:p>
      <w:pPr>
        <w:pStyle w:val="TextBody"/>
        <w:rPr>
          <w:caps w:val="false"/>
          <w:smallCaps w:val="false"/>
          <w:color w:val="7CBC3E"/>
        </w:rPr>
      </w:pPr>
      <w:r>
        <w:rPr>
          <w:caps w:val="false"/>
          <w:smallCaps w:val="false"/>
          <w:color w:val="7CBC3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sz w:val="18"/>
              </w:rPr>
            </w:pPr>
            <w:r>
              <w:rPr>
                <w:sz w:val="18"/>
              </w:rPr>
              <w:t>To vote via the Internet, vote at www.proxyvote.com prior to 11:59 p.m. Eastern Time the day before the Annual Meeting.</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sz w:val="18"/>
              </w:rPr>
            </w:pPr>
            <w:r>
              <w:rPr>
                <w:sz w:val="18"/>
              </w:rPr>
              <w:t>If you have received a paper copy of the proxy materials, vote over the telephone by calling 1-800-690-6903 prior to 11:59 p.m. Eastern Time the day before the Annual Meeting or by returning an executed proxy card (that we must receive before the Annual Meeting).</w:t>
            </w:r>
          </w:p>
        </w:tc>
      </w:tr>
      <w:tr>
        <w:trPr/>
        <w:tc>
          <w:tcPr>
            <w:tcW w:w="125" w:type="dxa"/>
            <w:tcBorders/>
            <w:shd w:fill="auto" w:val="clear"/>
            <w:vAlign w:val="center"/>
          </w:tcPr>
          <w:p>
            <w:pPr>
              <w:pStyle w:val="TableContents"/>
              <w:spacing w:before="0" w:after="283"/>
              <w:rPr>
                <w:color w:val="7CBC3E"/>
              </w:rPr>
            </w:pPr>
            <w:r>
              <w:rPr>
                <w:color w:val="7CBC3E"/>
              </w:rPr>
              <w:t>•</w:t>
            </w:r>
          </w:p>
        </w:tc>
        <w:tc>
          <w:tcPr>
            <w:tcW w:w="10080" w:type="dxa"/>
            <w:tcBorders/>
            <w:shd w:fill="auto" w:val="clear"/>
            <w:vAlign w:val="center"/>
          </w:tcPr>
          <w:p>
            <w:pPr>
              <w:pStyle w:val="TableContents"/>
              <w:spacing w:before="0" w:after="283"/>
              <w:jc w:val="both"/>
              <w:rPr>
                <w:sz w:val="18"/>
              </w:rPr>
            </w:pPr>
            <w:r>
              <w:rPr>
                <w:sz w:val="18"/>
              </w:rPr>
              <w:t>Registered holders who attend the Annual Meeting may also vote during the Annual Meeting by going to www.virtualshareholdermeeting.com/RARE2023 and following the instructions regarding voting.</w:t>
            </w:r>
          </w:p>
        </w:tc>
      </w:tr>
    </w:tbl>
    <w:p>
      <w:pPr>
        <w:pStyle w:val="TextBody"/>
        <w:rPr>
          <w:caps w:val="false"/>
          <w:smallCaps w:val="false"/>
        </w:rPr>
      </w:pPr>
      <w:r>
        <w:rPr>
          <w:caps w:val="false"/>
          <w:smallCaps w:val="false"/>
        </w:rPr>
        <w:t> </w:t>
      </w:r>
    </w:p>
    <w:p>
      <w:pPr>
        <w:pStyle w:val="Heading5"/>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Beneficial Holders: Shares Registered in Name of Broker, Bank or Other Nominee</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Persons who hold shares of Ultragenyx common stock indirectly on the Record Date through a brokerage firm, bank or other financial institution (beneficial holders) may vote before the Annual Meeting as follows:</w:t>
      </w:r>
    </w:p>
    <w:p>
      <w:pPr>
        <w:pStyle w:val="TextBody"/>
        <w:rPr>
          <w:caps w:val="false"/>
          <w:smallCaps w:val="false"/>
          <w:color w:val="7CBC3E"/>
        </w:rPr>
      </w:pPr>
      <w:r>
        <w:rPr>
          <w:caps w:val="false"/>
          <w:smallCaps w:val="false"/>
          <w:color w:val="7CBC3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aps w:val="false"/>
                <w:smallCaps w:val="false"/>
                <w:color w:val="7CBC3E"/>
              </w:rPr>
            </w:pPr>
            <w:r>
              <w:rPr>
                <w:caps w:val="false"/>
                <w:smallCaps w:val="false"/>
                <w:color w:val="7CBC3E"/>
              </w:rPr>
              <w:t>•</w:t>
            </w:r>
          </w:p>
        </w:tc>
        <w:tc>
          <w:tcPr>
            <w:tcW w:w="10080"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In accordance with the voting instructions provided by the institution that holds their shares, which may provide for voting over the telephone or via the Internet, or </w:t>
            </w:r>
          </w:p>
        </w:tc>
      </w:tr>
      <w:tr>
        <w:trPr/>
        <w:tc>
          <w:tcPr>
            <w:tcW w:w="125" w:type="dxa"/>
            <w:tcBorders/>
            <w:shd w:fill="auto" w:val="clear"/>
            <w:vAlign w:val="center"/>
          </w:tcPr>
          <w:p>
            <w:pPr>
              <w:pStyle w:val="TableContents"/>
              <w:spacing w:before="0" w:after="283"/>
              <w:rPr>
                <w:caps w:val="false"/>
                <w:smallCaps w:val="false"/>
                <w:color w:val="7CBC3E"/>
              </w:rPr>
            </w:pPr>
            <w:r>
              <w:rPr>
                <w:caps w:val="false"/>
                <w:smallCaps w:val="false"/>
                <w:color w:val="7CBC3E"/>
              </w:rPr>
              <w:t>•</w:t>
            </w:r>
          </w:p>
        </w:tc>
        <w:tc>
          <w:tcPr>
            <w:tcW w:w="10080"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By returning a voting instruction form provided to them by the institution that holds their shares, in order to have their shares voted on their behalf. </w:t>
            </w:r>
          </w:p>
        </w:tc>
      </w:tr>
      <w:tr>
        <w:trPr/>
        <w:tc>
          <w:tcPr>
            <w:tcW w:w="125" w:type="dxa"/>
            <w:tcBorders/>
            <w:shd w:fill="auto" w:val="clear"/>
            <w:vAlign w:val="center"/>
          </w:tcPr>
          <w:p>
            <w:pPr>
              <w:pStyle w:val="TableContents"/>
              <w:spacing w:before="0" w:after="283"/>
              <w:rPr>
                <w:caps w:val="false"/>
                <w:smallCaps w:val="false"/>
                <w:color w:val="7CBC3E"/>
              </w:rPr>
            </w:pPr>
            <w:r>
              <w:rPr>
                <w:caps w:val="false"/>
                <w:smallCaps w:val="false"/>
                <w:color w:val="7CBC3E"/>
              </w:rPr>
              <w:t>•</w:t>
            </w:r>
          </w:p>
        </w:tc>
        <w:tc>
          <w:tcPr>
            <w:tcW w:w="10080" w:type="dxa"/>
            <w:tcBorders/>
            <w:shd w:fill="auto" w:val="clear"/>
            <w:vAlign w:val="center"/>
          </w:tcPr>
          <w:p>
            <w:pPr>
              <w:pStyle w:val="TableContents"/>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Beneficial holders who attend the Annual Meeting may also vote during the Annual Meeting by going to www.virtualshareholdermeeting.com/RARE2023 and following the instructions regarding voting.</w:t>
            </w:r>
          </w:p>
        </w:tc>
      </w:tr>
    </w:tbl>
    <w:p>
      <w:pPr>
        <w:pStyle w:val="TextBody"/>
        <w:rPr>
          <w:caps w:val="false"/>
          <w:smallCaps w:val="false"/>
        </w:rPr>
      </w:pPr>
      <w:r>
        <w:rPr>
          <w:caps w:val="false"/>
          <w:smallCaps w:val="false"/>
        </w:rPr>
        <w:t> </w:t>
      </w:r>
    </w:p>
    <w:p>
      <w:pPr>
        <w:pStyle w:val="Heading4"/>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What if I return a proxy card or otherwise vote but do not make specific choices?</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are a stockholder of record and return a signed and dated proxy card or otherwise vote without marking voting selections, your shares will be voted, as applicable, “FOR” the election of each nominee for director, “FOR” the ratification of Ernst &amp; Young LLP as the Company’s independent registered public accounting firm, “FOR” the 2023 Plan, “FOR” the A&amp;R ESPP and “FOR” the advisory approval of the compensation of our named executive officers. If any other matter is properly presented at the Annual Meeting, your proxy holder (one of the individuals named on your proxy card) will vote your shares using his or her best judgment.</w:t>
      </w:r>
    </w:p>
    <w:p>
      <w:pPr>
        <w:pStyle w:val="TextBody"/>
        <w:rPr>
          <w:caps w:val="false"/>
          <w:smallCaps w:val="false"/>
        </w:rPr>
      </w:pPr>
      <w:r>
        <w:rPr>
          <w:caps w:val="false"/>
          <w:smallCaps w:val="false"/>
        </w:rPr>
        <w:t> </w:t>
      </w:r>
    </w:p>
    <w:p>
      <w:pPr>
        <w:pStyle w:val="Heading4"/>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Are my shares voted if I do not provide a proxy or voting instructions?</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are a stockholder of record and do not provide a proxy, you must attend the annual meeting in order to vote. If you hold shares through an account with a bank or broker and do not provide voting instructions, the bank or broker is permitted to vote your shares only on certain proposals considered “routine” matters. Even with respect to routine matters, some brokers are choosing not to exercise discretionary voting authority. Uninstructed shares that banks and brokers do not vote are counted as “broker non-votes.” As a result, we urge you to direct your broker, fiduciary or custodian how to vote your shares to ensure that your interests are represented at the Annual Meeting.</w:t>
      </w:r>
    </w:p>
    <w:p>
      <w:pPr>
        <w:pStyle w:val="TextBody"/>
        <w:rPr>
          <w:caps w:val="false"/>
          <w:smallCaps w:val="false"/>
        </w:rPr>
      </w:pPr>
      <w:r>
        <w:rPr>
          <w:caps w:val="false"/>
          <w:smallCaps w:val="false"/>
        </w:rPr>
        <w:t> </w:t>
      </w:r>
    </w:p>
    <w:p>
      <w:pPr>
        <w:pStyle w:val="Heading4"/>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What vote is required to approve each proposal and how are votes counted?</w:t>
      </w:r>
    </w:p>
    <w:p>
      <w:pPr>
        <w:pStyle w:val="TextBody"/>
        <w:rPr>
          <w:caps w:val="false"/>
          <w:smallCaps w:val="false"/>
        </w:rPr>
      </w:pPr>
      <w:r>
        <w:rPr>
          <w:caps w:val="false"/>
          <w:smallCaps w:val="false"/>
        </w:rPr>
        <w:t> </w:t>
      </w:r>
    </w:p>
    <w:p>
      <w:pPr>
        <w:pStyle w:val="Heading5"/>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Proposal No. 1 — Election of directors</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Directors are elected by a plurality of the votes cast, with the three nominees obtaining the greatest number of affirmative votes being elected as directors. Shares as to which a stockholder withholds voting authority and broker non-votes, if any, are not considered votes cast and therefore will have no effect on the vote outcome. As described above under “Proposal No. 1 – Election of Class I Directors” any nominee for director who receives a greater number of “withhold” votes for his or her election than votes “for” his or her election must promptly tender his or her resignation to the Board following certification of the election results.</w:t>
      </w:r>
    </w:p>
    <w:p>
      <w:pPr>
        <w:pStyle w:val="TextBody"/>
        <w:rPr>
          <w:caps w:val="false"/>
          <w:smallCaps w:val="false"/>
        </w:rPr>
      </w:pPr>
      <w:r>
        <w:rPr>
          <w:caps w:val="false"/>
          <w:smallCaps w:val="false"/>
        </w:rPr>
        <w:t> </w:t>
      </w:r>
    </w:p>
    <w:p>
      <w:pPr>
        <w:pStyle w:val="Heading5"/>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Each of the Other Proposals</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of the other proposals must be approved by a majority of the votes cast on the proposal (meaning the number of shares voted “for” this proposal must exceed the number of shares voted “against” such proposal). As a result, abstentions and broker non-votes, if any, will have no effect on the vote outcome.</w:t>
      </w:r>
    </w:p>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75</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4"/>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Can I change my vote after submitting my proxy?</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Yes. If you are the registered holder of your shares, you may change or revoke a delivered proxy by:</w:t>
      </w:r>
    </w:p>
    <w:p>
      <w:pPr>
        <w:pStyle w:val="TextBody"/>
        <w:rPr>
          <w:caps w:val="false"/>
          <w:smallCaps w:val="false"/>
          <w:color w:val="7CBC3E"/>
        </w:rPr>
      </w:pPr>
      <w:r>
        <w:rPr>
          <w:caps w:val="false"/>
          <w:smallCaps w:val="false"/>
          <w:color w:val="7CBC3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 xml:space="preserve">Executing and returning a new, later-dated proxy card by mail, or submitting a new vote via telephone or through the Internet, as instructed above in advance of the applicable deadline; </w:t>
            </w:r>
          </w:p>
        </w:tc>
      </w:tr>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Delivering a written revocation to the Corporate Secretary before the Annual Meeting; or</w:t>
            </w:r>
          </w:p>
        </w:tc>
      </w:tr>
      <w:tr>
        <w:trPr/>
        <w:tc>
          <w:tcPr>
            <w:tcW w:w="125" w:type="dxa"/>
            <w:tcBorders/>
            <w:shd w:fill="auto" w:val="clear"/>
            <w:vAlign w:val="center"/>
          </w:tcPr>
          <w:p>
            <w:pPr>
              <w:pStyle w:val="TableContents"/>
              <w:spacing w:before="0" w:after="283"/>
              <w:jc w:val="left"/>
              <w:rPr>
                <w:color w:val="7CBC3E"/>
              </w:rPr>
            </w:pPr>
            <w:r>
              <w:rPr>
                <w:color w:val="7CBC3E"/>
              </w:rPr>
              <w:t>•</w:t>
            </w:r>
          </w:p>
        </w:tc>
        <w:tc>
          <w:tcPr>
            <w:tcW w:w="10080" w:type="dxa"/>
            <w:tcBorders/>
            <w:shd w:fill="auto" w:val="clear"/>
            <w:vAlign w:val="center"/>
          </w:tcPr>
          <w:p>
            <w:pPr>
              <w:pStyle w:val="TableContents"/>
              <w:spacing w:before="0" w:after="283"/>
              <w:jc w:val="both"/>
              <w:rPr/>
            </w:pPr>
            <w:r>
              <w:rPr/>
              <w:t>Voting at the Annual Meeting. Simply attending the Annual Meeting will not, by itself, revoke or change your proxy.</w:t>
            </w:r>
          </w:p>
        </w:tc>
      </w:tr>
    </w:tbl>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hold your shares beneficially through a brokerage firm, bank or other financial institution, you should contact your brokerage firm, bank or other financial institution for information on how to change or revoke your proxy.</w:t>
      </w:r>
    </w:p>
    <w:p>
      <w:pPr>
        <w:pStyle w:val="TextBody"/>
        <w:rPr>
          <w:caps w:val="false"/>
          <w:smallCaps w:val="false"/>
        </w:rPr>
      </w:pPr>
      <w:r>
        <w:rPr>
          <w:caps w:val="false"/>
          <w:smallCaps w:val="false"/>
        </w:rPr>
        <w:t> </w:t>
      </w:r>
    </w:p>
    <w:p>
      <w:pPr>
        <w:pStyle w:val="Heading4"/>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Who is paying for this proxy solicitation?</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making these proxy materials available to you in connection with the solicitation of proxies by the Board of Directors of the Company. We will pay all of the costs of soliciting proxies. We will provide copies of our proxy materials to brokerage firms, fiduciaries, and custodians for forwarding to beneficial owners who request printed copies of these materials and will reimburse these persons for their costs of forwarding these materials. Our directors, officers, and employees may also solicit proxies by telephone, facsimile, or personal solicitation; however, we will not pay these individuals additional compensation for any of these services.</w:t>
      </w:r>
    </w:p>
    <w:p>
      <w:pPr>
        <w:pStyle w:val="TextBody"/>
        <w:rPr>
          <w:caps w:val="false"/>
          <w:smallCaps w:val="false"/>
        </w:rPr>
      </w:pPr>
      <w:r>
        <w:rPr>
          <w:caps w:val="false"/>
          <w:smallCaps w:val="false"/>
        </w:rPr>
        <w:t> </w:t>
      </w:r>
    </w:p>
    <w:p>
      <w:pPr>
        <w:pStyle w:val="Heading4"/>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When are stockholder proposals for inclusion in our proxy statement for next year’s annual meeting due?</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Stockholders wishing to present proposals for inclusion in our proxy statement for the 2024 Annual Meeting pursuant to Rule 14a-8 of the Exchange Act must submit their proposals so that they are received by us at our principal executive offices no later than the close of business (5:00 p.m. Pacific Time) on December 26, 2023. However, if our 2024 Annual Meeting is advanced or delayed by more than 30 days before or after the anniversary date of the 2023 annual meeting, then the deadline will be a reasonable time prior to the time that we begin to print and mail our proxy materials.</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Proposals for inclusion in our proxy statement for the 2024 Annual Meeting should be sent to the Company’s Corporate Secretary at 60 Leveroni Court, Novato, California 94949 and must satisfy the requirements of Rule 14a-8 of the Exchange Act. We reserve the right to exclude from our proxy statement any proposals not meeting such requirement.</w:t>
      </w:r>
    </w:p>
    <w:p>
      <w:pPr>
        <w:pStyle w:val="TextBody"/>
        <w:rPr>
          <w:caps w:val="false"/>
          <w:smallCaps w:val="false"/>
        </w:rPr>
      </w:pPr>
      <w:r>
        <w:rPr>
          <w:caps w:val="false"/>
          <w:smallCaps w:val="false"/>
        </w:rPr>
        <w:t> </w:t>
      </w:r>
    </w:p>
    <w:p>
      <w:pPr>
        <w:pStyle w:val="Heading4"/>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When are other proposals and director nominations for next year’s annual meeting due?</w:t>
      </w:r>
    </w:p>
    <w:p>
      <w:pPr>
        <w:pStyle w:val="TextBody"/>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With respect to director nominations and proposals of other business (other than those to be included in our proxy statement pursuant to and in compliance with Rule 14a-8), our bylaws provide that stockholders who intend to present a stockholder proposal or director nomination at the 2024 annual meeting must deliver written notice of the proposal or nomination to our Corporate Secretary between 90 and 120 days prior to the one-year anniversary date of the 2023 annual meeting (that is, between February 8, 2024 and the close of business (5:00 p.m. Pacific Time) on March 9, 2024). If the 2024 annual meeting date is advanced by more than 30 days before or delayed by more than 60 days after the anniversary date of the 2023 annual meeting, then such notice must be received on or before 10 days after the day on which the date of the 2024 annual meeting is first disclosed in a public announcement. Notice of any such stockholder proposals and director nominations must satisfy the requirements set forth in our bylaws.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a stockholder fails to meet these deadlines and fails to satisfy the requirements of Rule 14a-4 under the Exchange Act, we may exercise discretionary voting authority under proxies we solicit to vote on any such proposal as we determine appropriate. In addition to satisfying the deadlines and requirements under our bylaws, a stockholder who intends to solicit proxies pursuant to Rule 14a-19 under the Exchange Act in support of nominees submitted under these advance notice provisions for the 2024 annual meeting must notify our Corporate Secretary in writing not later than the close of business (5:00 p.m. Pacific Time) on April 8, 2024. Proposals and nominations not meeting the requirements set forth in our bylaws will not be entertained at the Annual Meeting. All notices of proposals or nominations, as applicable, must be addressed to our Corporate Secretary at 60 Leveroni Court, Novato, California 94949.</w:t>
      </w:r>
    </w:p>
    <w:p>
      <w:pPr>
        <w:pStyle w:val="TextBody"/>
        <w:rPr>
          <w:caps w:val="false"/>
          <w:smallCaps w:val="false"/>
        </w:rPr>
      </w:pPr>
      <w:r>
        <w:rPr>
          <w:caps w:val="false"/>
          <w:smallCaps w:val="false"/>
        </w:rPr>
        <w:t> </w:t>
      </w:r>
    </w:p>
    <w:p>
      <w:pPr>
        <w:pStyle w:val="Heading4"/>
        <w:rPr>
          <w:rFonts w:ascii="Arial;Helvetica;Sans-Serif" w:hAnsi="Arial;Helvetica;Sans-Serif"/>
          <w:b/>
          <w:i w:val="false"/>
          <w:caps w:val="false"/>
          <w:smallCaps w:val="false"/>
          <w:color w:val="7CBC3E"/>
          <w:sz w:val="24"/>
        </w:rPr>
      </w:pPr>
      <w:r>
        <w:rPr>
          <w:rFonts w:ascii="Arial;Helvetica;Sans-Serif" w:hAnsi="Arial;Helvetica;Sans-Serif"/>
          <w:b/>
          <w:i w:val="false"/>
          <w:caps w:val="false"/>
          <w:smallCaps w:val="false"/>
          <w:color w:val="7CBC3E"/>
          <w:sz w:val="24"/>
        </w:rPr>
        <w:t>How can I find out the result of the voting at the Annual Meeting?</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Preliminary voting results will be announced at the Annual Meeting. In addition, final voting results will be published in a current report on Form 8-K that we expect to file with the SEC within four business days after the Annual Meeting.</w:t>
      </w:r>
    </w:p>
    <w:p>
      <w:pPr>
        <w:pStyle w:val="TextBody"/>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76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2"/>
        <w:jc w:val="both"/>
        <w:rPr>
          <w:rFonts w:ascii="Arial;Helvetica;Sans-Serif" w:hAnsi="Arial;Helvetica;Sans-Serif"/>
          <w:b/>
          <w:i w:val="false"/>
          <w:caps w:val="false"/>
          <w:smallCaps w:val="false"/>
          <w:color w:val="7CBC3E"/>
          <w:sz w:val="40"/>
        </w:rPr>
      </w:pPr>
      <w:bookmarkStart w:id="121" w:name="lrarea108"/>
      <w:bookmarkEnd w:id="121"/>
      <w:r>
        <w:rPr>
          <w:rFonts w:ascii="Arial;Helvetica;Sans-Serif" w:hAnsi="Arial;Helvetica;Sans-Serif"/>
          <w:b/>
          <w:i w:val="false"/>
          <w:caps w:val="false"/>
          <w:smallCaps w:val="false"/>
          <w:color w:val="7CBC3E"/>
          <w:sz w:val="40"/>
        </w:rPr>
        <w:t>Other Business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know of no other matters to be submitted to a vote of stockholders at the Annual Meeting. If any other matter is properly brought before the Annual Meeting or any adjournment thereof, it is the intention of the persons named in the enclosed proxy card as proxy holders to vote the shares they represent in accordance with their judgment. In order for any stockholder to nominate a candidate or to submit a proposal for other business to be acted upon at a given annual meeting, he or she must provide timely written notice to our Corporate Secretary in the form prescribed by our bylaws, as described above.</w:t>
      </w:r>
    </w:p>
    <w:p>
      <w:pPr>
        <w:pStyle w:val="TextBody"/>
        <w:jc w:val="both"/>
        <w:rPr>
          <w:caps w:val="false"/>
          <w:smallCaps w:val="false"/>
          <w:color w:val="7CBC3E"/>
        </w:rPr>
      </w:pPr>
      <w:r>
        <w:rPr>
          <w:caps w:val="false"/>
          <w:smallCaps w:val="false"/>
          <w:color w:val="7CBC3E"/>
        </w:rPr>
        <w:t> </w:t>
      </w:r>
    </w:p>
    <w:p>
      <w:pPr>
        <w:pStyle w:val="Heading2"/>
        <w:jc w:val="both"/>
        <w:rPr>
          <w:rFonts w:ascii="Arial;Helvetica;Sans-Serif" w:hAnsi="Arial;Helvetica;Sans-Serif"/>
          <w:b/>
          <w:i w:val="false"/>
          <w:caps w:val="false"/>
          <w:smallCaps w:val="false"/>
          <w:color w:val="7CBC3E"/>
          <w:sz w:val="40"/>
        </w:rPr>
      </w:pPr>
      <w:bookmarkStart w:id="122" w:name="lrarea109"/>
      <w:bookmarkEnd w:id="122"/>
      <w:r>
        <w:rPr>
          <w:rFonts w:ascii="Arial;Helvetica;Sans-Serif" w:hAnsi="Arial;Helvetica;Sans-Serif"/>
          <w:b/>
          <w:i w:val="false"/>
          <w:caps w:val="false"/>
          <w:smallCaps w:val="false"/>
          <w:color w:val="7CBC3E"/>
          <w:sz w:val="40"/>
        </w:rPr>
        <w:t>Forward-Looking Statements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Certain of the statements made in this Proxy Statement are “forward-looking statements” within the meaning of Section 27A of the Securities Act of 1933, as amended, Section 21E of the Exchange Act and the Private Securities Litigation Reform Act of 1995, including, among others, statements related to our expectations and projections regarding our future operating results and financial performance, anticipated cost or expense reductions, the timing, progress and plans for our clinical programs and clinical studies, future regulatory interactions, goals and other statements regarding our ESG activities, anticipated effects of our executive compensation structure and programs, and the components and timing of regulatory submissions. Such forward-looking statements involve substantial risks and uncertainties that could cause our clinical development programs, collaboration with third parties, future results, performance or achievements to differ significantly from those expressed or implied by the forward-looking statements. Such risks and uncertainties include, among others, business and operating results, risks related to reliance on third party partners to conduct certain activities on the Company’s behalf, uncertainty and potential delays related to clinical drug development, smaller than anticipated market opportunities for the Company’s products and product candidates, manufacturing risks, competition from other therapies or products, and other matters that could affect sufficiency of existing cash, cash equivalents and short-term investments to fund operations, the Company’s future operating results and financial performance, the timing of clinical trial activities and reporting results from same, and the availability or commercial potential of Ultragenyx’s products and drug candidates. The Company expressly disclaims any obligation to update or revise any forward-looking statements. For a further description of the risks and uncertainties that could cause actual results to differ from those expressed in these forward-looking statements, as well as risks relating to the business of Ultragenyx in general, see our Annual Report on Form 10-K for the fiscal year ended December 31, 2022 filed with the SEC in February 2023, and our subsequent annual and periodic reports filed with the SEC.</w:t>
      </w:r>
    </w:p>
    <w:p>
      <w:pPr>
        <w:pStyle w:val="TextBody"/>
        <w:jc w:val="both"/>
        <w:rPr>
          <w:caps w:val="false"/>
          <w:smallCaps w:val="false"/>
          <w:color w:val="7CBC3E"/>
        </w:rPr>
      </w:pPr>
      <w:r>
        <w:rPr>
          <w:caps w:val="false"/>
          <w:smallCaps w:val="false"/>
          <w:color w:val="7CBC3E"/>
        </w:rPr>
        <w:t> </w:t>
      </w:r>
    </w:p>
    <w:p>
      <w:pPr>
        <w:pStyle w:val="Heading2"/>
        <w:jc w:val="both"/>
        <w:rPr>
          <w:rFonts w:ascii="Arial;Helvetica;Sans-Serif" w:hAnsi="Arial;Helvetica;Sans-Serif"/>
          <w:b/>
          <w:i w:val="false"/>
          <w:caps w:val="false"/>
          <w:smallCaps w:val="false"/>
          <w:color w:val="7CBC3E"/>
          <w:sz w:val="40"/>
        </w:rPr>
      </w:pPr>
      <w:bookmarkStart w:id="123" w:name="lrarea110"/>
      <w:bookmarkEnd w:id="123"/>
      <w:r>
        <w:rPr>
          <w:rFonts w:ascii="Arial;Helvetica;Sans-Serif" w:hAnsi="Arial;Helvetica;Sans-Serif"/>
          <w:b/>
          <w:i w:val="false"/>
          <w:caps w:val="false"/>
          <w:smallCaps w:val="false"/>
          <w:color w:val="7CBC3E"/>
          <w:sz w:val="40"/>
        </w:rPr>
        <w:t>Delivery Of Proxy Materials</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Our annual report to stockholders for the fiscal year ended December 31, 2022, including audited financial statements, accompanies this Proxy Statement. We will provide copies of our Annual Report charge upon written request of a stockholder to our investor relations department at 60 Leveroni Court, Novato, California 94949. </w:t>
      </w:r>
      <w:r>
        <w:rPr>
          <w:rFonts w:ascii="Arial;Helvetica;Sans-Serif" w:hAnsi="Arial;Helvetica;Sans-Serif"/>
          <w:b w:val="false"/>
          <w:i w:val="false"/>
          <w:caps w:val="false"/>
          <w:smallCaps w:val="false"/>
          <w:sz w:val="18"/>
        </w:rPr>
        <w:t xml:space="preserve">Copies of these materials are also available online through the SEC at </w:t>
      </w:r>
      <w:r>
        <w:rPr>
          <w:rFonts w:ascii="Arial;Helvetica;Sans-Serif" w:hAnsi="Arial;Helvetica;Sans-Serif"/>
          <w:b w:val="false"/>
          <w:i/>
          <w:caps w:val="false"/>
          <w:smallCaps w:val="false"/>
          <w:sz w:val="18"/>
        </w:rPr>
        <w:t>www.sec.gov</w:t>
      </w:r>
      <w:r>
        <w:rPr>
          <w:rFonts w:ascii="Arial;Helvetica;Sans-Serif" w:hAnsi="Arial;Helvetica;Sans-Serif"/>
          <w:b w:val="false"/>
          <w:i w:val="false"/>
          <w:caps w:val="false"/>
          <w:smallCaps w:val="false"/>
          <w:sz w:val="18"/>
        </w:rPr>
        <w:t>. We may satisfy SEC rules regarding delivery of proxy materials, including the Proxy Statement, Annual Report and Notice of Internet Availability by delivering a single copy of the proxy materials to stockholders who have the same address and do not participate in electronic delivery of proxy materials, a procedure adopted by the SEC called “householding.” This delivery method can result in meaningful cost savings for us and conservation of natural resources. Under this procedure, only one copy of the proxy materials will be delivered to multiple stockholders who share an address, unless contrary instructions are received from one or more stockholders at that address. We undertake to deliver promptly upon written or oral request a separate copy of the Proxy statement, Annual Report or Notice of Internet Availability to a stockholder at a shared address to which a single copy of these materials was delivered. If you hold stock as a registered holder and prefer to receive separate copies of these materials either now or in the future, please contact our investor relations department at 60 Leveroni Court, Novato, California 94949 or by telephone at (415) 483-8800. Similarly, if you share an address with another stockholder and have received multiple copies of the proxy materials, you may write or call us at the address and phone number above to request delivery of a single copy of these materials in the future. If your stock is held through a brokerage firm, bank or other financial institution and you received a single copy of the proxy materials and prefer to receive separate copies of the proxy materials, either now or in the future, please contact your brokerage firm, bank or other financial institution.</w:t>
      </w:r>
    </w:p>
    <w:p>
      <w:pPr>
        <w:pStyle w:val="TextBody"/>
        <w:jc w:val="both"/>
        <w:rPr>
          <w:caps w:val="false"/>
          <w:smallCaps w:val="false"/>
        </w:rPr>
      </w:pPr>
      <w:r>
        <w:rPr>
          <w:caps w:val="false"/>
          <w:smallCaps w:val="false"/>
        </w:rPr>
        <w:t> </w:t>
      </w:r>
    </w:p>
    <w:p>
      <w:pPr>
        <w:pStyle w:val="TextBody"/>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EACH STOCKHOLDER IS URGED TO VOTE VIA THE INTERNET AS INSTRUCTED IN THE NOTICE OF INTERNET AVAILABILITY OR, IF YOU REQUESTED AND RECEIVED A PRINTED COPY OF THE PROXY MATERIALS, BY COMPLETING, DATING, SIGNING AND RETURNING THE ENCLOSED PROXY CARD USING THE ENCLOSED RETURN ENVELOPE OR VOTING INSTRUCTION FORM PROVIDED WITH THE PRINTED PROXY MATERIALS, AS PROMPTLY AS POSSIBLE SO THAT YOUR SHARES MAY BE REPRESENTED AT THE ANNUAL MEETING.</w:t>
      </w:r>
    </w:p>
    <w:p>
      <w:pPr>
        <w:pStyle w:val="TextBody"/>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77</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ind w:left="0" w:right="0" w:hanging="0"/>
        <w:rPr>
          <w:rFonts w:ascii="Arial;Helvetica;Sans-Serif" w:hAnsi="Arial;Helvetica;Sans-Serif"/>
          <w:b/>
          <w:i w:val="false"/>
          <w:caps w:val="false"/>
          <w:smallCaps w:val="false"/>
          <w:color w:val="743F7B"/>
          <w:sz w:val="28"/>
        </w:rPr>
      </w:pPr>
      <w:bookmarkStart w:id="124" w:name="lrarea111"/>
      <w:bookmarkEnd w:id="124"/>
      <w:r>
        <w:rPr>
          <w:rFonts w:ascii="Arial;Helvetica;Sans-Serif" w:hAnsi="Arial;Helvetica;Sans-Serif"/>
          <w:b/>
          <w:i w:val="false"/>
          <w:caps w:val="false"/>
          <w:smallCaps w:val="false"/>
          <w:color w:val="743F7B"/>
          <w:sz w:val="28"/>
        </w:rPr>
        <w:t>APPENDIX A</w:t>
      </w:r>
    </w:p>
    <w:p>
      <w:pPr>
        <w:pStyle w:val="Heading2"/>
        <w:spacing w:before="0" w:after="0"/>
        <w:ind w:left="0" w:right="0" w:hanging="0"/>
        <w:rPr>
          <w:rFonts w:ascii="Arial;Helvetica;Sans-Serif" w:hAnsi="Arial;Helvetica;Sans-Serif"/>
          <w:b/>
          <w:i w:val="false"/>
          <w:caps w:val="false"/>
          <w:smallCaps w:val="false"/>
          <w:color w:val="7CBC3E"/>
          <w:sz w:val="40"/>
        </w:rPr>
      </w:pPr>
      <w:r>
        <w:rPr>
          <w:rFonts w:ascii="Arial;Helvetica;Sans-Serif" w:hAnsi="Arial;Helvetica;Sans-Serif"/>
          <w:b/>
          <w:i w:val="false"/>
          <w:caps w:val="false"/>
          <w:smallCaps w:val="false"/>
          <w:color w:val="7CBC3E"/>
          <w:sz w:val="40"/>
        </w:rPr>
        <w:t>Ultragenyx Pharmaceutical Inc. 2023 Incentive Plan</w:t>
      </w:r>
    </w:p>
    <w:p>
      <w:pPr>
        <w:pStyle w:val="TextBody"/>
        <w:spacing w:before="0" w:after="0"/>
        <w:ind w:left="0" w:right="0" w:hanging="0"/>
        <w:rPr>
          <w:caps w:val="false"/>
          <w:smallCaps w:val="false"/>
          <w:color w:val="6BF700"/>
        </w:rPr>
      </w:pPr>
      <w:r>
        <w:rPr>
          <w:caps w:val="false"/>
          <w:smallCaps w:val="false"/>
          <w:color w:val="6BF700"/>
        </w:rPr>
        <w:t> </w:t>
      </w:r>
    </w:p>
    <w:p>
      <w:pPr>
        <w:pStyle w:val="Heading3"/>
        <w:spacing w:before="0" w:after="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1. Defined Terms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Exhibit A, which is incorporated by reference, defines the terms used in the Plan and sets forth certain operational rules related to those terms.</w:t>
      </w:r>
    </w:p>
    <w:p>
      <w:pPr>
        <w:pStyle w:val="TextBody"/>
        <w:spacing w:before="0" w:after="0"/>
        <w:ind w:left="0" w:right="0" w:hanging="0"/>
        <w:rPr>
          <w:caps w:val="false"/>
          <w:smallCaps w:val="false"/>
        </w:rPr>
      </w:pPr>
      <w:r>
        <w:rPr>
          <w:caps w:val="false"/>
          <w:smallCaps w:val="false"/>
        </w:rPr>
        <w:t> </w:t>
      </w:r>
    </w:p>
    <w:p>
      <w:pPr>
        <w:pStyle w:val="Heading3"/>
        <w:spacing w:before="0" w:after="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2. Purpose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Plan has been established to advance the interests of the Company by providing for the grant to Participants of Stock-based and other incentive Awards.</w:t>
      </w:r>
    </w:p>
    <w:p>
      <w:pPr>
        <w:pStyle w:val="TextBody"/>
        <w:spacing w:before="0" w:after="0"/>
        <w:ind w:left="0" w:right="0" w:hanging="0"/>
        <w:rPr>
          <w:caps w:val="false"/>
          <w:smallCaps w:val="false"/>
        </w:rPr>
      </w:pPr>
      <w:r>
        <w:rPr>
          <w:caps w:val="false"/>
          <w:smallCaps w:val="false"/>
        </w:rPr>
        <w:t> </w:t>
      </w:r>
    </w:p>
    <w:p>
      <w:pPr>
        <w:pStyle w:val="Heading3"/>
        <w:spacing w:before="0" w:after="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3. Administration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Administrator has discretionary authority, subject only to the express provisions of the Plan, to (a) interpret and construe the Plan, any rules and regulations under the Plan and the terms and conditions of any Award; (b) determine eligibility for and grant Awards; (c) determine, modify or waive the terms and conditions of any Award; (d) prescribe forms, rules and procedures relating to the Plan; (e) establish and verify the extent of satisfaction of any Performance Criteria or other conditions applicable to the grant, issuance, retention, vesting, exercisability or settlement of any Award; (f) determine the extent to which adjustments are required pursuant to Section 7; (g) approve corrections in the documentation or administration of any Award; and otherwise do all things necessary or appropriate to carry out the purposes of the Plan. Determinations of the Administrator made under the Plan will be conclusive and will bind all parties.</w:t>
      </w:r>
    </w:p>
    <w:p>
      <w:pPr>
        <w:pStyle w:val="TextBody"/>
        <w:spacing w:before="0" w:after="0"/>
        <w:ind w:left="0" w:right="0" w:hanging="0"/>
        <w:jc w:val="both"/>
        <w:rPr>
          <w:caps w:val="false"/>
          <w:smallCaps w:val="false"/>
        </w:rPr>
      </w:pPr>
      <w:r>
        <w:rPr>
          <w:caps w:val="false"/>
          <w:smallCaps w:val="false"/>
        </w:rPr>
        <w:t> </w:t>
      </w:r>
    </w:p>
    <w:p>
      <w:pPr>
        <w:pStyle w:val="Heading3"/>
        <w:spacing w:before="0" w:after="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4. Limits on Awards Under the Plan</w:t>
      </w:r>
    </w:p>
    <w:p>
      <w:pPr>
        <w:pStyle w:val="TextBody"/>
        <w:spacing w:before="0" w:after="0"/>
        <w:ind w:left="0" w:right="0" w:hanging="0"/>
        <w:rPr>
          <w:caps w:val="false"/>
          <w:smallCaps w:val="false"/>
        </w:rPr>
      </w:pPr>
      <w:r>
        <w:rPr>
          <w:caps w:val="false"/>
          <w:smallCaps w:val="false"/>
        </w:rPr>
        <w:t> </w:t>
      </w:r>
    </w:p>
    <w:tbl>
      <w:tblPr>
        <w:tblW w:w="1825" w:type="dxa"/>
        <w:jc w:val="left"/>
        <w:tblInd w:w="0" w:type="dxa"/>
        <w:tblCellMar>
          <w:top w:w="0" w:type="dxa"/>
          <w:left w:w="0" w:type="dxa"/>
          <w:bottom w:w="0" w:type="dxa"/>
          <w:right w:w="0" w:type="dxa"/>
        </w:tblCellMar>
      </w:tblPr>
      <w:tblGrid>
        <w:gridCol w:w="260"/>
        <w:gridCol w:w="1565"/>
      </w:tblGrid>
      <w:tr>
        <w:trPr/>
        <w:tc>
          <w:tcPr>
            <w:tcW w:w="260" w:type="dxa"/>
            <w:tcBorders/>
            <w:shd w:fill="auto" w:val="clear"/>
            <w:vAlign w:val="center"/>
          </w:tcPr>
          <w:p>
            <w:pPr>
              <w:pStyle w:val="TableContents"/>
              <w:spacing w:before="0" w:after="283"/>
              <w:rPr>
                <w:rFonts w:ascii="Arial;Helvetica;Sans-Serif" w:hAnsi="Arial;Helvetica;Sans-Serif"/>
                <w:b/>
                <w:i w:val="false"/>
                <w:caps w:val="false"/>
                <w:smallCaps w:val="false"/>
                <w:color w:val="7CBC3E"/>
                <w:sz w:val="18"/>
              </w:rPr>
            </w:pPr>
            <w:r>
              <w:rPr>
                <w:rFonts w:ascii="Arial;Helvetica;Sans-Serif" w:hAnsi="Arial;Helvetica;Sans-Serif"/>
                <w:b/>
                <w:i w:val="false"/>
                <w:caps w:val="false"/>
                <w:smallCaps w:val="false"/>
                <w:color w:val="7CBC3E"/>
                <w:sz w:val="18"/>
              </w:rPr>
              <w:t>(a)</w:t>
            </w:r>
          </w:p>
        </w:tc>
        <w:tc>
          <w:tcPr>
            <w:tcW w:w="1565"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Number of Shares.</w:t>
            </w:r>
          </w:p>
        </w:tc>
      </w:tr>
    </w:tbl>
    <w:tbl>
      <w:tblPr>
        <w:tblW w:w="10205" w:type="dxa"/>
        <w:jc w:val="left"/>
        <w:tblInd w:w="0" w:type="dxa"/>
        <w:tblCellMar>
          <w:top w:w="0" w:type="dxa"/>
          <w:left w:w="0" w:type="dxa"/>
          <w:bottom w:w="0" w:type="dxa"/>
          <w:right w:w="0" w:type="dxa"/>
        </w:tblCellMar>
      </w:tblPr>
      <w:tblGrid>
        <w:gridCol w:w="75"/>
        <w:gridCol w:w="176"/>
        <w:gridCol w:w="9954"/>
      </w:tblGrid>
      <w:tr>
        <w:trPr/>
        <w:tc>
          <w:tcPr>
            <w:tcW w:w="75" w:type="dxa"/>
            <w:tcBorders/>
            <w:shd w:fill="auto" w:val="clear"/>
            <w:vAlign w:val="center"/>
          </w:tcPr>
          <w:p>
            <w:pPr>
              <w:pStyle w:val="TableContents"/>
              <w:spacing w:before="0" w:after="283"/>
              <w:jc w:val="both"/>
              <w:rPr/>
            </w:pPr>
            <w:r>
              <w:rPr/>
              <w:t> </w:t>
            </w:r>
          </w:p>
        </w:tc>
        <w:tc>
          <w:tcPr>
            <w:tcW w:w="176" w:type="dxa"/>
            <w:tcBorders/>
            <w:shd w:fill="auto" w:val="clear"/>
            <w:vAlign w:val="center"/>
          </w:tcPr>
          <w:p>
            <w:pPr>
              <w:pStyle w:val="TableContents"/>
              <w:spacing w:before="0" w:after="283"/>
              <w:jc w:val="both"/>
              <w:rPr>
                <w:rFonts w:ascii="Arial;Helvetica;Sans-Serif" w:hAnsi="Arial;Helvetica;Sans-Serif"/>
                <w:b/>
                <w:color w:val="7CBC3E"/>
                <w:sz w:val="18"/>
              </w:rPr>
            </w:pPr>
            <w:r>
              <w:rPr>
                <w:rFonts w:ascii="Arial;Helvetica;Sans-Serif" w:hAnsi="Arial;Helvetica;Sans-Serif"/>
                <w:b/>
                <w:color w:val="7CBC3E"/>
                <w:sz w:val="18"/>
              </w:rPr>
              <w:t>(i)</w:t>
            </w:r>
          </w:p>
        </w:tc>
        <w:tc>
          <w:tcPr>
            <w:tcW w:w="9954"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The maximum number of shares of Stock that may be delivered in satisfaction of Awards under the Plan is (A) 4,500,000, plus (B) the number of shares of Stock subject to any Award outstanding under a Prior Plan as of the Effective Date that after the Effective Date are not issued because such Award is forfeited, canceled, terminates, expires or otherwise lapses without being exercised (to the extent applicable), or is settled in cash. Up to 4,500,000 shares of Stock may be issued in satisfaction of ISOs, but nothing in this Section 4(a) will be construed as requiring that any, or any fixed number of, ISOs be awarded under the Plan. The limits set forth in this Section 4(a) shall be construed to comply with Section 422.</w:t>
            </w:r>
          </w:p>
        </w:tc>
      </w:tr>
      <w:tr>
        <w:trPr/>
        <w:tc>
          <w:tcPr>
            <w:tcW w:w="75" w:type="dxa"/>
            <w:tcBorders/>
            <w:shd w:fill="auto" w:val="clear"/>
            <w:vAlign w:val="center"/>
          </w:tcPr>
          <w:p>
            <w:pPr>
              <w:pStyle w:val="TableContents"/>
              <w:spacing w:before="0" w:after="283"/>
              <w:jc w:val="both"/>
              <w:rPr/>
            </w:pPr>
            <w:r>
              <w:rPr/>
              <w:t> </w:t>
            </w:r>
          </w:p>
        </w:tc>
        <w:tc>
          <w:tcPr>
            <w:tcW w:w="176" w:type="dxa"/>
            <w:tcBorders/>
            <w:shd w:fill="auto" w:val="clear"/>
            <w:vAlign w:val="center"/>
          </w:tcPr>
          <w:p>
            <w:pPr>
              <w:pStyle w:val="TableContents"/>
              <w:spacing w:before="0" w:after="283"/>
              <w:jc w:val="both"/>
              <w:rPr>
                <w:rFonts w:ascii="Arial;Helvetica;Sans-Serif" w:hAnsi="Arial;Helvetica;Sans-Serif"/>
                <w:b/>
                <w:color w:val="7CBC3E"/>
                <w:sz w:val="18"/>
              </w:rPr>
            </w:pPr>
            <w:r>
              <w:rPr>
                <w:rFonts w:ascii="Arial;Helvetica;Sans-Serif" w:hAnsi="Arial;Helvetica;Sans-Serif"/>
                <w:b/>
                <w:color w:val="7CBC3E"/>
                <w:sz w:val="18"/>
              </w:rPr>
              <w:t>(ii)</w:t>
            </w:r>
          </w:p>
        </w:tc>
        <w:tc>
          <w:tcPr>
            <w:tcW w:w="9954"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For purposes of this Section 4(a), if an outstanding Award is forfeited, canceled, terminates, expires or otherwise lapses without being exercised (to the extent applicable), or is settled in cash, the shares of Stock allocable to the terminated portion of such Award or such forfeited shares of Stock shall again be available for issuance under the Plan. Notwithstanding the foregoing, the following shares shall not be available for issuance under the Plan: (A) shares withheld from an Award under the Plan or a Prior Plan to satisfy the tax withholding obligations with respect to such Award, (B) shares withheld from an Award under the Plan or a Prior Plan in payment of the exercise price of an Award requiring exercise, (C) shares repurchased on the open market by the Company using proceeds from the exercise price paid with respect to Awards under the Plan or a Prior Plan, or (D) gross shares subject to an SAR granted under the Plan or a Prior Plan that are not issued in connection with the Stock-settlement of such SAR.</w:t>
            </w:r>
          </w:p>
        </w:tc>
      </w:tr>
    </w:tbl>
    <w:tbl>
      <w:tblPr>
        <w:tblW w:w="10205" w:type="dxa"/>
        <w:jc w:val="left"/>
        <w:tblInd w:w="0" w:type="dxa"/>
        <w:tblCellMar>
          <w:top w:w="0" w:type="dxa"/>
          <w:left w:w="0" w:type="dxa"/>
          <w:bottom w:w="0" w:type="dxa"/>
          <w:right w:w="0" w:type="dxa"/>
        </w:tblCellMar>
      </w:tblPr>
      <w:tblGrid>
        <w:gridCol w:w="208"/>
        <w:gridCol w:w="9997"/>
      </w:tblGrid>
      <w:tr>
        <w:trPr/>
        <w:tc>
          <w:tcPr>
            <w:tcW w:w="208" w:type="dxa"/>
            <w:tcBorders/>
            <w:shd w:fill="auto" w:val="clear"/>
            <w:vAlign w:val="center"/>
          </w:tcPr>
          <w:p>
            <w:pPr>
              <w:pStyle w:val="TableContents"/>
              <w:spacing w:before="0" w:after="283"/>
              <w:jc w:val="both"/>
              <w:rPr>
                <w:rFonts w:ascii="Arial;Helvetica;Sans-Serif" w:hAnsi="Arial;Helvetica;Sans-Serif"/>
                <w:b/>
                <w:color w:val="7CBC3E"/>
                <w:sz w:val="18"/>
              </w:rPr>
            </w:pPr>
            <w:r>
              <w:rPr>
                <w:rFonts w:ascii="Arial;Helvetica;Sans-Serif" w:hAnsi="Arial;Helvetica;Sans-Serif"/>
                <w:b/>
                <w:color w:val="7CBC3E"/>
                <w:sz w:val="18"/>
              </w:rPr>
              <w:t>(b)</w:t>
            </w:r>
          </w:p>
        </w:tc>
        <w:tc>
          <w:tcPr>
            <w:tcW w:w="9997"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Type of Shares. Stock delivered by the Company under the Plan may be authorized but unissued Stock or previously issued Stock acquired by the Company. No fractional shares of Stock will be delivered under the Plan.</w:t>
            </w:r>
          </w:p>
        </w:tc>
      </w:tr>
      <w:tr>
        <w:trPr/>
        <w:tc>
          <w:tcPr>
            <w:tcW w:w="208" w:type="dxa"/>
            <w:tcBorders/>
            <w:shd w:fill="auto" w:val="clear"/>
            <w:vAlign w:val="center"/>
          </w:tcPr>
          <w:p>
            <w:pPr>
              <w:pStyle w:val="TableContents"/>
              <w:spacing w:before="0" w:after="283"/>
              <w:jc w:val="both"/>
              <w:rPr>
                <w:rFonts w:ascii="Arial;Helvetica;Sans-Serif" w:hAnsi="Arial;Helvetica;Sans-Serif"/>
                <w:b/>
                <w:color w:val="7CBC3E"/>
                <w:sz w:val="18"/>
              </w:rPr>
            </w:pPr>
            <w:r>
              <w:rPr>
                <w:rFonts w:ascii="Arial;Helvetica;Sans-Serif" w:hAnsi="Arial;Helvetica;Sans-Serif"/>
                <w:b/>
                <w:color w:val="7CBC3E"/>
                <w:sz w:val="18"/>
              </w:rPr>
              <w:t>(c)</w:t>
            </w:r>
          </w:p>
        </w:tc>
        <w:tc>
          <w:tcPr>
            <w:tcW w:w="9997" w:type="dxa"/>
            <w:tcBorders/>
            <w:shd w:fill="auto" w:val="clear"/>
            <w:vAlign w:val="center"/>
          </w:tcPr>
          <w:p>
            <w:pPr>
              <w:pStyle w:val="TableContents"/>
              <w:spacing w:before="0" w:after="283"/>
              <w:jc w:val="both"/>
              <w:rPr>
                <w:rFonts w:ascii="Arial;Helvetica;Sans-Serif" w:hAnsi="Arial;Helvetica;Sans-Serif"/>
                <w:color w:val="000000"/>
                <w:sz w:val="18"/>
              </w:rPr>
            </w:pPr>
            <w:r>
              <w:rPr>
                <w:rFonts w:ascii="Arial;Helvetica;Sans-Serif" w:hAnsi="Arial;Helvetica;Sans-Serif"/>
                <w:color w:val="000000"/>
                <w:sz w:val="18"/>
              </w:rPr>
              <w:t>Limit on Non-Employee Director Compensation. The aggregate dollar value of equity-based (based on the grant date fair value of equity-based Awards determined for financial reporting purposes) and cash compensation granted under the Plan or otherwise to any non-employee director shall not exceed $900,000 during any calendar year for services provided as a non-employee director; provided, however,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$1,500,000.</w:t>
            </w:r>
          </w:p>
        </w:tc>
      </w:tr>
    </w:tbl>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78</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5. Eligibility and Participation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Administrator will select Participants from among key Employees and directors of, and consultants and advisors to, the Company and its Affiliates. Eligibility for ISOs is limited to individuals described in the first sentence of this Section 5 who are employees of the Company or of a “parent corporation” or “subsidiary corporation” of the Company as those terms are defined in Section 424 of the Code. Eligibility for Stock Options other than ISOs is limited to individuals described in the first sentence of this Section 5 who are providing direct services on the date of grant of the Stock Option to the Company or to a subsidiary of the Company that would be described in the first sentence of Section 1.409A-1(b)(5)(iii)(E) of the Treasury Regulations.</w:t>
      </w:r>
    </w:p>
    <w:p>
      <w:pPr>
        <w:pStyle w:val="TextBody"/>
        <w:spacing w:before="0" w:after="0"/>
        <w:ind w:left="0" w:right="0" w:hanging="0"/>
        <w:jc w:val="both"/>
        <w:rPr>
          <w:caps w:val="false"/>
          <w:smallCaps w:val="false"/>
        </w:rPr>
      </w:pPr>
      <w:r>
        <w:rPr>
          <w:caps w:val="false"/>
          <w:smallCaps w:val="false"/>
        </w:rPr>
        <w:t> </w:t>
      </w:r>
    </w:p>
    <w:p>
      <w:pPr>
        <w:pStyle w:val="Heading3"/>
        <w:spacing w:before="0" w:after="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6. Rules Applicable to Awards</w:t>
      </w:r>
    </w:p>
    <w:p>
      <w:pPr>
        <w:pStyle w:val="TextBody"/>
        <w:spacing w:before="0" w:after="0"/>
        <w:ind w:left="0" w:right="0" w:hanging="0"/>
        <w:rPr>
          <w:caps w:val="false"/>
          <w:smallCaps w:val="false"/>
        </w:rPr>
      </w:pPr>
      <w:r>
        <w:rPr>
          <w:caps w:val="false"/>
          <w:smallCaps w:val="false"/>
        </w:rPr>
        <w:t> </w:t>
      </w:r>
    </w:p>
    <w:tbl>
      <w:tblPr>
        <w:tblW w:w="1210" w:type="dxa"/>
        <w:jc w:val="left"/>
        <w:tblInd w:w="0" w:type="dxa"/>
        <w:tblCellMar>
          <w:top w:w="0" w:type="dxa"/>
          <w:left w:w="0" w:type="dxa"/>
          <w:bottom w:w="0" w:type="dxa"/>
          <w:right w:w="0" w:type="dxa"/>
        </w:tblCellMar>
      </w:tblPr>
      <w:tblGrid>
        <w:gridCol w:w="260"/>
        <w:gridCol w:w="950"/>
      </w:tblGrid>
      <w:tr>
        <w:trPr/>
        <w:tc>
          <w:tcPr>
            <w:tcW w:w="260"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(a)</w:t>
            </w:r>
          </w:p>
        </w:tc>
        <w:tc>
          <w:tcPr>
            <w:tcW w:w="950"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All Awards.</w:t>
            </w:r>
          </w:p>
        </w:tc>
      </w:tr>
    </w:tbl>
    <w:tbl>
      <w:tblPr>
        <w:tblW w:w="10205" w:type="dxa"/>
        <w:jc w:val="left"/>
        <w:tblInd w:w="0" w:type="dxa"/>
        <w:tblCellMar>
          <w:top w:w="0" w:type="dxa"/>
          <w:left w:w="0" w:type="dxa"/>
          <w:bottom w:w="0" w:type="dxa"/>
          <w:right w:w="0" w:type="dxa"/>
        </w:tblCellMar>
      </w:tblPr>
      <w:tblGrid>
        <w:gridCol w:w="75"/>
        <w:gridCol w:w="245"/>
        <w:gridCol w:w="9885"/>
      </w:tblGrid>
      <w:tr>
        <w:trPr/>
        <w:tc>
          <w:tcPr>
            <w:tcW w:w="75"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jc w:val="both"/>
              <w:rPr>
                <w:rFonts w:ascii="Arial;Helvetica;Sans-Serif" w:hAnsi="Arial;Helvetica;Sans-Serif"/>
                <w:b/>
                <w:color w:val="7CBC3E"/>
                <w:sz w:val="18"/>
              </w:rPr>
            </w:pPr>
            <w:r>
              <w:rPr>
                <w:rFonts w:ascii="Arial;Helvetica;Sans-Serif" w:hAnsi="Arial;Helvetica;Sans-Serif"/>
                <w:b/>
                <w:color w:val="7CBC3E"/>
                <w:sz w:val="18"/>
              </w:rPr>
              <w:t>(i)</w:t>
            </w:r>
          </w:p>
        </w:tc>
        <w:tc>
          <w:tcPr>
            <w:tcW w:w="9885"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Award Provisions. The Administrator will determine the terms of all Awards, subject to the limitations provided herein. By accepting (or, under such 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tc>
      </w:tr>
      <w:tr>
        <w:trPr/>
        <w:tc>
          <w:tcPr>
            <w:tcW w:w="75"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jc w:val="both"/>
              <w:rPr>
                <w:rFonts w:ascii="Arial;Helvetica;Sans-Serif" w:hAnsi="Arial;Helvetica;Sans-Serif"/>
                <w:b/>
                <w:color w:val="7CBC3E"/>
                <w:sz w:val="18"/>
              </w:rPr>
            </w:pPr>
            <w:r>
              <w:rPr>
                <w:rFonts w:ascii="Arial;Helvetica;Sans-Serif" w:hAnsi="Arial;Helvetica;Sans-Serif"/>
                <w:b/>
                <w:color w:val="7CBC3E"/>
                <w:sz w:val="18"/>
              </w:rPr>
              <w:t>(ii)</w:t>
            </w:r>
          </w:p>
        </w:tc>
        <w:tc>
          <w:tcPr>
            <w:tcW w:w="9885"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Term of Plan. No Awards may be made after 10 years from the Effective Date, but previously granted Awards may continue beyond that date in accordance with their terms. Notwithstanding the foregoing, no ISOs may be granted after 10 years from Date of Adoption.</w:t>
            </w:r>
          </w:p>
        </w:tc>
      </w:tr>
      <w:tr>
        <w:trPr/>
        <w:tc>
          <w:tcPr>
            <w:tcW w:w="75"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jc w:val="both"/>
              <w:rPr>
                <w:rFonts w:ascii="Arial;Helvetica;Sans-Serif" w:hAnsi="Arial;Helvetica;Sans-Serif"/>
                <w:b/>
                <w:color w:val="7CBC3E"/>
                <w:sz w:val="18"/>
              </w:rPr>
            </w:pPr>
            <w:r>
              <w:rPr>
                <w:rFonts w:ascii="Arial;Helvetica;Sans-Serif" w:hAnsi="Arial;Helvetica;Sans-Serif"/>
                <w:b/>
                <w:color w:val="7CBC3E"/>
                <w:sz w:val="18"/>
              </w:rPr>
              <w:t>(iii)</w:t>
            </w:r>
          </w:p>
        </w:tc>
        <w:tc>
          <w:tcPr>
            <w:tcW w:w="9885" w:type="dxa"/>
            <w:tcBorders/>
            <w:shd w:fill="auto" w:val="clear"/>
            <w:vAlign w:val="center"/>
          </w:tcPr>
          <w:p>
            <w:pPr>
              <w:pStyle w:val="TableContents"/>
              <w:spacing w:before="0" w:after="283"/>
              <w:jc w:val="both"/>
              <w:rPr>
                <w:rFonts w:ascii="Arial;Helvetica;Sans-Serif" w:hAnsi="Arial;Helvetica;Sans-Serif"/>
                <w:color w:val="000000"/>
                <w:sz w:val="18"/>
              </w:rPr>
            </w:pPr>
            <w:r>
              <w:rPr>
                <w:rFonts w:ascii="Arial;Helvetica;Sans-Serif" w:hAnsi="Arial;Helvetica;Sans-Serif"/>
                <w:color w:val="000000"/>
                <w:sz w:val="18"/>
              </w:rPr>
              <w:t>Transferability. Neither ISOs nor, except as the Administrator otherwise expressly provides in accordance with the second sentence of this Section 6(a)(iii), other Awards may be transferred other than by will or by the laws of descent and distribution. During a Participant’s lifetime, ISOs (and, except as the Administrator otherwise expressly provides in accordance with the second sentence of this Section 6(a)(iii), SARs and NSOs) may be exercised only by the Participant. The Administrator may permit the gratuitous transfer (i.e., transfer not for value) of Awards other than ISOs to any transferee eligible to be covered by the provisions of Form S-8 (under the Securities Act), subject to such limitations as the Administrator may impose.</w:t>
            </w:r>
          </w:p>
        </w:tc>
      </w:tr>
      <w:tr>
        <w:trPr/>
        <w:tc>
          <w:tcPr>
            <w:tcW w:w="75"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jc w:val="both"/>
              <w:rPr>
                <w:rFonts w:ascii="Arial;Helvetica;Sans-Serif" w:hAnsi="Arial;Helvetica;Sans-Serif"/>
                <w:b/>
                <w:color w:val="7CBC3E"/>
                <w:sz w:val="18"/>
              </w:rPr>
            </w:pPr>
            <w:r>
              <w:rPr>
                <w:rFonts w:ascii="Arial;Helvetica;Sans-Serif" w:hAnsi="Arial;Helvetica;Sans-Serif"/>
                <w:b/>
                <w:color w:val="7CBC3E"/>
                <w:sz w:val="18"/>
              </w:rPr>
              <w:t xml:space="preserve">(iv) </w:t>
            </w:r>
          </w:p>
        </w:tc>
        <w:tc>
          <w:tcPr>
            <w:tcW w:w="9885"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Vesting, etc. The Administrator will determine the time or times at which an Award will vest or become exercisable and the terms on which a 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tc>
      </w:tr>
    </w:tbl>
    <w:tbl>
      <w:tblPr>
        <w:tblW w:w="10205" w:type="dxa"/>
        <w:jc w:val="left"/>
        <w:tblInd w:w="0" w:type="dxa"/>
        <w:tblCellMar>
          <w:top w:w="0" w:type="dxa"/>
          <w:left w:w="0" w:type="dxa"/>
          <w:bottom w:w="0" w:type="dxa"/>
          <w:right w:w="0" w:type="dxa"/>
        </w:tblCellMar>
      </w:tblPr>
      <w:tblGrid>
        <w:gridCol w:w="75"/>
        <w:gridCol w:w="60"/>
        <w:gridCol w:w="228"/>
        <w:gridCol w:w="9842"/>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both"/>
              <w:rPr/>
            </w:pPr>
            <w:r>
              <w:rPr/>
              <w:t> </w:t>
            </w:r>
          </w:p>
        </w:tc>
        <w:tc>
          <w:tcPr>
            <w:tcW w:w="228" w:type="dxa"/>
            <w:tcBorders/>
            <w:shd w:fill="auto" w:val="clear"/>
            <w:vAlign w:val="center"/>
          </w:tcPr>
          <w:p>
            <w:pPr>
              <w:pStyle w:val="TableContents"/>
              <w:spacing w:before="0" w:after="283"/>
              <w:jc w:val="both"/>
              <w:rPr>
                <w:rFonts w:ascii="Arial;Helvetica;Sans-Serif" w:hAnsi="Arial;Helvetica;Sans-Serif"/>
                <w:b/>
                <w:color w:val="7CBC3E"/>
                <w:sz w:val="18"/>
              </w:rPr>
            </w:pPr>
            <w:r>
              <w:rPr>
                <w:rFonts w:ascii="Arial;Helvetica;Sans-Serif" w:hAnsi="Arial;Helvetica;Sans-Serif"/>
                <w:b/>
                <w:color w:val="7CBC3E"/>
                <w:sz w:val="18"/>
              </w:rPr>
              <w:t>(A)</w:t>
            </w:r>
          </w:p>
        </w:tc>
        <w:tc>
          <w:tcPr>
            <w:tcW w:w="9842"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Immediately upon the cessation of the Participant’s Employment and except as provided in (B) and (C)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both"/>
              <w:rPr/>
            </w:pPr>
            <w:r>
              <w:rPr/>
              <w:t> </w:t>
            </w:r>
          </w:p>
        </w:tc>
        <w:tc>
          <w:tcPr>
            <w:tcW w:w="228" w:type="dxa"/>
            <w:tcBorders/>
            <w:shd w:fill="auto" w:val="clear"/>
            <w:vAlign w:val="center"/>
          </w:tcPr>
          <w:p>
            <w:pPr>
              <w:pStyle w:val="TableContents"/>
              <w:spacing w:before="0" w:after="283"/>
              <w:jc w:val="both"/>
              <w:rPr>
                <w:rFonts w:ascii="Arial;Helvetica;Sans-Serif" w:hAnsi="Arial;Helvetica;Sans-Serif"/>
                <w:b/>
                <w:color w:val="7CBC3E"/>
                <w:sz w:val="18"/>
              </w:rPr>
            </w:pPr>
            <w:r>
              <w:rPr>
                <w:rFonts w:ascii="Arial;Helvetica;Sans-Serif" w:hAnsi="Arial;Helvetica;Sans-Serif"/>
                <w:b/>
                <w:color w:val="7CBC3E"/>
                <w:sz w:val="18"/>
              </w:rPr>
              <w:t>(B)</w:t>
            </w:r>
          </w:p>
        </w:tc>
        <w:tc>
          <w:tcPr>
            <w:tcW w:w="9842" w:type="dxa"/>
            <w:tcBorders/>
            <w:shd w:fill="auto" w:val="clear"/>
            <w:vAlign w:val="center"/>
          </w:tcPr>
          <w:p>
            <w:pPr>
              <w:pStyle w:val="TableContents"/>
              <w:spacing w:before="0" w:after="283"/>
              <w:jc w:val="both"/>
              <w:rPr>
                <w:rFonts w:ascii="Arial;Helvetica;Sans-Serif" w:hAnsi="Arial;Helvetica;Sans-Serif"/>
                <w:color w:val="000000"/>
                <w:sz w:val="18"/>
              </w:rPr>
            </w:pPr>
            <w:r>
              <w:rPr>
                <w:rFonts w:ascii="Arial;Helvetica;Sans-Serif" w:hAnsi="Arial;Helvetica;Sans-Serif"/>
                <w:color w:val="000000"/>
                <w:sz w:val="18"/>
              </w:rPr>
              <w:t>Subject to (C) and (D) below, all Stock Options and SARs held by the Participant or the Participant’s permitted transferees, if any, immediately prior to the cessation of the Participant’s Employment, to the extent then exercisable, will remain exercisable for the lesser of (i) a period of three months or (ii) the period ending on the latest date on which such Stock Option or SAR could have been exercised without regard to this Section 6(a)(iv), and will thereupon immediately terminate.</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both"/>
              <w:rPr/>
            </w:pPr>
            <w:r>
              <w:rPr/>
              <w:t> </w:t>
            </w:r>
          </w:p>
        </w:tc>
        <w:tc>
          <w:tcPr>
            <w:tcW w:w="228" w:type="dxa"/>
            <w:tcBorders/>
            <w:shd w:fill="auto" w:val="clear"/>
            <w:vAlign w:val="center"/>
          </w:tcPr>
          <w:p>
            <w:pPr>
              <w:pStyle w:val="TableContents"/>
              <w:spacing w:before="0" w:after="283"/>
              <w:jc w:val="both"/>
              <w:rPr>
                <w:rFonts w:ascii="Arial;Helvetica;Sans-Serif" w:hAnsi="Arial;Helvetica;Sans-Serif"/>
                <w:b/>
                <w:color w:val="7CBC3E"/>
                <w:sz w:val="18"/>
              </w:rPr>
            </w:pPr>
            <w:r>
              <w:rPr>
                <w:rFonts w:ascii="Arial;Helvetica;Sans-Serif" w:hAnsi="Arial;Helvetica;Sans-Serif"/>
                <w:b/>
                <w:color w:val="7CBC3E"/>
                <w:sz w:val="18"/>
              </w:rPr>
              <w:t>(C)</w:t>
            </w:r>
          </w:p>
        </w:tc>
        <w:tc>
          <w:tcPr>
            <w:tcW w:w="9842" w:type="dxa"/>
            <w:tcBorders/>
            <w:shd w:fill="auto" w:val="clear"/>
            <w:vAlign w:val="center"/>
          </w:tcPr>
          <w:p>
            <w:pPr>
              <w:pStyle w:val="TableContents"/>
              <w:spacing w:before="0" w:after="283"/>
              <w:jc w:val="both"/>
              <w:rPr>
                <w:rFonts w:ascii="Arial;Helvetica;Sans-Serif" w:hAnsi="Arial;Helvetica;Sans-Serif"/>
                <w:color w:val="000000"/>
                <w:sz w:val="18"/>
              </w:rPr>
            </w:pPr>
            <w:r>
              <w:rPr>
                <w:rFonts w:ascii="Arial;Helvetica;Sans-Serif" w:hAnsi="Arial;Helvetica;Sans-Serif"/>
                <w:color w:val="000000"/>
                <w:sz w:val="18"/>
              </w:rPr>
              <w:t>All Stock Options and SARs held by a Participant or the Participant’s permitted transferees, if any, immediately prior to the Participant’s death, to the extent then exercisable, will remain exercisable for the lesser of (i) the one year period ending with the first anniversary of the Participant’s death or (ii) the period ending on the latest date on which such Stock Option or SAR could have been exercised without regard to this Section 6(a)(iv), and will thereupon immediately terminate.</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both"/>
              <w:rPr/>
            </w:pPr>
            <w:r>
              <w:rPr/>
              <w:t> </w:t>
            </w:r>
          </w:p>
        </w:tc>
        <w:tc>
          <w:tcPr>
            <w:tcW w:w="228" w:type="dxa"/>
            <w:tcBorders/>
            <w:shd w:fill="auto" w:val="clear"/>
            <w:vAlign w:val="center"/>
          </w:tcPr>
          <w:p>
            <w:pPr>
              <w:pStyle w:val="TableContents"/>
              <w:spacing w:before="0" w:after="283"/>
              <w:jc w:val="both"/>
              <w:rPr>
                <w:rFonts w:ascii="Arial;Helvetica;Sans-Serif" w:hAnsi="Arial;Helvetica;Sans-Serif"/>
                <w:b/>
                <w:color w:val="7CBC3E"/>
                <w:sz w:val="18"/>
              </w:rPr>
            </w:pPr>
            <w:r>
              <w:rPr>
                <w:rFonts w:ascii="Arial;Helvetica;Sans-Serif" w:hAnsi="Arial;Helvetica;Sans-Serif"/>
                <w:b/>
                <w:color w:val="7CBC3E"/>
                <w:sz w:val="18"/>
              </w:rPr>
              <w:t>(D)</w:t>
            </w:r>
          </w:p>
        </w:tc>
        <w:tc>
          <w:tcPr>
            <w:tcW w:w="9842" w:type="dxa"/>
            <w:tcBorders/>
            <w:shd w:fill="auto" w:val="clear"/>
            <w:vAlign w:val="center"/>
          </w:tcPr>
          <w:p>
            <w:pPr>
              <w:pStyle w:val="TableContents"/>
              <w:spacing w:before="0" w:after="283"/>
              <w:jc w:val="both"/>
              <w:rPr>
                <w:rFonts w:ascii="Arial;Helvetica;Sans-Serif" w:hAnsi="Arial;Helvetica;Sans-Serif"/>
                <w:color w:val="000000"/>
                <w:sz w:val="18"/>
              </w:rPr>
            </w:pPr>
            <w:r>
              <w:rPr>
                <w:rFonts w:ascii="Arial;Helvetica;Sans-Serif" w:hAnsi="Arial;Helvetica;Sans-Serif"/>
                <w:color w:val="000000"/>
                <w:sz w:val="18"/>
              </w:rPr>
              <w:t>All Stock Options and SARs (whether or not exercisable) held by a Participant or the Participant’s permitted transferees, if any, immediately prior to the cessation of the Participant’s Employment will immediately terminate upon such notice of cessation of Employment if the termination is for Cause or occurs in circumstances that in the sole determination of the Administrator would have constituted grounds for the Participant’s Employment to be terminated for Cause.</w:t>
            </w:r>
          </w:p>
        </w:tc>
      </w:tr>
    </w:tbl>
    <w:tbl>
      <w:tblPr>
        <w:tblW w:w="10205" w:type="dxa"/>
        <w:jc w:val="left"/>
        <w:tblInd w:w="0" w:type="dxa"/>
        <w:tblCellMar>
          <w:top w:w="0" w:type="dxa"/>
          <w:left w:w="0" w:type="dxa"/>
          <w:bottom w:w="0" w:type="dxa"/>
          <w:right w:w="0" w:type="dxa"/>
        </w:tblCellMar>
      </w:tblPr>
      <w:tblGrid>
        <w:gridCol w:w="75"/>
        <w:gridCol w:w="238"/>
        <w:gridCol w:w="9892"/>
      </w:tblGrid>
      <w:tr>
        <w:trPr/>
        <w:tc>
          <w:tcPr>
            <w:tcW w:w="75" w:type="dxa"/>
            <w:tcBorders/>
            <w:shd w:fill="auto" w:val="clear"/>
            <w:vAlign w:val="center"/>
          </w:tcPr>
          <w:p>
            <w:pPr>
              <w:pStyle w:val="TableContents"/>
              <w:spacing w:before="0" w:after="283"/>
              <w:jc w:val="both"/>
              <w:rPr/>
            </w:pPr>
            <w:r>
              <w:rPr/>
              <w:t> </w:t>
            </w:r>
          </w:p>
        </w:tc>
        <w:tc>
          <w:tcPr>
            <w:tcW w:w="238" w:type="dxa"/>
            <w:tcBorders/>
            <w:shd w:fill="auto" w:val="clear"/>
            <w:vAlign w:val="center"/>
          </w:tcPr>
          <w:p>
            <w:pPr>
              <w:pStyle w:val="TableContents"/>
              <w:spacing w:before="0" w:after="283"/>
              <w:jc w:val="both"/>
              <w:rPr>
                <w:rFonts w:ascii="Arial;Helvetica;Sans-Serif" w:hAnsi="Arial;Helvetica;Sans-Serif"/>
                <w:b/>
                <w:color w:val="7CBC3E"/>
                <w:sz w:val="18"/>
              </w:rPr>
            </w:pPr>
            <w:r>
              <w:rPr>
                <w:rFonts w:ascii="Arial;Helvetica;Sans-Serif" w:hAnsi="Arial;Helvetica;Sans-Serif"/>
                <w:b/>
                <w:color w:val="7CBC3E"/>
                <w:sz w:val="18"/>
              </w:rPr>
              <w:t>(v)</w:t>
            </w:r>
          </w:p>
        </w:tc>
        <w:tc>
          <w:tcPr>
            <w:tcW w:w="9892" w:type="dxa"/>
            <w:tcBorders/>
            <w:shd w:fill="auto" w:val="clear"/>
            <w:vAlign w:val="center"/>
          </w:tcPr>
          <w:p>
            <w:pPr>
              <w:pStyle w:val="TableContents"/>
              <w:spacing w:before="0" w:after="283"/>
              <w:jc w:val="both"/>
              <w:rPr>
                <w:rFonts w:ascii="Arial;Helvetica;Sans-Serif" w:hAnsi="Arial;Helvetica;Sans-Serif"/>
                <w:color w:val="000000"/>
                <w:sz w:val="18"/>
              </w:rPr>
            </w:pPr>
            <w:r>
              <w:rPr>
                <w:rFonts w:ascii="Arial;Helvetica;Sans-Serif" w:hAnsi="Arial;Helvetica;Sans-Serif"/>
                <w:color w:val="000000"/>
                <w:sz w:val="18"/>
              </w:rPr>
              <w:t>Additional Restrictions. The Administrator may cancel, rescind, withhold or otherwise limit or restrict any Award at any time if the Participant is not in compliance with all applicable provisions of the Award agreement and the Plan, or if the Participant breaches any agreement with the Company or its Affiliates with respect to confidentiality. Without limiting the generality of the foregoing, the Administrator may recover Awards made under the Plan and payments under or gain in respect of any Award to the extent required to comply with Company policy, including any clawback or recoupment policy adopted by the Company, with Section 10D of the Securities Exchange Act of 1934, as amended, or any stock exchange or similar rule adopted thereunder.</w:t>
            </w:r>
          </w:p>
        </w:tc>
      </w:tr>
      <w:tr>
        <w:trPr/>
        <w:tc>
          <w:tcPr>
            <w:tcW w:w="75" w:type="dxa"/>
            <w:tcBorders/>
            <w:shd w:fill="auto" w:val="clear"/>
            <w:vAlign w:val="center"/>
          </w:tcPr>
          <w:p>
            <w:pPr>
              <w:pStyle w:val="TableContents"/>
              <w:spacing w:before="0" w:after="283"/>
              <w:jc w:val="both"/>
              <w:rPr/>
            </w:pPr>
            <w:r>
              <w:rPr/>
              <w:t> </w:t>
            </w:r>
          </w:p>
        </w:tc>
        <w:tc>
          <w:tcPr>
            <w:tcW w:w="238" w:type="dxa"/>
            <w:tcBorders/>
            <w:shd w:fill="auto" w:val="clear"/>
            <w:vAlign w:val="center"/>
          </w:tcPr>
          <w:p>
            <w:pPr>
              <w:pStyle w:val="TableContents"/>
              <w:spacing w:before="0" w:after="283"/>
              <w:jc w:val="both"/>
              <w:rPr>
                <w:rFonts w:ascii="Arial;Helvetica;Sans-Serif" w:hAnsi="Arial;Helvetica;Sans-Serif"/>
                <w:b/>
                <w:color w:val="7CBC3E"/>
                <w:sz w:val="18"/>
              </w:rPr>
            </w:pPr>
            <w:r>
              <w:rPr>
                <w:rFonts w:ascii="Arial;Helvetica;Sans-Serif" w:hAnsi="Arial;Helvetica;Sans-Serif"/>
                <w:b/>
                <w:color w:val="7CBC3E"/>
                <w:sz w:val="18"/>
              </w:rPr>
              <w:t>(vi)</w:t>
            </w:r>
          </w:p>
        </w:tc>
        <w:tc>
          <w:tcPr>
            <w:tcW w:w="9892" w:type="dxa"/>
            <w:tcBorders/>
            <w:shd w:fill="auto" w:val="clear"/>
            <w:vAlign w:val="center"/>
          </w:tcPr>
          <w:p>
            <w:pPr>
              <w:pStyle w:val="TableContents"/>
              <w:spacing w:before="0" w:after="283"/>
              <w:jc w:val="both"/>
              <w:rPr>
                <w:rFonts w:ascii="Arial;Helvetica;Sans-Serif" w:hAnsi="Arial;Helvetica;Sans-Serif"/>
                <w:color w:val="000000"/>
                <w:sz w:val="18"/>
              </w:rPr>
            </w:pPr>
            <w:r>
              <w:rPr>
                <w:rFonts w:ascii="Arial;Helvetica;Sans-Serif" w:hAnsi="Arial;Helvetica;Sans-Serif"/>
                <w:color w:val="000000"/>
                <w:sz w:val="18"/>
              </w:rPr>
              <w:t>Taxes. The delivery, vesting and retention of Stock, cash or other property under an Award are conditioned upon</w:t>
            </w:r>
          </w:p>
        </w:tc>
      </w:tr>
    </w:tbl>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79</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75"/>
        <w:gridCol w:w="326"/>
        <w:gridCol w:w="9804"/>
      </w:tblGrid>
      <w:tr>
        <w:trPr/>
        <w:tc>
          <w:tcPr>
            <w:tcW w:w="75"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804"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full satisfaction by the Participant of all tax withholding requirements with respect to the Award. The Administrator will prescribe such rules for the withholding of taxes as it deems necessary. The Administrator may, but need not, hold back shares of Stock from an Award or permit a Participant to tender previously owned shares of Stock in satisfaction of tax withholding requirements (but not in excess of the maximum statutory withholding rate).</w:t>
            </w:r>
          </w:p>
        </w:tc>
      </w:tr>
      <w:tr>
        <w:trPr/>
        <w:tc>
          <w:tcPr>
            <w:tcW w:w="75"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(vii)</w:t>
            </w:r>
          </w:p>
        </w:tc>
        <w:tc>
          <w:tcPr>
            <w:tcW w:w="9804"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Dividend Equivalents, Etc. The Administrator may provide for the payment of amounts (on terms and subject to conditions established by the Administrator, except to the extent provided otherwise in this Section 6(a)(vii))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requirements of Section 409A. Dividends or dividend equivalent amounts payable in respect of Awards shall be subject to the same limits or restrictions as the Awards to which they relate and shall not be payable until such Awards vest. Notwithstanding the foregoing, no Stock Options or SARs shall provide for payment or accrual of dividends or dividend equivalents.</w:t>
            </w:r>
          </w:p>
        </w:tc>
      </w:tr>
      <w:tr>
        <w:trPr/>
        <w:tc>
          <w:tcPr>
            <w:tcW w:w="75"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(viii)</w:t>
            </w:r>
          </w:p>
        </w:tc>
        <w:tc>
          <w:tcPr>
            <w:tcW w:w="9804"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Rights Limited. Nothing in the Plan will be construed as giving any person the right to continued employment or service with the Company or its Affiliates, or any rights as a stockholder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any Affiliate to the Participant.</w:t>
            </w:r>
          </w:p>
        </w:tc>
      </w:tr>
      <w:tr>
        <w:trPr/>
        <w:tc>
          <w:tcPr>
            <w:tcW w:w="75"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(ix)</w:t>
            </w:r>
          </w:p>
        </w:tc>
        <w:tc>
          <w:tcPr>
            <w:tcW w:w="9804"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Coordination with Other Plans. Awards under the Plan may be granted in tandem with, or in satisfaction of or substitution for, other Awards 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will be treated as awarded under the Plan (and will reduce the number of shares thereafter available under the Plan in accordance with the rules set forth in Section 4).</w:t>
            </w:r>
          </w:p>
        </w:tc>
      </w:tr>
      <w:tr>
        <w:trPr/>
        <w:tc>
          <w:tcPr>
            <w:tcW w:w="75"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(x)</w:t>
            </w:r>
          </w:p>
        </w:tc>
        <w:tc>
          <w:tcPr>
            <w:tcW w:w="9804"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Section 409A. Each Award will contain such terms as the Administrator determines, and will be construed and administered, such that the Award either qualifies for an exemption from the requirements of Section 409A or satisfies such requirements.</w:t>
            </w:r>
          </w:p>
        </w:tc>
      </w:tr>
    </w:tbl>
    <w:tbl>
      <w:tblPr>
        <w:tblW w:w="2335" w:type="dxa"/>
        <w:jc w:val="left"/>
        <w:tblInd w:w="0" w:type="dxa"/>
        <w:tblCellMar>
          <w:top w:w="0" w:type="dxa"/>
          <w:left w:w="0" w:type="dxa"/>
          <w:bottom w:w="0" w:type="dxa"/>
          <w:right w:w="0" w:type="dxa"/>
        </w:tblCellMar>
      </w:tblPr>
      <w:tblGrid>
        <w:gridCol w:w="260"/>
        <w:gridCol w:w="2075"/>
      </w:tblGrid>
      <w:tr>
        <w:trPr/>
        <w:tc>
          <w:tcPr>
            <w:tcW w:w="260"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(b)</w:t>
            </w:r>
          </w:p>
        </w:tc>
        <w:tc>
          <w:tcPr>
            <w:tcW w:w="2075"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Stock Options and SARs.</w:t>
            </w:r>
          </w:p>
        </w:tc>
      </w:tr>
    </w:tbl>
    <w:tbl>
      <w:tblPr>
        <w:tblW w:w="10205" w:type="dxa"/>
        <w:jc w:val="left"/>
        <w:tblInd w:w="0" w:type="dxa"/>
        <w:tblCellMar>
          <w:top w:w="0" w:type="dxa"/>
          <w:left w:w="0" w:type="dxa"/>
          <w:bottom w:w="0" w:type="dxa"/>
          <w:right w:w="0" w:type="dxa"/>
        </w:tblCellMar>
      </w:tblPr>
      <w:tblGrid>
        <w:gridCol w:w="75"/>
        <w:gridCol w:w="238"/>
        <w:gridCol w:w="9892"/>
      </w:tblGrid>
      <w:tr>
        <w:trPr/>
        <w:tc>
          <w:tcPr>
            <w:tcW w:w="75"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w:t>
            </w:r>
          </w:p>
        </w:tc>
        <w:tc>
          <w:tcPr>
            <w:tcW w:w="9892"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Time and Manner of Exercise. Unless the Administrator expressly provides otherwise, no Stock Option or SAR will be deemed to have been 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w:t>
            </w:r>
          </w:p>
        </w:tc>
      </w:tr>
      <w:tr>
        <w:trPr/>
        <w:tc>
          <w:tcPr>
            <w:tcW w:w="75"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(ii)</w:t>
            </w:r>
          </w:p>
        </w:tc>
        <w:tc>
          <w:tcPr>
            <w:tcW w:w="9892"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Exercise Price. The exercise price (or the base value from which appreciation is to be measured) of each Award requiring exercise will be no less than 100% (or in the case of an ISO granted to a ten-percent shareholder within the meaning of Section 422, 110%) of the Fair Market Value of the Stock subject to the Award, determined as of the date of grant, or such higher amount as the Administrator may determine in connection with the grant.</w:t>
            </w:r>
          </w:p>
        </w:tc>
      </w:tr>
      <w:tr>
        <w:trPr/>
        <w:tc>
          <w:tcPr>
            <w:tcW w:w="75"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(iii)</w:t>
            </w:r>
          </w:p>
        </w:tc>
        <w:tc>
          <w:tcPr>
            <w:tcW w:w="9892" w:type="dxa"/>
            <w:tcBorders/>
            <w:shd w:fill="auto" w:val="clear"/>
            <w:vAlign w:val="center"/>
          </w:tcPr>
          <w:p>
            <w:pPr>
              <w:pStyle w:val="TableContents"/>
              <w:spacing w:before="0" w:after="283"/>
              <w:jc w:val="both"/>
              <w:rPr>
                <w:rFonts w:ascii="Arial;Helvetica;Sans-Serif" w:hAnsi="Arial;Helvetica;Sans-Serif"/>
                <w:color w:val="000000"/>
                <w:sz w:val="18"/>
              </w:rPr>
            </w:pPr>
            <w:r>
              <w:rPr>
                <w:rFonts w:ascii="Arial;Helvetica;Sans-Serif" w:hAnsi="Arial;Helvetica;Sans-Serif"/>
                <w:color w:val="000000"/>
                <w:sz w:val="18"/>
              </w:rPr>
              <w:t>Payment of Exercise Price. Where the exercise of an Award is to be accompanied by payment, payment of the exercise price will be by cash or check acceptable to the Administrator or by such other legally permissible means, if any, as may be acceptable to the Administrator.</w:t>
            </w:r>
          </w:p>
        </w:tc>
      </w:tr>
      <w:tr>
        <w:trPr/>
        <w:tc>
          <w:tcPr>
            <w:tcW w:w="75"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(iv)</w:t>
            </w:r>
          </w:p>
        </w:tc>
        <w:tc>
          <w:tcPr>
            <w:tcW w:w="9892" w:type="dxa"/>
            <w:tcBorders/>
            <w:shd w:fill="auto" w:val="clear"/>
            <w:vAlign w:val="center"/>
          </w:tcPr>
          <w:p>
            <w:pPr>
              <w:pStyle w:val="TableContents"/>
              <w:spacing w:before="0" w:after="283"/>
              <w:jc w:val="both"/>
              <w:rPr>
                <w:rFonts w:ascii="Arial;Helvetica;Sans-Serif" w:hAnsi="Arial;Helvetica;Sans-Serif"/>
                <w:color w:val="000000"/>
                <w:sz w:val="18"/>
              </w:rPr>
            </w:pPr>
            <w:r>
              <w:rPr>
                <w:rFonts w:ascii="Arial;Helvetica;Sans-Serif" w:hAnsi="Arial;Helvetica;Sans-Serif"/>
                <w:color w:val="000000"/>
                <w:sz w:val="18"/>
              </w:rPr>
              <w:t>Maximum Term. Stock Options and SARs will have a maximum term not to exceed 10 years from the date of grant (or five years from the date of grant in the case of an ISO granted to a ten-percent shareholder described in Section 6(b)(ii) above); provided, however, that, if a Participant still holding an outstanding but unexercised NSO or SAR 10 years from the date of grant (or, in the case of an NSO or SAR with a maximum term of less than 10 years, such maximum term) is prohibited by applicable law from exercising such Stock Options or SARs, and if at such time the Stock is publicly traded (as determined by the Administrator), the maximum term of such Award will instead be deemed to expire on the 30</w:t>
            </w:r>
            <w:r>
              <w:rPr>
                <w:rFonts w:ascii="Arial;Helvetica;Sans-Serif" w:hAnsi="Arial;Helvetica;Sans-Serif"/>
                <w:color w:val="000000"/>
                <w:position w:val="6"/>
                <w:sz w:val="14"/>
                <w:sz w:val="18"/>
              </w:rPr>
              <w:t xml:space="preserve">th </w:t>
            </w:r>
            <w:r>
              <w:rPr>
                <w:rFonts w:ascii="Arial;Helvetica;Sans-Serif" w:hAnsi="Arial;Helvetica;Sans-Serif"/>
                <w:color w:val="000000"/>
                <w:sz w:val="18"/>
              </w:rPr>
              <w:t>day following the date the Participant is no longer prohibited from engaging in such open market sales.</w:t>
            </w:r>
          </w:p>
        </w:tc>
      </w:tr>
      <w:tr>
        <w:trPr/>
        <w:tc>
          <w:tcPr>
            <w:tcW w:w="75"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(v)</w:t>
            </w:r>
          </w:p>
        </w:tc>
        <w:tc>
          <w:tcPr>
            <w:tcW w:w="9892" w:type="dxa"/>
            <w:tcBorders/>
            <w:shd w:fill="auto" w:val="clear"/>
            <w:vAlign w:val="center"/>
          </w:tcPr>
          <w:p>
            <w:pPr>
              <w:pStyle w:val="TableContents"/>
              <w:spacing w:before="0" w:after="283"/>
              <w:jc w:val="both"/>
              <w:rPr>
                <w:rFonts w:ascii="Arial;Helvetica;Sans-Serif" w:hAnsi="Arial;Helvetica;Sans-Serif"/>
                <w:color w:val="000000"/>
                <w:sz w:val="18"/>
              </w:rPr>
            </w:pPr>
            <w:r>
              <w:rPr>
                <w:rFonts w:ascii="Arial;Helvetica;Sans-Serif" w:hAnsi="Arial;Helvetica;Sans-Serif"/>
                <w:color w:val="000000"/>
                <w:sz w:val="18"/>
              </w:rPr>
              <w:t>No Repricing without Stockholder Approval. The Company shall not, without stockholder approval (except in the case of a change in the Company’s capitalization (as described in Section 7(b)), (A) reduce the exercise price of a Stock Option or SAR, (B) other than in the case of Covered Transaction, at any time when the exercise price of a Stock Option or SAR is above the Fair Market Value of a share of Stock, cancel and re-grant or exchange such Stock Option or SAR for cash or a new Award having a lower (or no) exercise price, or (c) take any other action with respect to an Award that would be treated as a repricing under generally accepted accounting principles.</w:t>
            </w:r>
          </w:p>
        </w:tc>
      </w:tr>
      <w:tr>
        <w:trPr/>
        <w:tc>
          <w:tcPr>
            <w:tcW w:w="75"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(vi)</w:t>
            </w:r>
          </w:p>
        </w:tc>
        <w:tc>
          <w:tcPr>
            <w:tcW w:w="9892"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No Reload Grants. Stock Options shall not be granted under the Plan in consideration for, and shall not be conditioned upon the delivery of, shares of Stock to the Company in payment of the exercise price and/or tax withholding obligation under any other employee stock option.</w:t>
            </w:r>
          </w:p>
        </w:tc>
      </w:tr>
    </w:tbl>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80</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7. Effect of Certain Transactions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(a)</w:t>
            </w:r>
          </w:p>
        </w:tc>
        <w:tc>
          <w:tcPr>
            <w:tcW w:w="9954"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Mergers, etc. Except as otherwise provided in an Award agreement, the following provisions will apply in the event of a Covered Transaction:</w:t>
            </w:r>
          </w:p>
        </w:tc>
      </w:tr>
    </w:tbl>
    <w:tbl>
      <w:tblPr>
        <w:tblW w:w="10205" w:type="dxa"/>
        <w:jc w:val="left"/>
        <w:tblInd w:w="0" w:type="dxa"/>
        <w:tblCellMar>
          <w:top w:w="0" w:type="dxa"/>
          <w:left w:w="0" w:type="dxa"/>
          <w:bottom w:w="0" w:type="dxa"/>
          <w:right w:w="0" w:type="dxa"/>
        </w:tblCellMar>
      </w:tblPr>
      <w:tblGrid>
        <w:gridCol w:w="75"/>
        <w:gridCol w:w="233"/>
        <w:gridCol w:w="9897"/>
      </w:tblGrid>
      <w:tr>
        <w:trPr/>
        <w:tc>
          <w:tcPr>
            <w:tcW w:w="75"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w:t>
            </w:r>
          </w:p>
        </w:tc>
        <w:tc>
          <w:tcPr>
            <w:tcW w:w="9897"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Assumption or Substitution. If the Covered Transaction is one in which there is an acquiring or surviving entity, the Administrator may (but, for the avoidance of doubt, need not) provide (i) for the assumption or continuation of some or all outstanding Awards or any portion thereof or (ii) for the grant of new awards in substitution therefor by the acquiror or survivor or an affiliate of the acquiror or survivor. Notwithstanding any provision of this Section 7, in the event of a Covered Transaction in which the acquiring or surviving entity does not assume or continue outstanding Awards or provide for the grant of new awards in substitution therefor, all Awards that are not assumed, continued or substituted for shall be treated as follows effective immediately prior to the Covered Transaction: (A) in the case of a Stock Option or SAR, the Participant shall have the ability to exercise such Stock Option or SAR, including any portion of the Stock Option or SAR not previously exercisable, (B) in the case of any Award the vesting of which is in whole or in part subject to Performance Criteria,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as determined by the Committee, and (C) in the case of any other Award all conditions to the grant, issuance, retention, vesting or transferability of, or any other restrictions applicable to, such Award shall immediately lapse. In no event shall any action be taken pursuant to this Section 7(a) (i) that would change the payment or settlement date of an Award in a manner that would result in the imposition of any additional taxes or penalties pursuant to Section 409A of the Code.</w:t>
            </w:r>
          </w:p>
        </w:tc>
      </w:tr>
      <w:tr>
        <w:trPr/>
        <w:tc>
          <w:tcPr>
            <w:tcW w:w="75"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(ii)</w:t>
            </w:r>
          </w:p>
        </w:tc>
        <w:tc>
          <w:tcPr>
            <w:tcW w:w="9897"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Cash-Out of Awards. Subject to Section 7(a)(v) below the Administrator may (but, for the avoidance of doubt, need not) provide for payment (a “cash-out”),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 provided, however, that if the fair market value of one share of Stock (as determined by the Administrator in its reasonable discretion) does not exceed the exercise price of such Award, then the Award shall be cancelled without any payment of consideration therefor.</w:t>
            </w:r>
          </w:p>
        </w:tc>
      </w:tr>
      <w:tr>
        <w:trPr/>
        <w:tc>
          <w:tcPr>
            <w:tcW w:w="75"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(iii)</w:t>
            </w:r>
          </w:p>
        </w:tc>
        <w:tc>
          <w:tcPr>
            <w:tcW w:w="9897" w:type="dxa"/>
            <w:tcBorders/>
            <w:shd w:fill="auto" w:val="clear"/>
            <w:vAlign w:val="center"/>
          </w:tcPr>
          <w:p>
            <w:pPr>
              <w:pStyle w:val="TableContents"/>
              <w:spacing w:before="0" w:after="283"/>
              <w:jc w:val="both"/>
              <w:rPr>
                <w:rFonts w:ascii="Arial;Helvetica;Sans-Serif" w:hAnsi="Arial;Helvetica;Sans-Serif"/>
                <w:color w:val="000000"/>
                <w:sz w:val="18"/>
              </w:rPr>
            </w:pPr>
            <w:r>
              <w:rPr>
                <w:rFonts w:ascii="Arial;Helvetica;Sans-Serif" w:hAnsi="Arial;Helvetica;Sans-Serif"/>
                <w:color w:val="000000"/>
                <w:sz w:val="18"/>
              </w:rPr>
              <w:t>Acceleration of Certain Awards. Subject to Section 7(a)(v) below, the Administrator may (but, for the avoidance of doubt, need not) provide that 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w:t>
            </w:r>
          </w:p>
        </w:tc>
      </w:tr>
      <w:tr>
        <w:trPr/>
        <w:tc>
          <w:tcPr>
            <w:tcW w:w="75"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(iv)</w:t>
            </w:r>
          </w:p>
        </w:tc>
        <w:tc>
          <w:tcPr>
            <w:tcW w:w="9897" w:type="dxa"/>
            <w:tcBorders/>
            <w:shd w:fill="auto" w:val="clear"/>
            <w:vAlign w:val="center"/>
          </w:tcPr>
          <w:p>
            <w:pPr>
              <w:pStyle w:val="TableContents"/>
              <w:spacing w:before="0" w:after="283"/>
              <w:jc w:val="both"/>
              <w:rPr>
                <w:rFonts w:ascii="Arial;Helvetica;Sans-Serif" w:hAnsi="Arial;Helvetica;Sans-Serif"/>
                <w:color w:val="000000"/>
                <w:sz w:val="18"/>
              </w:rPr>
            </w:pPr>
            <w:r>
              <w:rPr>
                <w:rFonts w:ascii="Arial;Helvetica;Sans-Serif" w:hAnsi="Arial;Helvetica;Sans-Serif"/>
                <w:color w:val="000000"/>
                <w:sz w:val="18"/>
              </w:rPr>
              <w:t>Termination of Awards Upon Consummation of Covered Transaction. Except as the Administrator may otherwise determine in any case, each Award will automatically terminate (and in the case of outstanding shares of Restricted Stock, will automatically be forfeited) upon consummation of the Covered Transaction, other than Awards assumed or continued pursuant to Section 7(a)(i) above.</w:t>
            </w:r>
          </w:p>
        </w:tc>
      </w:tr>
      <w:tr>
        <w:trPr/>
        <w:tc>
          <w:tcPr>
            <w:tcW w:w="75"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(v)</w:t>
            </w:r>
          </w:p>
        </w:tc>
        <w:tc>
          <w:tcPr>
            <w:tcW w:w="9897"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Additional Limitations. Any share of Stock and any cash or other property delivered pursuant to Section 7(a)(ii) or Section 7(a)(iii) above with respect to an Award may, in the discretion of the Administrator, contain such restrictions, if any, as the Administrator deems appropriate to reflect any Performance Criteria or other vesting conditions to which the Award was subject and that did not lapse (and were not satisfied) in connection with the Covered Transaction. For purposes of the immediately preceding sentence, a cash-out under Section 7(a)(ii) above or acceleration under Section 7(a)(iii) above will not, in and of itself, be treated as the lapsing (or satisfaction) of a Performance Criteria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tc>
      </w:tr>
    </w:tbl>
    <w:tbl>
      <w:tblPr>
        <w:tblW w:w="4525" w:type="dxa"/>
        <w:jc w:val="left"/>
        <w:tblInd w:w="0" w:type="dxa"/>
        <w:tblCellMar>
          <w:top w:w="0" w:type="dxa"/>
          <w:left w:w="0" w:type="dxa"/>
          <w:bottom w:w="0" w:type="dxa"/>
          <w:right w:w="0" w:type="dxa"/>
        </w:tblCellMar>
      </w:tblPr>
      <w:tblGrid>
        <w:gridCol w:w="260"/>
        <w:gridCol w:w="4265"/>
      </w:tblGrid>
      <w:tr>
        <w:trPr/>
        <w:tc>
          <w:tcPr>
            <w:tcW w:w="260"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(b)</w:t>
            </w:r>
          </w:p>
        </w:tc>
        <w:tc>
          <w:tcPr>
            <w:tcW w:w="4265"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Changes in and Distributions With Respect to Stock.</w:t>
            </w:r>
          </w:p>
        </w:tc>
      </w:tr>
    </w:tbl>
    <w:tbl>
      <w:tblPr>
        <w:tblW w:w="10205" w:type="dxa"/>
        <w:jc w:val="left"/>
        <w:tblInd w:w="0" w:type="dxa"/>
        <w:tblCellMar>
          <w:top w:w="0" w:type="dxa"/>
          <w:left w:w="0" w:type="dxa"/>
          <w:bottom w:w="0" w:type="dxa"/>
          <w:right w:w="0" w:type="dxa"/>
        </w:tblCellMar>
      </w:tblPr>
      <w:tblGrid>
        <w:gridCol w:w="75"/>
        <w:gridCol w:w="179"/>
        <w:gridCol w:w="9951"/>
      </w:tblGrid>
      <w:tr>
        <w:trPr/>
        <w:tc>
          <w:tcPr>
            <w:tcW w:w="75"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w:t>
            </w:r>
          </w:p>
        </w:tc>
        <w:tc>
          <w:tcPr>
            <w:tcW w:w="9951" w:type="dxa"/>
            <w:tcBorders/>
            <w:shd w:fill="auto" w:val="clear"/>
            <w:vAlign w:val="center"/>
          </w:tcPr>
          <w:p>
            <w:pPr>
              <w:pStyle w:val="TableContents"/>
              <w:spacing w:before="0" w:after="283"/>
              <w:jc w:val="both"/>
              <w:rPr>
                <w:rFonts w:ascii="Arial;Helvetica;Sans-Serif" w:hAnsi="Arial;Helvetica;Sans-Serif"/>
                <w:color w:val="000000"/>
                <w:sz w:val="18"/>
              </w:rPr>
            </w:pPr>
            <w:r>
              <w:rPr>
                <w:rFonts w:ascii="Arial;Helvetica;Sans-Serif" w:hAnsi="Arial;Helvetica;Sans-Serif"/>
                <w:color w:val="000000"/>
                <w:sz w:val="18"/>
              </w:rPr>
              <w:t>Basic Adjustment Provisions. In the event of a stock dividend, stock split or combination of shares (including a reverse stock split), recapitalization or other change in the Company’s capital structure that constitutes an equity restructuring within the meaning of FASB ASC 718, the Administrator will make appropriate adjustments to the maximum number of shares specified in Section 4(a) that may be delivered under the Plan and will also make appropriate adjustments to the number and kind of shares of stock or securities subject to Awards then outstanding or subsequently granted, any exercise prices relating to Awards and any other provision of Awards affected by such change.</w:t>
            </w:r>
          </w:p>
        </w:tc>
      </w:tr>
      <w:tr>
        <w:trPr/>
        <w:tc>
          <w:tcPr>
            <w:tcW w:w="75"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(ii)</w:t>
            </w:r>
          </w:p>
        </w:tc>
        <w:tc>
          <w:tcPr>
            <w:tcW w:w="9951"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Certain Other Adjustments. The Administrator may also make adjustments of the type described in Section 7(b) (i) above to take into account distributions to stockholders</w:t>
            </w:r>
          </w:p>
        </w:tc>
      </w:tr>
    </w:tbl>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81</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75"/>
        <w:gridCol w:w="237"/>
        <w:gridCol w:w="9893"/>
      </w:tblGrid>
      <w:tr>
        <w:trPr/>
        <w:tc>
          <w:tcPr>
            <w:tcW w:w="75"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9893"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other than those provided for in Section 7(a) and 7(b)(i), or any other event, if the Administrator determines that adjustments are appropriate to avoid distortion in the operation of the Plan, having due regard for the qualification of ISOs under Section 422 and the requirements of Section 409A, where applicable.</w:t>
            </w:r>
          </w:p>
        </w:tc>
      </w:tr>
      <w:tr>
        <w:trPr/>
        <w:tc>
          <w:tcPr>
            <w:tcW w:w="75"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(iii)</w:t>
            </w:r>
          </w:p>
        </w:tc>
        <w:tc>
          <w:tcPr>
            <w:tcW w:w="9893"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Continuing Application of Plan Terms. References in the Plan to shares of Stock will be construed to include any stock or securities resulting from an adjustment pursuant to this Section 7.</w:t>
            </w:r>
          </w:p>
        </w:tc>
      </w:tr>
    </w:tbl>
    <w:p>
      <w:pPr>
        <w:pStyle w:val="TextBody"/>
        <w:spacing w:before="0" w:after="0"/>
        <w:ind w:left="0" w:right="0" w:hanging="0"/>
        <w:rPr>
          <w:caps w:val="false"/>
          <w:smallCaps w:val="false"/>
        </w:rPr>
      </w:pPr>
      <w:r>
        <w:rPr>
          <w:caps w:val="false"/>
          <w:smallCaps w:val="false"/>
        </w:rPr>
        <w:t> </w:t>
      </w:r>
    </w:p>
    <w:p>
      <w:pPr>
        <w:pStyle w:val="Heading3"/>
        <w:spacing w:before="0" w:after="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8. Legal Conditions on Delivery of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exercise of the Award, such representations or agreements as counsel for the Company may consider appropriate to avoid violation of the Securities Act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pStyle w:val="TextBody"/>
        <w:spacing w:before="0" w:after="0"/>
        <w:ind w:left="0" w:right="0" w:hanging="0"/>
        <w:jc w:val="both"/>
        <w:rPr>
          <w:caps w:val="false"/>
          <w:smallCaps w:val="false"/>
        </w:rPr>
      </w:pPr>
      <w:r>
        <w:rPr>
          <w:caps w:val="false"/>
          <w:smallCaps w:val="false"/>
        </w:rPr>
        <w:t> </w:t>
      </w:r>
    </w:p>
    <w:p>
      <w:pPr>
        <w:pStyle w:val="Heading3"/>
        <w:spacing w:before="0" w:after="0"/>
        <w:jc w:val="both"/>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9. Amendment and Termination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will be conditioned upon stockholder approval only to the extent, if any, such approval is required by law (including the Code and applicable stock exchange requirements), as determined by the Administrator.</w:t>
      </w:r>
    </w:p>
    <w:p>
      <w:pPr>
        <w:pStyle w:val="TextBody"/>
        <w:spacing w:before="0" w:after="0"/>
        <w:ind w:left="0" w:right="0" w:hanging="0"/>
        <w:jc w:val="both"/>
        <w:rPr>
          <w:caps w:val="false"/>
          <w:smallCaps w:val="false"/>
        </w:rPr>
      </w:pPr>
      <w:r>
        <w:rPr>
          <w:caps w:val="false"/>
          <w:smallCaps w:val="false"/>
        </w:rPr>
        <w:t> </w:t>
      </w:r>
    </w:p>
    <w:p>
      <w:pPr>
        <w:pStyle w:val="Heading3"/>
        <w:spacing w:before="0" w:after="0"/>
        <w:jc w:val="both"/>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10. Other Compensation Arrangements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existence of the Plan or the grant of any Award will not in any way affect the Company’s right to Award a person bonuses or other compensation in addition to Awards under the Plan.</w:t>
      </w:r>
    </w:p>
    <w:p>
      <w:pPr>
        <w:pStyle w:val="TextBody"/>
        <w:spacing w:before="0" w:after="0"/>
        <w:ind w:left="0" w:right="0" w:hanging="0"/>
        <w:jc w:val="both"/>
        <w:rPr>
          <w:caps w:val="false"/>
          <w:smallCaps w:val="false"/>
        </w:rPr>
      </w:pPr>
      <w:r>
        <w:rPr>
          <w:caps w:val="false"/>
          <w:smallCaps w:val="false"/>
        </w:rPr>
        <w:t> </w:t>
      </w:r>
    </w:p>
    <w:p>
      <w:pPr>
        <w:pStyle w:val="Heading3"/>
        <w:spacing w:before="0" w:after="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11. Miscellaneous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(a)</w:t>
            </w:r>
          </w:p>
        </w:tc>
        <w:tc>
          <w:tcPr>
            <w:tcW w:w="10000"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Waiver of Jury Trial. By accepting an Award under the Plan and to the extent permitted under applicable law,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tc>
      </w:tr>
      <w:tr>
        <w:trPr/>
        <w:tc>
          <w:tcPr>
            <w:tcW w:w="205"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(b)</w:t>
            </w:r>
          </w:p>
        </w:tc>
        <w:tc>
          <w:tcPr>
            <w:tcW w:w="10000"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Limitation of Liability. Notwithstanding anything to the contrary in the Plan, neither the Company, nor any Affiliate, nor the Administrator, nor any 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82</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12. Establishment of Sub-Plans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w:t>
      </w:r>
    </w:p>
    <w:p>
      <w:pPr>
        <w:pStyle w:val="TextBody"/>
        <w:spacing w:before="0" w:after="0"/>
        <w:ind w:left="0" w:right="0" w:hanging="0"/>
        <w:jc w:val="both"/>
        <w:rPr>
          <w:caps w:val="false"/>
          <w:smallCaps w:val="false"/>
        </w:rPr>
      </w:pPr>
      <w:r>
        <w:rPr>
          <w:caps w:val="false"/>
          <w:smallCaps w:val="false"/>
        </w:rPr>
        <w:t> </w:t>
      </w:r>
    </w:p>
    <w:p>
      <w:pPr>
        <w:pStyle w:val="Heading3"/>
        <w:spacing w:before="0" w:after="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13. Governing Law</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9"/>
        <w:gridCol w:w="9996"/>
      </w:tblGrid>
      <w:tr>
        <w:trPr/>
        <w:tc>
          <w:tcPr>
            <w:tcW w:w="209"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(a)</w:t>
            </w:r>
          </w:p>
        </w:tc>
        <w:tc>
          <w:tcPr>
            <w:tcW w:w="9996"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Certain Requirements of Corporate Law. Awards will be granted and administered consistent with the 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tc>
      </w:tr>
      <w:tr>
        <w:trPr/>
        <w:tc>
          <w:tcPr>
            <w:tcW w:w="209"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(b)</w:t>
            </w:r>
          </w:p>
        </w:tc>
        <w:tc>
          <w:tcPr>
            <w:tcW w:w="9996"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Other Matters. Except as otherwise provided by the express terms of an Award agreement, under a sub-plan described in Section 12 or as provided in Section 13(a) above, the provisions of the Plan and of Awards under the Plan and all claims or disputes arising out of or based upon the Plan or any Award under the Plan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tc>
      </w:tr>
      <w:tr>
        <w:trPr/>
        <w:tc>
          <w:tcPr>
            <w:tcW w:w="209"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 xml:space="preserve">(c) </w:t>
            </w:r>
          </w:p>
        </w:tc>
        <w:tc>
          <w:tcPr>
            <w:tcW w:w="9996"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Jurisdiction. By accepting an Award, each Participant will be deemed to (a) have submitted irrevocably and unconditionally to the jurisdiction of the federal and state courts located within the geographic boundaries of the United States District Court for the Northern District of California for the purpose of any suit, action or other proceeding arising out of or based upon the Plan or any Award; (b) agree not to commence any suit, action or other proceeding arising out of or based upon the Plan or an Award, except in the federal and state courts located within the geographic boundaries of the United States District Court for the Northern District of California;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the Plan or an Award or the subject matter thereof may not be enforced in or by such court.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83</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ind w:left="0" w:right="0" w:hanging="0"/>
        <w:rPr>
          <w:rFonts w:ascii="Arial;Helvetica;Sans-Serif" w:hAnsi="Arial;Helvetica;Sans-Serif"/>
          <w:b/>
          <w:i w:val="false"/>
          <w:caps w:val="false"/>
          <w:smallCaps w:val="false"/>
          <w:color w:val="743F7B"/>
          <w:sz w:val="28"/>
        </w:rPr>
      </w:pPr>
      <w:bookmarkStart w:id="125" w:name="lrarea112"/>
      <w:bookmarkEnd w:id="125"/>
      <w:r>
        <w:rPr>
          <w:rFonts w:ascii="Arial;Helvetica;Sans-Serif" w:hAnsi="Arial;Helvetica;Sans-Serif"/>
          <w:b/>
          <w:i w:val="false"/>
          <w:caps w:val="false"/>
          <w:smallCaps w:val="false"/>
          <w:color w:val="743F7B"/>
          <w:sz w:val="28"/>
        </w:rPr>
        <w:t>EXHIBIT A</w:t>
      </w:r>
    </w:p>
    <w:p>
      <w:pPr>
        <w:pStyle w:val="Heading2"/>
        <w:spacing w:before="0" w:after="0"/>
        <w:ind w:left="0" w:right="0" w:hanging="0"/>
        <w:rPr>
          <w:rFonts w:ascii="Arial;Helvetica;Sans-Serif" w:hAnsi="Arial;Helvetica;Sans-Serif"/>
          <w:b/>
          <w:i w:val="false"/>
          <w:caps w:val="false"/>
          <w:smallCaps w:val="false"/>
          <w:color w:val="7CBC3E"/>
          <w:sz w:val="40"/>
        </w:rPr>
      </w:pPr>
      <w:r>
        <w:rPr>
          <w:rFonts w:ascii="Arial;Helvetica;Sans-Serif" w:hAnsi="Arial;Helvetica;Sans-Serif"/>
          <w:b/>
          <w:i w:val="false"/>
          <w:caps w:val="false"/>
          <w:smallCaps w:val="false"/>
          <w:color w:val="7CBC3E"/>
          <w:sz w:val="40"/>
        </w:rPr>
        <w:t>Definition of Terms</w:t>
      </w:r>
    </w:p>
    <w:p>
      <w:pPr>
        <w:pStyle w:val="TextBody"/>
        <w:spacing w:before="0" w:after="0"/>
        <w:ind w:left="0" w:right="0" w:hanging="0"/>
        <w:rPr>
          <w:caps w:val="false"/>
          <w:smallCaps w:val="false"/>
          <w:color w:val="6BF700"/>
        </w:rPr>
      </w:pPr>
      <w:r>
        <w:rPr>
          <w:caps w:val="false"/>
          <w:smallCaps w:val="false"/>
          <w:color w:val="6BF700"/>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terms, when used in the Plan, will have the meanings and be subject to the provisions set forth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Administrator”: The Compensation Committee, except that the Compensation Committee may, subject to applicable law, delegate (i) to one or more of its members (or one or more other members of the Board (including the full Board)) such of its duties, powers and responsibilities as it may determine; (ii) to one or more officers or Employees of the Company the power to grant Awards to the extent permitted by Section 157(c) of the Delaware General Corporation Law; and (iii) to such Employees or other persons as it determines such ministerial tasks as it deems appropriate. In the event of any delegation described in the preceding sentence, the term “Administrator” will include the person or persons so delegated to the extent of such delegation.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Affiliate”: Any corporation or other entity that stands in a relationship to the Company that would result in the Company and such corporation or other entity being treated as one employer under Section 414(b) and Section 414(c) of the Code.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Arial;Helvetica;Sans-Serif" w:hAnsi="Arial;Helvetica;Sans-Serif"/>
          <w:b w:val="false"/>
          <w:i w:val="false"/>
          <w:caps w:val="false"/>
          <w:smallCaps w:val="false"/>
          <w:sz w:val="18"/>
        </w:rPr>
        <w:t>Award”: Any or a combination of the following:</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458"/>
        <w:gridCol w:w="9672"/>
      </w:tblGrid>
      <w:tr>
        <w:trPr/>
        <w:tc>
          <w:tcPr>
            <w:tcW w:w="75"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b/>
                <w:color w:val="7CBC3E"/>
              </w:rPr>
            </w:pPr>
            <w:r>
              <w:rPr>
                <w:b/>
                <w:color w:val="7CBC3E"/>
              </w:rPr>
              <w:t>(i)</w:t>
            </w:r>
          </w:p>
        </w:tc>
        <w:tc>
          <w:tcPr>
            <w:tcW w:w="9672" w:type="dxa"/>
            <w:tcBorders/>
            <w:shd w:fill="auto" w:val="clear"/>
            <w:vAlign w:val="center"/>
          </w:tcPr>
          <w:p>
            <w:pPr>
              <w:pStyle w:val="TableContents"/>
              <w:spacing w:before="0" w:after="283"/>
              <w:rPr/>
            </w:pPr>
            <w:r>
              <w:rPr/>
              <w:t>Stock Options.</w:t>
            </w:r>
          </w:p>
        </w:tc>
      </w:tr>
      <w:tr>
        <w:trPr/>
        <w:tc>
          <w:tcPr>
            <w:tcW w:w="75"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b/>
                <w:color w:val="7CBC3E"/>
              </w:rPr>
            </w:pPr>
            <w:r>
              <w:rPr>
                <w:b/>
                <w:color w:val="7CBC3E"/>
              </w:rPr>
              <w:t>(ii)</w:t>
            </w:r>
          </w:p>
        </w:tc>
        <w:tc>
          <w:tcPr>
            <w:tcW w:w="9672" w:type="dxa"/>
            <w:tcBorders/>
            <w:shd w:fill="auto" w:val="clear"/>
            <w:vAlign w:val="center"/>
          </w:tcPr>
          <w:p>
            <w:pPr>
              <w:pStyle w:val="TableContents"/>
              <w:spacing w:before="0" w:after="283"/>
              <w:rPr/>
            </w:pPr>
            <w:r>
              <w:rPr/>
              <w:t>SARs.</w:t>
            </w:r>
          </w:p>
        </w:tc>
      </w:tr>
      <w:tr>
        <w:trPr/>
        <w:tc>
          <w:tcPr>
            <w:tcW w:w="75"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b/>
                <w:color w:val="7CBC3E"/>
              </w:rPr>
            </w:pPr>
            <w:r>
              <w:rPr>
                <w:b/>
                <w:color w:val="7CBC3E"/>
              </w:rPr>
              <w:t>(iii)</w:t>
            </w:r>
          </w:p>
        </w:tc>
        <w:tc>
          <w:tcPr>
            <w:tcW w:w="9672" w:type="dxa"/>
            <w:tcBorders/>
            <w:shd w:fill="auto" w:val="clear"/>
            <w:vAlign w:val="center"/>
          </w:tcPr>
          <w:p>
            <w:pPr>
              <w:pStyle w:val="TableContents"/>
              <w:spacing w:before="0" w:after="283"/>
              <w:rPr/>
            </w:pPr>
            <w:r>
              <w:rPr/>
              <w:t>Restricted Stock.</w:t>
            </w:r>
          </w:p>
        </w:tc>
      </w:tr>
      <w:tr>
        <w:trPr/>
        <w:tc>
          <w:tcPr>
            <w:tcW w:w="75"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b/>
                <w:color w:val="7CBC3E"/>
              </w:rPr>
            </w:pPr>
            <w:r>
              <w:rPr>
                <w:b/>
                <w:color w:val="7CBC3E"/>
              </w:rPr>
              <w:t>(iv)</w:t>
            </w:r>
          </w:p>
        </w:tc>
        <w:tc>
          <w:tcPr>
            <w:tcW w:w="9672" w:type="dxa"/>
            <w:tcBorders/>
            <w:shd w:fill="auto" w:val="clear"/>
            <w:vAlign w:val="center"/>
          </w:tcPr>
          <w:p>
            <w:pPr>
              <w:pStyle w:val="TableContents"/>
              <w:spacing w:before="0" w:after="283"/>
              <w:rPr/>
            </w:pPr>
            <w:r>
              <w:rPr/>
              <w:t>Unrestricted Stock.</w:t>
            </w:r>
          </w:p>
        </w:tc>
      </w:tr>
      <w:tr>
        <w:trPr/>
        <w:tc>
          <w:tcPr>
            <w:tcW w:w="75"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b/>
                <w:color w:val="7CBC3E"/>
              </w:rPr>
            </w:pPr>
            <w:r>
              <w:rPr>
                <w:b/>
                <w:color w:val="7CBC3E"/>
              </w:rPr>
              <w:t>(v)</w:t>
            </w:r>
          </w:p>
        </w:tc>
        <w:tc>
          <w:tcPr>
            <w:tcW w:w="9672" w:type="dxa"/>
            <w:tcBorders/>
            <w:shd w:fill="auto" w:val="clear"/>
            <w:vAlign w:val="center"/>
          </w:tcPr>
          <w:p>
            <w:pPr>
              <w:pStyle w:val="TableContents"/>
              <w:spacing w:before="0" w:after="283"/>
              <w:rPr/>
            </w:pPr>
            <w:r>
              <w:rPr/>
              <w:t>Stock Units, including Restricted Stock Units.</w:t>
            </w:r>
          </w:p>
        </w:tc>
      </w:tr>
      <w:tr>
        <w:trPr/>
        <w:tc>
          <w:tcPr>
            <w:tcW w:w="75"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b/>
                <w:color w:val="7CBC3E"/>
              </w:rPr>
            </w:pPr>
            <w:r>
              <w:rPr>
                <w:b/>
                <w:color w:val="7CBC3E"/>
              </w:rPr>
              <w:t>(vi)</w:t>
            </w:r>
          </w:p>
        </w:tc>
        <w:tc>
          <w:tcPr>
            <w:tcW w:w="9672" w:type="dxa"/>
            <w:tcBorders/>
            <w:shd w:fill="auto" w:val="clear"/>
            <w:vAlign w:val="center"/>
          </w:tcPr>
          <w:p>
            <w:pPr>
              <w:pStyle w:val="TableContents"/>
              <w:spacing w:before="0" w:after="283"/>
              <w:rPr/>
            </w:pPr>
            <w:r>
              <w:rPr/>
              <w:t>Performance Awards.</w:t>
            </w:r>
          </w:p>
        </w:tc>
      </w:tr>
      <w:tr>
        <w:trPr/>
        <w:tc>
          <w:tcPr>
            <w:tcW w:w="75"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b/>
                <w:color w:val="7CBC3E"/>
              </w:rPr>
            </w:pPr>
            <w:r>
              <w:rPr>
                <w:b/>
                <w:color w:val="7CBC3E"/>
              </w:rPr>
              <w:t>(vii)</w:t>
            </w:r>
          </w:p>
        </w:tc>
        <w:tc>
          <w:tcPr>
            <w:tcW w:w="9672" w:type="dxa"/>
            <w:tcBorders/>
            <w:shd w:fill="auto" w:val="clear"/>
            <w:vAlign w:val="center"/>
          </w:tcPr>
          <w:p>
            <w:pPr>
              <w:pStyle w:val="TableContents"/>
              <w:spacing w:before="0" w:after="283"/>
              <w:rPr/>
            </w:pPr>
            <w:r>
              <w:rPr/>
              <w:t>Cash Awards.</w:t>
            </w:r>
          </w:p>
        </w:tc>
      </w:tr>
      <w:tr>
        <w:trPr/>
        <w:tc>
          <w:tcPr>
            <w:tcW w:w="75"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b/>
                <w:color w:val="7CBC3E"/>
              </w:rPr>
            </w:pPr>
            <w:r>
              <w:rPr>
                <w:b/>
                <w:color w:val="7CBC3E"/>
              </w:rPr>
              <w:t>(viii)</w:t>
            </w:r>
          </w:p>
        </w:tc>
        <w:tc>
          <w:tcPr>
            <w:tcW w:w="9672" w:type="dxa"/>
            <w:tcBorders/>
            <w:shd w:fill="auto" w:val="clear"/>
            <w:vAlign w:val="center"/>
          </w:tcPr>
          <w:p>
            <w:pPr>
              <w:pStyle w:val="TableContents"/>
              <w:spacing w:before="0" w:after="283"/>
              <w:rPr/>
            </w:pPr>
            <w:r>
              <w:rPr/>
              <w:t>Awards (other than Awards described in (i) through (vii) above) that are convertible into or otherwise based on Stock.</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Arial;Helvetica;Sans-Serif" w:hAnsi="Arial;Helvetica;Sans-Serif"/>
          <w:b w:val="false"/>
          <w:i w:val="false"/>
          <w:caps w:val="false"/>
          <w:smallCaps w:val="false"/>
          <w:sz w:val="18"/>
        </w:rPr>
        <w:t>Board”: The Board of Directors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Arial;Helvetica;Sans-Serif" w:hAnsi="Arial;Helvetica;Sans-Serif"/>
          <w:b w:val="false"/>
          <w:i w:val="false"/>
          <w:caps w:val="false"/>
          <w:smallCaps w:val="false"/>
          <w:sz w:val="18"/>
        </w:rPr>
        <w:t>Cash Award”: An Award denominated in cash.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Cause”: In the case of any Participant who is party to an employment or severance-benefit agreement that contains a definition of “Cause,” the definition set forth in such agreement will apply with respect to such Participant under the Plan. In the case of any other Participant, “Cause” will mean, as determined by the Administrator in its reasonable judgment, (i) a substantial failure of the Participant to perform the Participant’s duties and responsibilities to the Company or subsidiaries or substantial negligence in the performance of such duties and responsibilities; (ii) the commission by the Participant of a felony or a crime involving moral turpitude; (iii) the commission by the Participant of theft, fraud, embezzlement, material breach of trust or any material act of dishonesty involving the Company or any of its subsidiaries; (iv) a significant violation by the Participant of the code of conduct of the Company or its subsidiaries of any material policy of the Company or its subsidiaries, or of any statutory or common law duty of loyalty to the Company or its subsidiaries; (v) material breach of any of the terms of the Plan or any Award made under the Plan, or of the terms of any other agreement between the Company or subsidiaries and the Participant; or (vi) other conduct by the Participant that could be expected to be harmful to the business, interests or reputation of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Code”: The U.S. Internal Revenue Code of 1986 as from time to time amended and in effect, or any successor statute as from time to time in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Arial;Helvetica;Sans-Serif" w:hAnsi="Arial;Helvetica;Sans-Serif"/>
          <w:b w:val="false"/>
          <w:i w:val="false"/>
          <w:caps w:val="false"/>
          <w:smallCaps w:val="false"/>
          <w:sz w:val="18"/>
        </w:rPr>
        <w:t>Company”: Ultragenyx Pharmaceutical Inc., and except as utilized in the definition of Covered Transaction, any successor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Arial;Helvetica;Sans-Serif" w:hAnsi="Arial;Helvetica;Sans-Serif"/>
          <w:b w:val="false"/>
          <w:i w:val="false"/>
          <w:caps w:val="false"/>
          <w:smallCaps w:val="false"/>
          <w:sz w:val="18"/>
        </w:rPr>
        <w:t>Compensation Committee”: The Compensation Committee of the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Arial;Helvetica;Sans-Serif" w:hAnsi="Arial;Helvetica;Sans-Serif"/>
          <w:b w:val="false"/>
          <w:i w:val="false"/>
          <w:caps w:val="false"/>
          <w:smallCaps w:val="false"/>
          <w:sz w:val="18"/>
        </w:rPr>
        <w:t>Covered Transaction”: The occurrence of any one of the following events: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23"/>
        <w:gridCol w:w="9907"/>
      </w:tblGrid>
      <w:tr>
        <w:trPr/>
        <w:tc>
          <w:tcPr>
            <w:tcW w:w="75"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w:t>
            </w:r>
          </w:p>
        </w:tc>
        <w:tc>
          <w:tcPr>
            <w:tcW w:w="9907"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a consolidation, merger, or similar transaction or series of related transactions in which the Company is not the surviving corporation or which results in the acquisition of all or substantially all of the Company’s then outstanding Stock by a single person or entity or by a group of persons and/or entities acting in concert (a “Transaction”), excluding a Transaction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23" w:type="dxa"/>
            <w:tcBorders/>
            <w:shd w:fill="auto" w:val="clear"/>
            <w:vAlign w:val="center"/>
          </w:tcPr>
          <w:p>
            <w:pPr>
              <w:pStyle w:val="TableContents"/>
              <w:spacing w:before="0" w:after="283"/>
              <w:rPr>
                <w:caps w:val="false"/>
                <w:smallCaps w:val="false"/>
              </w:rPr>
            </w:pPr>
            <w:r>
              <w:rPr>
                <w:caps w:val="false"/>
                <w:smallCaps w:val="false"/>
              </w:rPr>
              <w:t> </w:t>
            </w:r>
          </w:p>
        </w:tc>
        <w:tc>
          <w:tcPr>
            <w:tcW w:w="9907"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(ii)</w:t>
            </w:r>
          </w:p>
        </w:tc>
        <w:tc>
          <w:tcPr>
            <w:tcW w:w="9907"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a sale or transfer of all or substantially all the Company’s assets, excluding a sale or transfer to an entity, at least 50% of the combined voting power of the voting securities of which is owned by stockholders of the Company in substantially the same proportions as their ownership of the Company immediately prior to such sale; or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23" w:type="dxa"/>
            <w:tcBorders/>
            <w:shd w:fill="auto" w:val="clear"/>
            <w:vAlign w:val="center"/>
          </w:tcPr>
          <w:p>
            <w:pPr>
              <w:pStyle w:val="TableContents"/>
              <w:spacing w:before="0" w:after="283"/>
              <w:rPr>
                <w:caps w:val="false"/>
                <w:smallCaps w:val="false"/>
              </w:rPr>
            </w:pPr>
            <w:r>
              <w:rPr>
                <w:caps w:val="false"/>
                <w:smallCaps w:val="false"/>
              </w:rPr>
              <w:t> </w:t>
            </w:r>
          </w:p>
        </w:tc>
        <w:tc>
          <w:tcPr>
            <w:tcW w:w="9907"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(iii)</w:t>
            </w:r>
          </w:p>
        </w:tc>
        <w:tc>
          <w:tcPr>
            <w:tcW w:w="9907"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a dissolution or liquidation of the Company.</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Where a Covered Transaction involves a tender offer that is reasonably expected to be followed by a merger described in clause (i) (as determined by the Administrator), the Covered Transaction will be deemed to have occurred upon consummation of the tender offer. Notwithstanding the foregoing, for each Award that constitutes deferred compensation under Section 409A, and to the extent required to avoid accelerated taxation and/or tax penalties under Section 409A, a Covered Transaction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Date of Adoption”: April 20,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Effective Date”: June 7,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Employee”: Any person who is employed by the Company or an Affiliate.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Employment”: A Participant’s employment or other service relationship with the Company and its Affiliates, which may include service as a director, consultant or independent contractor. Employment will be deemed to continue, unless the Administrator expressly provides otherwise, so long as the Participant is employed by, or otherwise is providing services in a capacity described in Section 5 to the Company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84</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Arial;Helvetica;Sans-Serif" w:hAnsi="Arial;Helvetica;Sans-Serif"/>
          <w:b w:val="false"/>
          <w:i w:val="false"/>
          <w:caps w:val="false"/>
          <w:smallCaps w:val="false"/>
          <w:sz w:val="18"/>
        </w:rPr>
        <w:t>Fair Market Value”: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7"/>
        <w:gridCol w:w="9988"/>
      </w:tblGrid>
      <w:tr>
        <w:trPr/>
        <w:tc>
          <w:tcPr>
            <w:tcW w:w="217"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(a)</w:t>
            </w:r>
          </w:p>
        </w:tc>
        <w:tc>
          <w:tcPr>
            <w:tcW w:w="9988"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If the Stock is readily traded on an established national exchange or trading system (including the Nasdaq Global Market), the closing price of the Stock as reported by the principal exchange on which such Stock is traded; provided, however, that if such day is not a trading day, Fair Market Value will mean the reported closing price of the Stock for the immediately preceding day that is a trading day.</w:t>
            </w:r>
          </w:p>
        </w:tc>
      </w:tr>
      <w:tr>
        <w:trPr/>
        <w:tc>
          <w:tcPr>
            <w:tcW w:w="217"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(b)</w:t>
            </w:r>
          </w:p>
        </w:tc>
        <w:tc>
          <w:tcPr>
            <w:tcW w:w="9988"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If the Stock is not traded on an established national exchange or trading system, the average of the bid and ask prices for such Stock where the bid and ask prices are quoted.</w:t>
            </w:r>
          </w:p>
        </w:tc>
      </w:tr>
      <w:tr>
        <w:trPr/>
        <w:tc>
          <w:tcPr>
            <w:tcW w:w="217"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(c)</w:t>
            </w:r>
          </w:p>
        </w:tc>
        <w:tc>
          <w:tcPr>
            <w:tcW w:w="9988"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If the Stock cannot be valued pursuant to clauses (a) or (b), the value as determined in good faith by the Board in its sole discretion consistent with the rules of Section 422 and Section 409A to the extent applicable.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ISO”: A Stock Option intended to be an “incentive stock option” within the meaning of Section 422. Each Stock Option granted pursuant to the Plan will be treated as providing by its terms that it is to be an NSO unless, as of the date of grant, it is expressly designated as an ISO.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Arial;Helvetica;Sans-Serif" w:hAnsi="Arial;Helvetica;Sans-Serif"/>
          <w:b w:val="false"/>
          <w:i w:val="false"/>
          <w:caps w:val="false"/>
          <w:smallCaps w:val="false"/>
          <w:sz w:val="18"/>
        </w:rPr>
        <w:t>NSO”: A Stock Option that is not intended to be an “incentive stock option” within the meaning of Section 422.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Arial;Helvetica;Sans-Serif" w:hAnsi="Arial;Helvetica;Sans-Serif"/>
          <w:b w:val="false"/>
          <w:i w:val="false"/>
          <w:caps w:val="false"/>
          <w:smallCaps w:val="false"/>
          <w:sz w:val="18"/>
        </w:rPr>
        <w:t>Participant”: A person who is granted an Award under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Arial;Helvetica;Sans-Serif" w:hAnsi="Arial;Helvetica;Sans-Serif"/>
          <w:b w:val="false"/>
          <w:i w:val="false"/>
          <w:caps w:val="false"/>
          <w:smallCaps w:val="false"/>
          <w:sz w:val="18"/>
        </w:rPr>
        <w:t>Performance Award”: An Award subject to Performance Criteria.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Performance Criteria”: Specified criteria, other than the mere continuation of Employment or the mere passage of time, the satisfaction of which is a condition for the grant, exercisability, vesting or full enjoyment of an Award. Performance Criteria will include but not be limited to any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from operations; earnings before or after deduction for all or any portion of interest, taxes, depreciation, amortization, incentives, service fees or extraordinary or special items, whether or not on a continuing operations or an aggregate or per share basis; net income or net income per common share (basic or diluted); return on equity, investment, capital or assets; one or more operating ratios; borrowing levels, leverage ratios or credit rating; market share; capital expenditures; cash flow, free cash flow, cash flow return on investment, or net cash provided by operations; stock price, dividends or total stockholder return; development of new technologies or products; sales of particular products or services; economic value created or added; operating margin or profit margin; customer acquisition or retention; raising or refinancing of capital; successful hiring of key individuals; resolution of significant litigation; acquisitions and divestitures (in whole or in part); joint ventures and strategic alliances; spin-offs, split-ups and the like; reorganizations; recapitalizations, restructurings, financings (issuance of debt or equity) or refinancings; or strategic business criteria, consisting of one or more objectives based on the following goals: meeting specified market penetration or value added, product development or introduction (including, without limitation, any clinical trial accomplishments, regulatory or other filings or approvals,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or divestitures (in whole or in part), joint ventures or strategic alliances. Performance Criteria and any targets with respect thereto determined by the Administrator need not be based upon an increase, a positive or improved result or avoidance of loss.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Plan”: The Ultragenyx Pharmaceutical Inc. 2023 Incentive Plan as from time to time amended and in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Prior Plans”: The Ultragenyx Pharmaceutical Inc. 2011 Incentive Plan and the Ultragenyx Pharmaceutical Inc. 2014 Incentive Plan, in each case as amended from time to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Restricted Stock”: Stock subject to restrictions requiring that it be redelivered or offered for sale to the Company if specified conditions are not satisfied.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Restricted Stock Unit”: A Stock Unit that is, or as to which the delivery of Stock or cash in lieu of Stock is, subject to the satisfaction of specified performance or other vesting conditions.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SAR”: A right entitling the holder upon exercise to receive an amount (payable in cash or in shares of Stock of equivalent value) equal to the excess of the Fair Market Value of the shares of Stock subject to the right over the base value from which appreciation under the SAR is to be measured.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Section 409A”: Section 409A of the Code.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Section 422”: Section 422 of the Code.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Securities Act”: The U.S. Securities Act of 1933, as amended.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Stock”: Common stock of the Company, par value $0.001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Stock Option”: An option entitling the holder to acquire shares of Stock upon payment of the exercise price.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Stock Unit”: An unfunded and unsecured promise, denominated in shares of Stock, to deliver Stock or cash measured by the value of Stock in the future.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Unrestricted Stock”: Stock not subject to any restrictions under the terms of the Award.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85</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ind w:left="0" w:right="0" w:hanging="0"/>
        <w:rPr>
          <w:rFonts w:ascii="Arial;Helvetica;Sans-Serif" w:hAnsi="Arial;Helvetica;Sans-Serif"/>
          <w:b/>
          <w:i w:val="false"/>
          <w:caps w:val="false"/>
          <w:smallCaps w:val="false"/>
          <w:color w:val="743F7B"/>
          <w:sz w:val="28"/>
        </w:rPr>
      </w:pPr>
      <w:bookmarkStart w:id="126" w:name="lrarea113"/>
      <w:bookmarkEnd w:id="126"/>
      <w:r>
        <w:rPr>
          <w:rFonts w:ascii="Arial;Helvetica;Sans-Serif" w:hAnsi="Arial;Helvetica;Sans-Serif"/>
          <w:b/>
          <w:i w:val="false"/>
          <w:caps w:val="false"/>
          <w:smallCaps w:val="false"/>
          <w:color w:val="743F7B"/>
          <w:sz w:val="28"/>
        </w:rPr>
        <w:t>APPENDIX B</w:t>
      </w:r>
    </w:p>
    <w:p>
      <w:pPr>
        <w:pStyle w:val="Heading2"/>
        <w:spacing w:before="0" w:after="0"/>
        <w:ind w:left="0" w:right="0" w:hanging="0"/>
        <w:rPr>
          <w:rFonts w:ascii="Arial;Helvetica;Sans-Serif" w:hAnsi="Arial;Helvetica;Sans-Serif"/>
          <w:b/>
          <w:i w:val="false"/>
          <w:caps w:val="false"/>
          <w:smallCaps w:val="false"/>
          <w:color w:val="7CBC3E"/>
          <w:sz w:val="40"/>
        </w:rPr>
      </w:pPr>
      <w:r>
        <w:rPr>
          <w:rFonts w:ascii="Arial;Helvetica;Sans-Serif" w:hAnsi="Arial;Helvetica;Sans-Serif"/>
          <w:b/>
          <w:i w:val="false"/>
          <w:caps w:val="false"/>
          <w:smallCaps w:val="false"/>
          <w:color w:val="7CBC3E"/>
          <w:sz w:val="40"/>
        </w:rPr>
        <w:t>Ultragenyx Pharmaceutical Inc. 2014 Employee Stock Purchase Plan</w:t>
      </w:r>
    </w:p>
    <w:p>
      <w:pPr>
        <w:pStyle w:val="TextBody"/>
        <w:spacing w:before="0" w:after="0"/>
        <w:ind w:left="0" w:right="0" w:hanging="0"/>
        <w:rPr>
          <w:caps w:val="false"/>
          <w:smallCaps w:val="false"/>
          <w:color w:val="4200AB"/>
        </w:rPr>
      </w:pPr>
      <w:r>
        <w:rPr>
          <w:caps w:val="false"/>
          <w:smallCaps w:val="false"/>
          <w:color w:val="4200AB"/>
        </w:rPr>
        <w:t> </w:t>
      </w:r>
    </w:p>
    <w:p>
      <w:pPr>
        <w:pStyle w:val="TextBody"/>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r>
        <w:rPr>
          <w:rFonts w:ascii="Arial;Helvetica;Sans-Serif" w:hAnsi="Arial;Helvetica;Sans-Serif"/>
          <w:b w:val="false"/>
          <w:i/>
          <w:caps w:val="false"/>
          <w:smallCaps w:val="false"/>
          <w:sz w:val="18"/>
        </w:rPr>
        <w:t>as amended and restated effective as of June 7, 2023</w:t>
      </w:r>
      <w:r>
        <w:rPr>
          <w:rFonts w:ascii="Arial;Helvetica;Sans-Serif" w:hAnsi="Arial;Helvetica;Sans-Serif"/>
          <w:b w:val="false"/>
          <w:i w:val="false"/>
          <w:caps w:val="false"/>
          <w:smallCaps w:val="false"/>
          <w:sz w:val="18"/>
        </w:rPr>
        <w:t>)</w:t>
      </w:r>
    </w:p>
    <w:p>
      <w:pPr>
        <w:pStyle w:val="TextBody"/>
        <w:spacing w:before="0" w:after="0"/>
        <w:ind w:left="0" w:right="0" w:hanging="0"/>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1. Defined Terms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Exhibit A, which is incorporated by reference, defines the terms used in the Plan and sets forth certain operational rules related to those terms.</w:t>
      </w:r>
    </w:p>
    <w:p>
      <w:pPr>
        <w:pStyle w:val="TextBody"/>
        <w:spacing w:before="0" w:after="0"/>
        <w:ind w:left="0" w:right="0" w:hanging="0"/>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2. Purpose of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Plan is intended to enable Eligible Employees of the Company and its Designated Subsidiaries to use payroll deductions to purchase shares of Stock, and thereby acquire an interest in the future of the Company. The Plan is intended to qualify as an “employee stock purchase plan” under Section 423 and to be exempt from the application and requirements of Section 409A of the Code, and is to be construed accordingly.</w:t>
      </w:r>
    </w:p>
    <w:p>
      <w:pPr>
        <w:pStyle w:val="TextBody"/>
        <w:spacing w:before="0" w:after="0"/>
        <w:ind w:left="0" w:right="0" w:hanging="0"/>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3. Options to Purchase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Subject to adjustment pursuant to Section 16 of this Plan, the maximum aggregate number of shares of Stock available for purchase pursuant to the exercise of Options granted under the Plan to Eligible Employees will be 7,330,914, inclusive of 5,930,914 shares of Stock previously available for issuance under the Plan prior to June 7, 2023. The shares of Stock to be delivered upon exercise of Options under the Plan may be either shares of authorized but unissued Stock, treasury Stock, or Stock acquired in an open-market transaction, all as the Board may determine. If any Option granted under the Plan expires or terminates for any reason without having been exercised in full or ceases for any reason to be exercisable in whole or in part, the unpurchased shares of Stock subject to such Option will again be available for purchase pursuant to the exercise of Options under the Plan. If, on an Exercise Date, the total number of shares of Stock that would otherwise be subject to Options granted under the Plan exceeds the number of shares then available under the Plan (after deduction of all shares for which Options have been exercised or are then outstanding), the Administrator shall make a pro rata allocation of the shares remaining available for the Option grant in as uniform a manner as shall be practicable and as it shall determine to be equitable. In such event, the Administrator shall give written notice to each Participant of such reduction of the number of Options affected thereby and shall similarly reduce the rate of payroll deductions, if necessary.</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4. Eligibility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Subject to Section 13, and any exceptions and limitations set forth in Section 6, or as may be provided elsewhere in the Plan, each Employee who (a) has been continuously employed by the Company for at least six (6) months as of the first day of any Option Period (unless otherwise determined by the Administrator), (b) customarily works twenty (20) hours or more per week, and (c) satisfies the requirements set forth in the Plan will be an Eligible Employee. In no event, however, may an Employee be granted an Option under the Plan if, immediately after the Option is granted, the Employee would own (or pursuant to Section 424(d) of the Code would be deemed to own) stock possessing five percent (5%) or more of the total combined voting power or value of all classes of stock of the Company or of its Parent or Subsidiaries, if any. The Administrator may, for Option Periods that have not yet commenced, establish additional eligibility requirements not inconsistent with Section 423.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86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5. Option Periods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Plan will generally be implemented by a series of “Option Periods”. Unless otherwise determined by the Administrator, the Option Periods will be the six-month periods commencing May 1 and ending October 31 and commencing November 1 and ending April 30 of each year. Each October 31 and April 30 will be an “Exercise Date”. The Administrator may change the Exercise Date and the commencement date, ending date and duration of the Option Periods to the extent permitted by Section 423.</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6. Option Grant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Subject to the limitations set forth in Section 4 and Section 10 and the Maximum Share Limit, on the first day of an Option Period, each Participant automatically will be granted an Option to purchase shares of Stock on the Exercise Date; </w:t>
      </w:r>
      <w:r>
        <w:rPr>
          <w:rFonts w:ascii="Arial;Helvetica;Sans-Serif" w:hAnsi="Arial;Helvetica;Sans-Serif"/>
          <w:b w:val="false"/>
          <w:i/>
          <w:caps w:val="false"/>
          <w:smallCaps w:val="false"/>
          <w:sz w:val="18"/>
        </w:rPr>
        <w:t xml:space="preserve">provided, however, </w:t>
      </w:r>
      <w:r>
        <w:rPr>
          <w:rFonts w:ascii="Arial;Helvetica;Sans-Serif" w:hAnsi="Arial;Helvetica;Sans-Serif"/>
          <w:b w:val="false"/>
          <w:i w:val="false"/>
          <w:caps w:val="false"/>
          <w:smallCaps w:val="false"/>
          <w:sz w:val="18"/>
        </w:rPr>
        <w:t>that no Participant will be granted an Option under the Plan that permits the Participant’s right to purchase shares of Stock under the Plan and under all other employee stock purchase plans of the Company and its Parent and Subsidiaries, if any, to accrue at a rate that exceeds $25,000 in Fair Market Value (or such other maximum as may be prescribed from time to time by the Code) for each calendar year during which any Option granted to such Participant is outstanding at any time, as determined in accordance with Section 423(b)(8) of the Code.</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7. Method of Participation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participate in an Option Period, an Eligible Employee must execute and deliver to the Administrator a payroll deduction and participation authorization form in accordance with the procedures prescribed by and in a form acceptable to the Administrator and, in so doing, the Eligible Employee will thereby become a Participant as of the first day of such Option Period. Such an Eligible Employee will remain a Participant with respect to subsequent Option Periods until his or her participation in the Plan is terminated as provided herein. Such payroll deduction and participation authorization must be delivered no later than ten (10) business days prior to the first day of an Option Period, or such other time as specified by the Administrator.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Participant’s authorization will remain in effect for subsequent Option Periods unless the Participant files a new authorization within ten (10) business days prior to the first day of an Option Period (or such other time as specified by the Administrator) or the Participant’s Option is cancelled pursuant to Section 13 or Section 14. During an Option Period, payroll deduction authorizations may not be increased or decreased, except that a Participant may terminate his or her payroll deduction authorization by canceling his or her Option in accordance with Section 13.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payroll deduction authorization will request payroll deductions in an amount (expressed as a whole percentage) between one percent (1%) and fifteen percent (15%) of the employee’s total compensation, including base pay or salary per payroll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payroll deductions made pursuant to this Section 7 will be credited to the Participant’s Account. Amounts credited to a Participant’s Account will not be required to be set aside in trust or otherwise segregated from the Company’s general assets.</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8. Method of Payment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Participant must pay for shares of Stock purchased upon the exercise of an Option with accumulated payroll deductions credited to the Participant’s Account.</w:t>
      </w:r>
    </w:p>
    <w:p>
      <w:pPr>
        <w:pStyle w:val="TextBody"/>
        <w:spacing w:before="0" w:after="0"/>
        <w:ind w:left="0" w:right="0" w:hanging="0"/>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9. Purchase Price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Purchase Price of shares of Stock issued pursuant to the exercise of an Option on each Exercise Date will be eighty-five percent (85%) (or such greater percentage specified by the Administrator to the extent permitted under Section 423) of the lesser of (a) the Fair Market Value of a share of Stock on the date on which the Option was granted pursuant to Section 6 (i.e., the first day of the Option Period) and (b) the Fair Market Value of a share of Stock on the date on which the Option is deemed exercised pursuant to Section 10 (i.e., the Exercise Date).</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10. Exercise of Options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Subject to the limitations set forth in Section 6 and this Section 10,with respect to each Option Period, on the applicable Exercise Date, each Participant will be deemed to have exercised his or her Option and the accumulated payroll deductions in the Participant’s Account will be applied to purchase the greatest number of whole shares of Stock (rounded down to the nearest whole share) that can be purchased with such Account balance at the applicable Purchase Price; </w:t>
      </w:r>
      <w:r>
        <w:rPr>
          <w:rFonts w:ascii="Arial;Helvetica;Sans-Serif" w:hAnsi="Arial;Helvetica;Sans-Serif"/>
          <w:b w:val="false"/>
          <w:i/>
          <w:caps w:val="false"/>
          <w:smallCaps w:val="false"/>
          <w:sz w:val="18"/>
        </w:rPr>
        <w:t xml:space="preserve">provided, however, </w:t>
      </w:r>
      <w:r>
        <w:rPr>
          <w:rFonts w:ascii="Arial;Helvetica;Sans-Serif" w:hAnsi="Arial;Helvetica;Sans-Serif"/>
          <w:b w:val="false"/>
          <w:i w:val="false"/>
          <w:caps w:val="false"/>
          <w:smallCaps w:val="false"/>
          <w:sz w:val="18"/>
        </w:rPr>
        <w:t>that no more than 10,000 shares of Stock may be purchased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87</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by a Participant on any Exercise Date, or such lesser number as the Administrator may prescribe in accordance with Section 423 (the “Maximum Share Limit”). As soon as practicable thereafter, shares of Stock so purchased will be placed, in book-entry form, into a record keeping account in the name of the Participant. No fractional shares will be purchased; any payroll deductions accumulated in a Participant’s Account that are not sufficient to purchase a full share will be retained in the Participant’s Account for the subsequent Option Period, subject to earlier withdrawal by the Participant as provided in Section 13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Except as provided above with respect to fractional shares, any amount of payroll deductions in a Participant’s Account that are not used for the purchase of shares of Stock, whether because of the Participant’s withdrawal from participation in an Option Period or for any other reason, will be returned to the Participant or his or her designated beneficiary or legal representative, as applicable, without interest, as soon as administratively practicable after such withdrawal or other event, as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the Participant’s accumulated payroll deductions on the Exercise Date would otherwise enable the Participant to purchase shares of Stock in excess of the Maximum Share Limit, the excess of the amount of the accumulated payroll deductions over the aggregate Purchase Price of the shares of Stock actually purchased will be returned to the Participant, without interest, as soon as administratively practicable after such Exercise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Notwithstanding any provision of the Plan to the contrary, no Option may be exercised after 27 months from its grant date.</w:t>
      </w:r>
    </w:p>
    <w:p>
      <w:pPr>
        <w:pStyle w:val="TextBody"/>
        <w:spacing w:before="0" w:after="0"/>
        <w:ind w:left="0" w:right="0" w:hanging="0"/>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11.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interest will be payable on any amount held in the Account of any Participant.</w:t>
      </w:r>
    </w:p>
    <w:p>
      <w:pPr>
        <w:pStyle w:val="TextBody"/>
        <w:spacing w:before="0" w:after="0"/>
        <w:ind w:left="0" w:right="0" w:hanging="0"/>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12.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Payroll deductions will be made on an after-tax basis. The Administrator will have the right, as a condition to exercising an Option, to make such provision as it deems necessary to satisfy its obligations to withhold federal, state, local income or other taxes inclined by reason of the purchase or disposition of shares of Stock under the Plan. In the Administrator’s discretion and subject to applicable law, such tax obligations may be paid in whole or in part by delivery of shares of Stock to the Company, including shares of Stock purchased under the Plan, valued at Fair Market Value, but not in excess of the maximum statutory amounts required to be withheld.</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13. Cancellation and Withdrawal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Participant who holds an Option under the Plan may cancel all (but not less than all) of his or her Option and terminate his or her payroll deduction authorization by revoking such authorization by written notice delivered to the Administrator, which, to be effective with respect to an upcoming Exercise Date, must be delivered not later than fifteen (15) business days prior to such Exercise Date (or such other time as specified by the Administrator). Upon such termination and cancellation, the balance in the Participant’s Account will be returned to the Participant, without interest, as soon as administratively practicable thereafter. For the avoidance of doubt, a Participant who reduces his or her withholding rate for future payroll periods to zero pursuant to Section 7, will be deemed to have revoked his or her payroll deduction authorization and cancelled his or her Option.</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14. Termination of Employment; Death of Participant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Upon the termination of a Participant’s employment with the Company (or a Designated Subsidiary, as applicable) for any reason or the death of a Participant during an Option Period prior to an Exercise Date or in the event the Participant ceases to qualify as an Eligible Employee, the Participant will cease to be a Participant, any Option held by him or her under the Plan will be deemed cancelled, the balance in the Participant’s Account will be returned to the Participant (or his or her estate or designated beneficiary in the event of the Participant’s death), without interest, as soon as administratively practicable thereafter, and the Participant will have no further rights under the Plan.</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15. Equal Rights; Participant’s Rights Not Transferable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Participants granted Options under the Plan will have the same rights and privileges consistent with the requirements set forth in Section 423. Any Option granted under the Plan will be exercisable during the Participant’s lifetime only by him or her and may not be sold, pledged, assigned, or transferred in any manner. In the event any Participant violates or attempts to violate the terms of this Section 15, as determined by the Administrator in its sole discretion, any Options held by him or her may be terminated by the Company and, upon the return to the Participant of the balance of his or her Account, without interest, all of the Participant’s rights under the Plan will terminate.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88</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16. Change in Capitalization;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the event of any change in the outstanding Stock by reason of a stock dividend, split-up, recapitalization, merger, consolidation, reorganization, or other capital change, the aggregate number and type of shares of Stock available under the Plan, the number and type of shares of Stock granted under any outstanding Options, the maximum number and type of shares of Stock purchasable under any outstanding Option, and the purchase price per share of Stock under any outstanding Option will be appropriately adjusted; provided, that no such adjustment will be made unless the Administrator is satisfied that it will not constitute a modification of the rights granted under the Plan or otherwise disqualify the Plan as an employee stock purchase plan under the provisions of Section 423.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the event of a sale of all or substantially all of the Stock or a sale of all or substantially all of the assets of the Company, or a merger or similar transaction in which the Company is not the surviving corporation or that results in the acquisition of the Company by another person, the Administrator may, in its discretion, (a) if the Company is merged with or acquired by another corporation, provide that each outstanding Option will be assumed or exchanged for a substitute Option granted by the acquiror or successor corporation or by a parent or subsidiary of the acquiror or successor corporation, (b) cancel each outstanding Option and return the balances in Participants’ Accounts to the Participants, and/or (c) pursuant to Section 18, terminate the Option Period on or before the date of the proposed sale, merger or similar transaction.</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17. Administration of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Plan will be administered by the Administrator, which will have the right to determine any questions which may arise regarding the interpretation and application of the provisions of the Plan and to make, administer, and interpret such rules and regulations as it deems necessary or advisable. All determinations and decisions by the Administrator regarding the interpretation or application of the Plan will be final and binding on all Participants.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Administrator may specify the manner in which Employees are to provide notices and payroll deduction authorizations. Notwithstanding any requirement of “written notice” herein, the Administrator may permit Employees to provide notices and payroll deduction authorizations electronically.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payroll deductions or other contributions by Participants, payment of interest, conversion of local currency, data privacy security, payroll tax, withholding procedures and handling of stock certificates which vary with local requirements; however, if such varying provisions are not in accordance with the provisions of Section 423(b) of the Code, including but not limited to the requirement of Section 423(b)(5) of the Code that all options granted under the Plan shall have the same rights and privileges unless otherwise provided under the Code and the regulations promulgated thereunder, then the individuals affected by such varying provisions shall be deemed to be participating under a subplan and not in the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Administrator may adopt sub-plans applicable to particular Subsidiaries or locations, which sub-plans may be designed to be outside the scope of Section 423 of the Code and shall be deemed to be outside the scope of Section 423 of the Code unless the terms of the sub-plan provide to the contrary. The rules of such sub-plans may take precedence over other provisions of this Plan, with the exception of Section 3, but unless otherwise superseded by the terms of such sub-plan, the provisions of this Plan shall govern the operation of such sub-plan. The Administrator shall not be required to obtain the approval of stockholders prior to the adoption, amendment or termination of any sub-plan unless required by the laws of the foreign jurisdiction in which eligible Employees participating in the sub-plan are located.</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18. Amendment and Termination of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The Board reserves the right at any time or times to amend the Plan to any extent and in any manner it may deem advisable, by action of the Board; </w:t>
      </w:r>
      <w:r>
        <w:rPr>
          <w:rFonts w:ascii="Arial;Helvetica;Sans-Serif" w:hAnsi="Arial;Helvetica;Sans-Serif"/>
          <w:b w:val="false"/>
          <w:i/>
          <w:caps w:val="false"/>
          <w:smallCaps w:val="false"/>
          <w:sz w:val="18"/>
        </w:rPr>
        <w:t>provided</w:t>
      </w:r>
      <w:r>
        <w:rPr>
          <w:rFonts w:ascii="Arial;Helvetica;Sans-Serif" w:hAnsi="Arial;Helvetica;Sans-Serif"/>
          <w:b w:val="false"/>
          <w:i w:val="false"/>
          <w:caps w:val="false"/>
          <w:smallCaps w:val="false"/>
          <w:sz w:val="18"/>
        </w:rPr>
        <w:t>, that any amendment that would be treated as the adoption of a new plan for purposes of Section 423 will have no force or effect unless approved by the shareholders of the Company within 12 months before or after its adoption.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Plan may be suspended or terminated at any time by the Company, by action of the Board. In connection therewith, the Board may provide, in its sole discretion, either that outstanding Options will be exercisable either at the Exercise Date for the applicable Option Period or on such earlier date as the Board may specify (in which case such earlier date will be treated as the Exercise Date for the applicable Option Period), or that the balance of each Participant’s Account will be returned to the Participant, without interest.</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19. Approvals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Shareholder approval of the Plan, as amended and restated, will be obtained prior to the date that is 12 months after the date of Board approval. In the event that this Plan has not been approved by the shareholders of the Company prior to January 11, 2024, all Options to purchase shares of Stock under this Plan will be cancelled and become null and void.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89</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Notwithstanding anything herein to the contrary, the obligation of the Company to issue and deliver shares of Stock under the Plan will be subject to the approval required of any governmental authority in connection with the authorization, issuance, sale or transfer of said shares of Stock, to any requirements of any national securities exchange applicable thereto, and to compliance by the Company with other applicable legal requirements in effect from time to time.</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20. Participants’ Rights as Shareholders and Employees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Participant will have no rights or privileges as a shareholder of the Company and will not receive any dividends in respect of any shares of Stock covered by an Option granted hereunder until such Option has been exercised, full payment has been made for such shares of Stock, and the shares of Stock have been issued to the Participant.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Nothing contained in the provisions of the Plan will be construed as giving to any Employee the right to be retained in the employ of the Company or any Designated Subsidiary or as interfering with the right of the Company or any Designated Subsidiary to discharge, promote, demote or otherwise re-assign any Employee from one position to another within the Company or any Designated Subsidiary at any time.</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21. Information Regarding Disqualifying Dispositions.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By electing to participate in the Plan, each Participant agrees if requested by the Company to provide such information about any transfer of Stock acquired under the Plan that occurs within two years after the first day of the Option Period in which such Stock was acquired and within one year after the acquisition of such Stock as may be requested by the Company or any Designated Subsidiary in order to assist it in complying with applicable tax laws.</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22. Governing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Subject to overriding federal law, the Plan will be governed by and interpreted consistently with the laws of the State of Delaware.</w:t>
      </w:r>
    </w:p>
    <w:p>
      <w:pPr>
        <w:pStyle w:val="TextBody"/>
        <w:spacing w:before="0" w:after="0"/>
        <w:ind w:left="0" w:right="0" w:hanging="0"/>
        <w:jc w:val="both"/>
        <w:rPr>
          <w:caps w:val="false"/>
          <w:smallCaps w:val="false"/>
        </w:rPr>
      </w:pPr>
      <w:r>
        <w:rPr>
          <w:caps w:val="false"/>
          <w:smallCaps w:val="false"/>
        </w:rPr>
        <w:t> </w:t>
      </w:r>
    </w:p>
    <w:p>
      <w:pPr>
        <w:pStyle w:val="Heading3"/>
        <w:spacing w:before="0" w:after="0"/>
        <w:ind w:left="0" w:right="0" w:hanging="0"/>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Section 23. Effective Date and Termination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Plan originally became effective on February 5, 2014, and this Plan, as amended and restated, will become effective on June 7, 2023. This Plan, as amended and restated, will continue in effect until the earlier to occur (a) the Plan’s termination in accordance with Section 18, (b) the issuance of all shares of Stock available for issuance under the Plan or (c) June 7, 2033.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90</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Heading3"/>
        <w:spacing w:before="0" w:after="0"/>
        <w:ind w:left="0" w:right="0" w:hanging="0"/>
        <w:rPr>
          <w:rFonts w:ascii="Arial;Helvetica;Sans-Serif" w:hAnsi="Arial;Helvetica;Sans-Serif"/>
          <w:b/>
          <w:i w:val="false"/>
          <w:caps w:val="false"/>
          <w:smallCaps w:val="false"/>
          <w:color w:val="743F7B"/>
          <w:sz w:val="28"/>
        </w:rPr>
      </w:pPr>
      <w:bookmarkStart w:id="127" w:name="lrarea114"/>
      <w:bookmarkEnd w:id="127"/>
      <w:r>
        <w:rPr>
          <w:rFonts w:ascii="Arial;Helvetica;Sans-Serif" w:hAnsi="Arial;Helvetica;Sans-Serif"/>
          <w:b/>
          <w:i w:val="false"/>
          <w:caps w:val="false"/>
          <w:smallCaps w:val="false"/>
          <w:color w:val="743F7B"/>
          <w:sz w:val="28"/>
        </w:rPr>
        <w:t>EXHIBIT A</w:t>
      </w:r>
    </w:p>
    <w:p>
      <w:pPr>
        <w:pStyle w:val="Heading2"/>
        <w:spacing w:before="0" w:after="0"/>
        <w:ind w:left="0" w:right="0" w:hanging="0"/>
        <w:rPr>
          <w:rFonts w:ascii="Arial;Helvetica;Sans-Serif" w:hAnsi="Arial;Helvetica;Sans-Serif"/>
          <w:b/>
          <w:i w:val="false"/>
          <w:caps w:val="false"/>
          <w:smallCaps w:val="false"/>
          <w:color w:val="7CBC3E"/>
          <w:sz w:val="40"/>
        </w:rPr>
      </w:pPr>
      <w:r>
        <w:rPr>
          <w:rFonts w:ascii="Arial;Helvetica;Sans-Serif" w:hAnsi="Arial;Helvetica;Sans-Serif"/>
          <w:b/>
          <w:i w:val="false"/>
          <w:caps w:val="false"/>
          <w:smallCaps w:val="false"/>
          <w:color w:val="7CBC3E"/>
          <w:sz w:val="40"/>
        </w:rPr>
        <w:t>Definition of Terms</w:t>
      </w:r>
    </w:p>
    <w:p>
      <w:pPr>
        <w:pStyle w:val="TextBody"/>
        <w:spacing w:before="0" w:after="0"/>
        <w:ind w:left="0" w:right="0" w:hanging="0"/>
        <w:rPr>
          <w:caps w:val="false"/>
          <w:smallCaps w:val="false"/>
          <w:color w:val="6BF700"/>
        </w:rPr>
      </w:pPr>
      <w:r>
        <w:rPr>
          <w:caps w:val="false"/>
          <w:smallCaps w:val="false"/>
          <w:color w:val="6BF700"/>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terms, when used in the Plan, will have the meanings and be subject to the provisions set forth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Account</w:t>
      </w:r>
      <w:r>
        <w:rPr>
          <w:rFonts w:ascii="Arial;Helvetica;Sans-Serif" w:hAnsi="Arial;Helvetica;Sans-Serif"/>
          <w:b w:val="false"/>
          <w:i w:val="false"/>
          <w:caps w:val="false"/>
          <w:smallCaps w:val="false"/>
          <w:sz w:val="18"/>
        </w:rPr>
        <w:t>”: A payroll deduction account maintained in the Participant’s name on the books of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Administrator</w:t>
      </w:r>
      <w:r>
        <w:rPr>
          <w:rFonts w:ascii="Arial;Helvetica;Sans-Serif" w:hAnsi="Arial;Helvetica;Sans-Serif"/>
          <w:b w:val="false"/>
          <w:i w:val="false"/>
          <w:caps w:val="false"/>
          <w:smallCaps w:val="false"/>
          <w:sz w:val="18"/>
        </w:rPr>
        <w:t>”: The Compensation Committee of the Board and its delegates, except that the Compensation Committee may delegate its authority under the Plan to a sub-committee comprised of one or more of its members, to members of the Board, or to officers or employees of the Company to the extent permitted by applicable law. In each case references herein to the Administrator refer, as applicable, to such persons or groups so delegated to the extent of such delegation.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Board</w:t>
      </w:r>
      <w:r>
        <w:rPr>
          <w:rFonts w:ascii="Arial;Helvetica;Sans-Serif" w:hAnsi="Arial;Helvetica;Sans-Serif"/>
          <w:b w:val="false"/>
          <w:i w:val="false"/>
          <w:caps w:val="false"/>
          <w:smallCaps w:val="false"/>
          <w:sz w:val="18"/>
        </w:rPr>
        <w:t>”: The Board of Directors of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Code</w:t>
      </w:r>
      <w:r>
        <w:rPr>
          <w:rFonts w:ascii="Arial;Helvetica;Sans-Serif" w:hAnsi="Arial;Helvetica;Sans-Serif"/>
          <w:b w:val="false"/>
          <w:i w:val="false"/>
          <w:caps w:val="false"/>
          <w:smallCaps w:val="false"/>
          <w:sz w:val="18"/>
        </w:rPr>
        <w:t>”: The U.S. Internal Revenue Code of 1986 as from time to time amended and in effect, or any successor statute as from time to time in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Company</w:t>
      </w:r>
      <w:r>
        <w:rPr>
          <w:rFonts w:ascii="Arial;Helvetica;Sans-Serif" w:hAnsi="Arial;Helvetica;Sans-Serif"/>
          <w:b w:val="false"/>
          <w:i w:val="false"/>
          <w:caps w:val="false"/>
          <w:smallCaps w:val="false"/>
          <w:sz w:val="18"/>
        </w:rPr>
        <w:t>”: Ultragenyx Pharmaceutical Inc. and any successor corporation.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Designated Subsidiary</w:t>
      </w:r>
      <w:r>
        <w:rPr>
          <w:rFonts w:ascii="Arial;Helvetica;Sans-Serif" w:hAnsi="Arial;Helvetica;Sans-Serif"/>
          <w:b w:val="false"/>
          <w:i w:val="false"/>
          <w:caps w:val="false"/>
          <w:smallCaps w:val="false"/>
          <w:sz w:val="18"/>
        </w:rPr>
        <w:t>”: A Subsidiary of the Company that has been designated by the Board or the Compensation Committee of the Board from time to time as eligible to participate in the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Eligible Employee</w:t>
      </w:r>
      <w:r>
        <w:rPr>
          <w:rFonts w:ascii="Arial;Helvetica;Sans-Serif" w:hAnsi="Arial;Helvetica;Sans-Serif"/>
          <w:b w:val="false"/>
          <w:i w:val="false"/>
          <w:caps w:val="false"/>
          <w:smallCaps w:val="false"/>
          <w:sz w:val="18"/>
        </w:rPr>
        <w:t>”: Any Employee who meets the eligibility requirements set forth in Section 4 of the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Employee</w:t>
      </w:r>
      <w:r>
        <w:rPr>
          <w:rFonts w:ascii="Arial;Helvetica;Sans-Serif" w:hAnsi="Arial;Helvetica;Sans-Serif"/>
          <w:b w:val="false"/>
          <w:i w:val="false"/>
          <w:caps w:val="false"/>
          <w:smallCaps w:val="false"/>
          <w:sz w:val="18"/>
        </w:rPr>
        <w:t>”: Any person who is employed by the Company or a Designated Subsidiary. For the avoidance of doubt, independent consultants and independent contractors are not “Employees.”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Exercise Date</w:t>
      </w:r>
      <w:r>
        <w:rPr>
          <w:rFonts w:ascii="Arial;Helvetica;Sans-Serif" w:hAnsi="Arial;Helvetica;Sans-Serif"/>
          <w:b w:val="false"/>
          <w:i w:val="false"/>
          <w:caps w:val="false"/>
          <w:smallCaps w:val="false"/>
          <w:sz w:val="18"/>
        </w:rPr>
        <w:t>”: The date set forth in Section 5 of the Plan or otherwise designated by the Administrator with respect to a particular Option Period on which a Participant will be deemed to have exercised the Option granted to him or her for such Option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Arial;Helvetica;Sans-Serif" w:hAnsi="Arial;Helvetica;Sans-Serif"/>
          <w:b/>
          <w:i w:val="false"/>
          <w:caps w:val="false"/>
          <w:smallCaps w:val="false"/>
          <w:sz w:val="18"/>
        </w:rPr>
        <w:t>Fair Market Value</w:t>
      </w:r>
      <w:r>
        <w:rPr>
          <w:rFonts w:ascii="Arial;Helvetica;Sans-Serif" w:hAnsi="Arial;Helvetica;Sans-Serif"/>
          <w:b w:val="false"/>
          <w:i w:val="false"/>
          <w:caps w:val="false"/>
          <w:smallCaps w:val="false"/>
          <w:sz w:val="18"/>
        </w:rPr>
        <w: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2"/>
        <w:gridCol w:w="10053"/>
      </w:tblGrid>
      <w:tr>
        <w:trPr/>
        <w:tc>
          <w:tcPr>
            <w:tcW w:w="152"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1.</w:t>
            </w:r>
          </w:p>
        </w:tc>
        <w:tc>
          <w:tcPr>
            <w:tcW w:w="10053"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 xml:space="preserve">If the Stock is readily traded on an established national exchange or trading system (including the Nasdaq Global Market), the closing price of the Stock as reported by the principal exchange on which such Stock is traded; </w:t>
            </w:r>
            <w:r>
              <w:rPr>
                <w:rFonts w:ascii="Arial;Helvetica;Sans-Serif" w:hAnsi="Arial;Helvetica;Sans-Serif"/>
                <w:i/>
                <w:sz w:val="18"/>
              </w:rPr>
              <w:t>provided, however</w:t>
            </w:r>
            <w:r>
              <w:rPr>
                <w:rFonts w:ascii="Arial;Helvetica;Sans-Serif" w:hAnsi="Arial;Helvetica;Sans-Serif"/>
                <w:sz w:val="18"/>
              </w:rPr>
              <w:t>, that if such day is not a trading day, Fair Market Value will mean the reported closing price of the Stock for the immediately preceding day that is a trading day.</w:t>
            </w:r>
          </w:p>
        </w:tc>
      </w:tr>
      <w:tr>
        <w:trPr/>
        <w:tc>
          <w:tcPr>
            <w:tcW w:w="152"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2.</w:t>
            </w:r>
          </w:p>
        </w:tc>
        <w:tc>
          <w:tcPr>
            <w:tcW w:w="10053"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If the Stock is not traded on an established national exchange or trading system, the average of the bid and ask prices for such Stock where the bid and ask prices are quoted.</w:t>
            </w:r>
          </w:p>
        </w:tc>
      </w:tr>
      <w:tr>
        <w:trPr/>
        <w:tc>
          <w:tcPr>
            <w:tcW w:w="152" w:type="dxa"/>
            <w:tcBorders/>
            <w:shd w:fill="auto" w:val="clear"/>
            <w:vAlign w:val="center"/>
          </w:tcPr>
          <w:p>
            <w:pPr>
              <w:pStyle w:val="TableContents"/>
              <w:spacing w:before="0" w:after="283"/>
              <w:rPr>
                <w:rFonts w:ascii="Arial;Helvetica;Sans-Serif" w:hAnsi="Arial;Helvetica;Sans-Serif"/>
                <w:b/>
                <w:color w:val="7CBC3E"/>
                <w:sz w:val="18"/>
              </w:rPr>
            </w:pPr>
            <w:r>
              <w:rPr>
                <w:rFonts w:ascii="Arial;Helvetica;Sans-Serif" w:hAnsi="Arial;Helvetica;Sans-Serif"/>
                <w:b/>
                <w:color w:val="7CBC3E"/>
                <w:sz w:val="18"/>
              </w:rPr>
              <w:t>3.</w:t>
            </w:r>
          </w:p>
        </w:tc>
        <w:tc>
          <w:tcPr>
            <w:tcW w:w="10053" w:type="dxa"/>
            <w:tcBorders/>
            <w:shd w:fill="auto" w:val="clear"/>
            <w:vAlign w:val="center"/>
          </w:tcPr>
          <w:p>
            <w:pPr>
              <w:pStyle w:val="TableContents"/>
              <w:spacing w:before="0" w:after="283"/>
              <w:jc w:val="both"/>
              <w:rPr>
                <w:rFonts w:ascii="Arial;Helvetica;Sans-Serif" w:hAnsi="Arial;Helvetica;Sans-Serif"/>
                <w:sz w:val="18"/>
              </w:rPr>
            </w:pPr>
            <w:r>
              <w:rPr>
                <w:rFonts w:ascii="Arial;Helvetica;Sans-Serif" w:hAnsi="Arial;Helvetica;Sans-Serif"/>
                <w:sz w:val="18"/>
              </w:rPr>
              <w:t>If the Stock cannot be valued pursuant to clauses (a) or (b), the value as determined in good faith by the Board in its sole discretion.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Maximum Share Limit</w:t>
      </w:r>
      <w:r>
        <w:rPr>
          <w:rFonts w:ascii="Arial;Helvetica;Sans-Serif" w:hAnsi="Arial;Helvetica;Sans-Serif"/>
          <w:b w:val="false"/>
          <w:i w:val="false"/>
          <w:caps w:val="false"/>
          <w:smallCaps w:val="false"/>
          <w:sz w:val="18"/>
        </w:rPr>
        <w:t>”: The meaning set forth in Section 10 of the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Option</w:t>
      </w:r>
      <w:r>
        <w:rPr>
          <w:rFonts w:ascii="Arial;Helvetica;Sans-Serif" w:hAnsi="Arial;Helvetica;Sans-Serif"/>
          <w:b w:val="false"/>
          <w:i w:val="false"/>
          <w:caps w:val="false"/>
          <w:smallCaps w:val="false"/>
          <w:sz w:val="18"/>
        </w:rPr>
        <w:t>”: An option granted pursuant to the Plan entitling the holder to acquire shares of Stock upon payment of the Purchase Price per share of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Option Period</w:t>
      </w:r>
      <w:r>
        <w:rPr>
          <w:rFonts w:ascii="Arial;Helvetica;Sans-Serif" w:hAnsi="Arial;Helvetica;Sans-Serif"/>
          <w:b w:val="false"/>
          <w:i w:val="false"/>
          <w:caps w:val="false"/>
          <w:smallCaps w:val="false"/>
          <w:sz w:val="18"/>
        </w:rPr>
        <w:t>”: An offering period established in accordance with Section 5 of the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Parent</w:t>
      </w:r>
      <w:r>
        <w:rPr>
          <w:rFonts w:ascii="Arial;Helvetica;Sans-Serif" w:hAnsi="Arial;Helvetica;Sans-Serif"/>
          <w:b w:val="false"/>
          <w:i w:val="false"/>
          <w:caps w:val="false"/>
          <w:smallCaps w:val="false"/>
          <w:sz w:val="18"/>
        </w:rPr>
        <w:t>”: A “parent corporation” as defined in Section 424(e) of the Code.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Participant</w:t>
      </w:r>
      <w:r>
        <w:rPr>
          <w:rFonts w:ascii="Arial;Helvetica;Sans-Serif" w:hAnsi="Arial;Helvetica;Sans-Serif"/>
          <w:b w:val="false"/>
          <w:i w:val="false"/>
          <w:caps w:val="false"/>
          <w:smallCaps w:val="false"/>
          <w:sz w:val="18"/>
        </w:rPr>
        <w:t>”: An Eligible Employee who elects to enroll in the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Plan</w:t>
      </w:r>
      <w:r>
        <w:rPr>
          <w:rFonts w:ascii="Arial;Helvetica;Sans-Serif" w:hAnsi="Arial;Helvetica;Sans-Serif"/>
          <w:b w:val="false"/>
          <w:i w:val="false"/>
          <w:caps w:val="false"/>
          <w:smallCaps w:val="false"/>
          <w:sz w:val="18"/>
        </w:rPr>
        <w:t>”: The Ultragenyx Pharmaceutical Inc. 2014 Employee Stock Purchase Plan, as from time to time amended and in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Purchase Price</w:t>
      </w:r>
      <w:r>
        <w:rPr>
          <w:rFonts w:ascii="Arial;Helvetica;Sans-Serif" w:hAnsi="Arial;Helvetica;Sans-Serif"/>
          <w:b w:val="false"/>
          <w:i w:val="false"/>
          <w:caps w:val="false"/>
          <w:smallCaps w:val="false"/>
          <w:sz w:val="18"/>
        </w:rPr>
        <w:t>”: The price per share of Stock with respect to an Option Period determined in accordance with Section 9 of the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Section 423</w:t>
      </w:r>
      <w:r>
        <w:rPr>
          <w:rFonts w:ascii="Arial;Helvetica;Sans-Serif" w:hAnsi="Arial;Helvetica;Sans-Serif"/>
          <w:b w:val="false"/>
          <w:i w:val="false"/>
          <w:caps w:val="false"/>
          <w:smallCaps w:val="false"/>
          <w:sz w:val="18"/>
        </w:rPr>
        <w:t>”:Section 423 of the Code and the regulations thereunder.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Stock</w:t>
      </w:r>
      <w:r>
        <w:rPr>
          <w:rFonts w:ascii="Arial;Helvetica;Sans-Serif" w:hAnsi="Arial;Helvetica;Sans-Serif"/>
          <w:b w:val="false"/>
          <w:i w:val="false"/>
          <w:caps w:val="false"/>
          <w:smallCaps w:val="false"/>
          <w:sz w:val="18"/>
        </w:rPr>
        <w:t>”: Common stock of the Company, par value $0.001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i w:val="false"/>
          <w:caps w:val="false"/>
          <w:smallCaps w:val="false"/>
          <w:sz w:val="18"/>
        </w:rPr>
        <w:t>Subsidiary</w:t>
      </w:r>
      <w:r>
        <w:rPr>
          <w:rFonts w:ascii="Arial;Helvetica;Sans-Serif" w:hAnsi="Arial;Helvetica;Sans-Serif"/>
          <w:b w:val="false"/>
          <w:i w:val="false"/>
          <w:caps w:val="false"/>
          <w:smallCaps w:val="false"/>
          <w:sz w:val="18"/>
        </w:rPr>
        <w:t>”: A “subsidiary corporation” as defined in Section 424(f) of the Code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ULTRAGENYX PHARMACEUTICAL INC.</w:t>
      </w:r>
      <w:r>
        <w:rPr>
          <w:rFonts w:ascii="Arial;Helvetica;Sans-Serif" w:hAnsi="Arial;Helvetica;Sans-Serif"/>
          <w:b w:val="false"/>
          <w:i w:val="false"/>
          <w:caps w:val="false"/>
          <w:smallCaps w:val="false"/>
          <w:color w:val="7CBC3E"/>
          <w:sz w:val="18"/>
        </w:rPr>
        <w:t xml:space="preserve"> • </w:t>
      </w:r>
      <w:r>
        <w:rPr>
          <w:rFonts w:ascii="Arial;Helvetica;Sans-Serif" w:hAnsi="Arial;Helvetica;Sans-Serif"/>
          <w:b w:val="false"/>
          <w:i w:val="false"/>
          <w:caps w:val="false"/>
          <w:smallCaps w:val="false"/>
          <w:sz w:val="18"/>
        </w:rPr>
        <w:t>2023 Proxy Statement        </w:t>
      </w:r>
      <w:r>
        <w:rPr>
          <w:rFonts w:ascii="Arial;Helvetica;Sans-Serif" w:hAnsi="Arial;Helvetica;Sans-Serif"/>
          <w:b/>
          <w:i w:val="false"/>
          <w:caps w:val="false"/>
          <w:smallCaps w:val="false"/>
          <w:sz w:val="18"/>
        </w:rPr>
        <w:t>91</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center"/>
        <w:rPr/>
      </w:pPr>
      <w:r>
        <w:rPr/>
        <w:drawing>
          <wp:inline distT="0" distB="0" distL="0" distR="0">
            <wp:extent cx="7429500" cy="9753600"/>
            <wp:effectExtent l="0" t="0" r="0" b="0"/>
            <wp:docPr id="17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2" descr=""/>
                    <pic:cNvPicPr>
                      <a:picLocks noChangeAspect="1" noChangeArrowheads="1"/>
                    </pic:cNvPicPr>
                  </pic:nvPicPr>
                  <pic:blipFill>
                    <a:blip r:embed="rId173"/>
                    <a:stretch>
                      <a:fillRect/>
                    </a:stretch>
                  </pic:blipFill>
                  <pic:spPr bwMode="auto">
                    <a:xfrm>
                      <a:off x="0" y="0"/>
                      <a:ext cx="7429500" cy="9753600"/>
                    </a:xfrm>
                    <a:prstGeom prst="rect">
                      <a:avLst/>
                    </a:prstGeom>
                  </pic:spPr>
                </pic:pic>
              </a:graphicData>
            </a:graphic>
          </wp:inline>
        </w:drawing>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caps w:val="false"/>
          <w:smallCaps w:val="false"/>
        </w:rPr>
      </w:pPr>
      <w:r>
        <w:rPr>
          <w:caps w:val="false"/>
          <w:smallCaps w:val="false"/>
        </w:rPr>
        <w:drawing>
          <wp:inline distT="0" distB="0" distL="0" distR="0">
            <wp:extent cx="7429500" cy="9486900"/>
            <wp:effectExtent l="0" t="0" r="0" b="0"/>
            <wp:docPr id="17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3" descr=""/>
                    <pic:cNvPicPr>
                      <a:picLocks noChangeAspect="1" noChangeArrowheads="1"/>
                    </pic:cNvPicPr>
                  </pic:nvPicPr>
                  <pic:blipFill>
                    <a:blip r:embed="rId174"/>
                    <a:stretch>
                      <a:fillRect/>
                    </a:stretch>
                  </pic:blipFill>
                  <pic:spPr bwMode="auto">
                    <a:xfrm>
                      <a:off x="0" y="0"/>
                      <a:ext cx="7429500" cy="9486900"/>
                    </a:xfrm>
                    <a:prstGeom prst="rect">
                      <a:avLst/>
                    </a:prstGeom>
                  </pic:spPr>
                </pic:pic>
              </a:graphicData>
            </a:graphic>
          </wp:inline>
        </w:drawing>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828" w:type="dxa"/>
        <w:jc w:val="left"/>
        <w:tblInd w:w="0" w:type="dxa"/>
        <w:tblCellMar>
          <w:top w:w="0" w:type="dxa"/>
          <w:left w:w="0" w:type="dxa"/>
          <w:bottom w:w="0" w:type="dxa"/>
          <w:right w:w="0" w:type="dxa"/>
        </w:tblCellMar>
      </w:tblPr>
      <w:tblGrid>
        <w:gridCol w:w="1790"/>
        <w:gridCol w:w="38"/>
      </w:tblGrid>
      <w:tr>
        <w:trPr/>
        <w:tc>
          <w:tcPr>
            <w:tcW w:w="1790" w:type="dxa"/>
            <w:tcBorders/>
            <w:shd w:fill="auto" w:val="clear"/>
            <w:vAlign w:val="center"/>
          </w:tcPr>
          <w:p>
            <w:pPr>
              <w:pStyle w:val="TableContents"/>
              <w:spacing w:before="0" w:after="283"/>
              <w:jc w:val="left"/>
              <w:rPr/>
            </w:pPr>
            <w:hyperlink w:anchor="toc">
              <w:r>
                <w:rPr>
                  <w:rStyle w:val="InternetLink"/>
                  <w:b/>
                </w:rPr>
                <w:t>Back to Contents</w:t>
              </w:r>
            </w:hyperlink>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caps w:val="false"/>
          <w:smallCaps w:val="false"/>
        </w:rPr>
      </w:pPr>
      <w:r>
        <w:rPr>
          <w:caps w:val="false"/>
          <w:smallCaps w:val="false"/>
        </w:rPr>
        <w:drawing>
          <wp:inline distT="0" distB="0" distL="0" distR="0">
            <wp:extent cx="7429500" cy="9810750"/>
            <wp:effectExtent l="0" t="0" r="0" b="0"/>
            <wp:docPr id="17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4" descr=""/>
                    <pic:cNvPicPr>
                      <a:picLocks noChangeAspect="1" noChangeArrowheads="1"/>
                    </pic:cNvPicPr>
                  </pic:nvPicPr>
                  <pic:blipFill>
                    <a:blip r:embed="rId175"/>
                    <a:stretch>
                      <a:fillRect/>
                    </a:stretch>
                  </pic:blipFill>
                  <pic:spPr bwMode="auto">
                    <a:xfrm>
                      <a:off x="0" y="0"/>
                      <a:ext cx="7429500" cy="9810750"/>
                    </a:xfrm>
                    <a:prstGeom prst="rect">
                      <a:avLst/>
                    </a:prstGeom>
                  </pic:spPr>
                </pic:pic>
              </a:graphicData>
            </a:graphic>
          </wp:inline>
        </w:drawing>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WenQuanYi Zen Hei Sharp" w:cs="DejaVu Sans"/>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WenQuanYi Zen Hei Sharp" w:cs="DejaVu Sans"/>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fontTable" Target="fontTable.xml"/><Relationship Id="rId1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57071</Words>
  <CharactersWithSpaces>366695</CharactersWithSpaces>
  <Paragraphs>6958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