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b w:val="1"/>
          <w:bCs w:val="1"/>
          <w:color w:val="auto"/>
        </w:rPr>
        <w:t>As filed with the Securities and Exchange Commission on June 12, 2026</w:t>
      </w:r>
    </w:p>
    <w:p>
      <w:pPr>
        <w:spacing w:after="0" w:line="15" w:lineRule="exact"/>
        <w:rPr>
          <w:sz w:val="24"/>
          <w:szCs w:val="24"/>
          <w:color w:val="auto"/>
        </w:rPr>
      </w:pPr>
    </w:p>
    <w:p>
      <w:pPr>
        <w:ind w:left="9060"/>
        <w:spacing w:after="0"/>
        <w:rPr>
          <w:sz w:val="20"/>
          <w:szCs w:val="20"/>
          <w:color w:val="auto"/>
        </w:rPr>
      </w:pPr>
      <w:r>
        <w:rPr>
          <w:rFonts w:ascii="Arial" w:cs="Arial" w:eastAsia="Arial" w:hAnsi="Arial"/>
          <w:sz w:val="14"/>
          <w:szCs w:val="14"/>
          <w:b w:val="1"/>
          <w:bCs w:val="1"/>
          <w:color w:val="auto"/>
        </w:rPr>
        <w:t>Registration No. 333-</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w:t>
      </w:r>
      <w:r>
        <w:rPr>
          <w:rFonts w:ascii="Arial" w:cs="Arial" w:eastAsia="Arial" w:hAnsi="Arial"/>
          <w:sz w:val="19"/>
          <w:szCs w:val="19"/>
          <w:b w:val="1"/>
          <w:bCs w:val="1"/>
          <w:color w:val="auto"/>
        </w:rPr>
        <w:t>9</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Ultragenyx Pharmaceutical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-174625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35"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6620" w:type="dxa"/>
            <w:vAlign w:val="bottom"/>
          </w:tcPr>
          <w:p>
            <w:pPr>
              <w:jc w:val="center"/>
              <w:ind w:right="1743"/>
              <w:spacing w:after="0"/>
              <w:rPr>
                <w:sz w:val="20"/>
                <w:szCs w:val="20"/>
                <w:color w:val="auto"/>
              </w:rPr>
            </w:pPr>
            <w:r>
              <w:rPr>
                <w:rFonts w:ascii="Arial" w:cs="Arial" w:eastAsia="Arial" w:hAnsi="Arial"/>
                <w:sz w:val="18"/>
                <w:szCs w:val="18"/>
                <w:b w:val="1"/>
                <w:bCs w:val="1"/>
                <w:color w:val="auto"/>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27-2546083</w:t>
            </w:r>
          </w:p>
        </w:tc>
      </w:tr>
      <w:tr>
        <w:trPr>
          <w:trHeight w:val="239"/>
        </w:trPr>
        <w:tc>
          <w:tcPr>
            <w:tcW w:w="6620" w:type="dxa"/>
            <w:vAlign w:val="bottom"/>
          </w:tcPr>
          <w:p>
            <w:pPr>
              <w:jc w:val="center"/>
              <w:ind w:right="1763"/>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2780" w:type="dxa"/>
            <w:vAlign w:val="bottom"/>
          </w:tcPr>
          <w:p>
            <w:pPr>
              <w:jc w:val="center"/>
              <w:spacing w:after="0"/>
              <w:rPr>
                <w:sz w:val="20"/>
                <w:szCs w:val="20"/>
                <w:color w:val="auto"/>
              </w:rPr>
            </w:pPr>
            <w:r>
              <w:rPr>
                <w:rFonts w:ascii="Arial" w:cs="Arial" w:eastAsia="Arial" w:hAnsi="Arial"/>
                <w:sz w:val="18"/>
                <w:szCs w:val="18"/>
                <w:color w:val="auto"/>
              </w:rPr>
              <w:t>(I.R.S. Employer Identification No.)</w:t>
            </w:r>
          </w:p>
        </w:tc>
      </w:tr>
      <w:tr>
        <w:trPr>
          <w:trHeight w:val="369"/>
        </w:trPr>
        <w:tc>
          <w:tcPr>
            <w:tcW w:w="6620" w:type="dxa"/>
            <w:vAlign w:val="bottom"/>
          </w:tcPr>
          <w:p>
            <w:pPr>
              <w:jc w:val="center"/>
              <w:ind w:left="3703"/>
              <w:spacing w:after="0"/>
              <w:rPr>
                <w:sz w:val="20"/>
                <w:szCs w:val="20"/>
                <w:color w:val="auto"/>
              </w:rPr>
            </w:pPr>
            <w:r>
              <w:rPr>
                <w:rFonts w:ascii="Arial" w:cs="Arial" w:eastAsia="Arial" w:hAnsi="Arial"/>
                <w:sz w:val="18"/>
                <w:szCs w:val="18"/>
                <w:b w:val="1"/>
                <w:bCs w:val="1"/>
                <w:color w:val="auto"/>
                <w:w w:val="99"/>
              </w:rPr>
              <w:t>60 Leveroni Court</w:t>
            </w:r>
          </w:p>
        </w:tc>
        <w:tc>
          <w:tcPr>
            <w:tcW w:w="2780" w:type="dxa"/>
            <w:vAlign w:val="bottom"/>
          </w:tcPr>
          <w:p>
            <w:pPr>
              <w:spacing w:after="0"/>
              <w:rPr>
                <w:sz w:val="24"/>
                <w:szCs w:val="24"/>
                <w:color w:val="auto"/>
              </w:rPr>
            </w:pPr>
          </w:p>
        </w:tc>
      </w:tr>
      <w:tr>
        <w:trPr>
          <w:trHeight w:val="212"/>
        </w:trPr>
        <w:tc>
          <w:tcPr>
            <w:tcW w:w="6620" w:type="dxa"/>
            <w:vAlign w:val="bottom"/>
          </w:tcPr>
          <w:p>
            <w:pPr>
              <w:jc w:val="center"/>
              <w:ind w:left="3703"/>
              <w:spacing w:after="0"/>
              <w:rPr>
                <w:sz w:val="20"/>
                <w:szCs w:val="20"/>
                <w:color w:val="auto"/>
              </w:rPr>
            </w:pPr>
            <w:r>
              <w:rPr>
                <w:rFonts w:ascii="Arial" w:cs="Arial" w:eastAsia="Arial" w:hAnsi="Arial"/>
                <w:sz w:val="18"/>
                <w:szCs w:val="18"/>
                <w:b w:val="1"/>
                <w:bCs w:val="1"/>
                <w:color w:val="auto"/>
                <w:w w:val="99"/>
              </w:rPr>
              <w:t>Novato, CA 94949</w:t>
            </w:r>
          </w:p>
        </w:tc>
        <w:tc>
          <w:tcPr>
            <w:tcW w:w="2780" w:type="dxa"/>
            <w:vAlign w:val="bottom"/>
          </w:tcPr>
          <w:p>
            <w:pPr>
              <w:spacing w:after="0"/>
              <w:rPr>
                <w:sz w:val="18"/>
                <w:szCs w:val="18"/>
                <w:color w:val="auto"/>
              </w:rPr>
            </w:pPr>
          </w:p>
        </w:tc>
      </w:tr>
      <w:tr>
        <w:trPr>
          <w:trHeight w:val="190"/>
        </w:trPr>
        <w:tc>
          <w:tcPr>
            <w:tcW w:w="9400" w:type="dxa"/>
            <w:vAlign w:val="bottom"/>
            <w:gridSpan w:val="2"/>
          </w:tcPr>
          <w:p>
            <w:pPr>
              <w:jc w:val="center"/>
              <w:ind w:left="923"/>
              <w:spacing w:after="0"/>
              <w:rPr>
                <w:sz w:val="20"/>
                <w:szCs w:val="20"/>
                <w:color w:val="auto"/>
              </w:rPr>
            </w:pPr>
            <w:r>
              <w:rPr>
                <w:rFonts w:ascii="Arial" w:cs="Arial" w:eastAsia="Arial" w:hAnsi="Arial"/>
                <w:sz w:val="14"/>
                <w:szCs w:val="14"/>
                <w:color w:val="auto"/>
              </w:rPr>
              <w:t>(Address of Principal Executive Offices, Zip Code)</w:t>
            </w:r>
          </w:p>
        </w:tc>
      </w:tr>
      <w:tr>
        <w:trPr>
          <w:trHeight w:val="376"/>
        </w:trPr>
        <w:tc>
          <w:tcPr>
            <w:tcW w:w="9400" w:type="dxa"/>
            <w:vAlign w:val="bottom"/>
            <w:gridSpan w:val="2"/>
          </w:tcPr>
          <w:p>
            <w:pPr>
              <w:ind w:left="2860"/>
              <w:spacing w:after="0"/>
              <w:rPr>
                <w:sz w:val="20"/>
                <w:szCs w:val="20"/>
                <w:color w:val="auto"/>
              </w:rPr>
            </w:pPr>
            <w:r>
              <w:rPr>
                <w:rFonts w:ascii="Arial" w:cs="Arial" w:eastAsia="Arial" w:hAnsi="Arial"/>
                <w:sz w:val="20"/>
                <w:szCs w:val="20"/>
                <w:b w:val="1"/>
                <w:bCs w:val="1"/>
                <w:color w:val="auto"/>
              </w:rPr>
              <w:t>Third Amended and Restated 2023 Incentive Plan</w:t>
            </w:r>
          </w:p>
        </w:tc>
      </w:tr>
      <w:tr>
        <w:trPr>
          <w:trHeight w:val="230"/>
        </w:trPr>
        <w:tc>
          <w:tcPr>
            <w:tcW w:w="6620" w:type="dxa"/>
            <w:vAlign w:val="bottom"/>
          </w:tcPr>
          <w:p>
            <w:pPr>
              <w:jc w:val="center"/>
              <w:ind w:left="3723"/>
              <w:spacing w:after="0"/>
              <w:rPr>
                <w:sz w:val="20"/>
                <w:szCs w:val="20"/>
                <w:color w:val="auto"/>
              </w:rPr>
            </w:pPr>
            <w:r>
              <w:rPr>
                <w:rFonts w:ascii="Arial" w:cs="Arial" w:eastAsia="Arial" w:hAnsi="Arial"/>
                <w:sz w:val="20"/>
                <w:szCs w:val="20"/>
                <w:b w:val="1"/>
                <w:bCs w:val="1"/>
                <w:color w:val="auto"/>
                <w:w w:val="98"/>
              </w:rPr>
              <w:t>Employment Inducement Plan</w:t>
            </w:r>
          </w:p>
        </w:tc>
        <w:tc>
          <w:tcPr>
            <w:tcW w:w="2780" w:type="dxa"/>
            <w:vAlign w:val="bottom"/>
          </w:tcPr>
          <w:p>
            <w:pPr>
              <w:spacing w:after="0"/>
              <w:rPr>
                <w:sz w:val="20"/>
                <w:szCs w:val="20"/>
                <w:color w:val="auto"/>
              </w:rPr>
            </w:pPr>
          </w:p>
        </w:tc>
      </w:tr>
      <w:tr>
        <w:trPr>
          <w:trHeight w:val="190"/>
        </w:trPr>
        <w:tc>
          <w:tcPr>
            <w:tcW w:w="6620" w:type="dxa"/>
            <w:vAlign w:val="bottom"/>
          </w:tcPr>
          <w:p>
            <w:pPr>
              <w:jc w:val="center"/>
              <w:ind w:left="3723"/>
              <w:spacing w:after="0"/>
              <w:rPr>
                <w:sz w:val="20"/>
                <w:szCs w:val="20"/>
                <w:color w:val="auto"/>
              </w:rPr>
            </w:pPr>
            <w:r>
              <w:rPr>
                <w:rFonts w:ascii="Arial" w:cs="Arial" w:eastAsia="Arial" w:hAnsi="Arial"/>
                <w:sz w:val="14"/>
                <w:szCs w:val="14"/>
                <w:color w:val="auto"/>
              </w:rPr>
              <w:t>(Full title of the plan)</w:t>
            </w:r>
          </w:p>
        </w:tc>
        <w:tc>
          <w:tcPr>
            <w:tcW w:w="2780" w:type="dxa"/>
            <w:vAlign w:val="bottom"/>
          </w:tcPr>
          <w:p>
            <w:pPr>
              <w:spacing w:after="0"/>
              <w:rPr>
                <w:sz w:val="16"/>
                <w:szCs w:val="16"/>
                <w:color w:val="auto"/>
              </w:rPr>
            </w:pPr>
          </w:p>
        </w:tc>
      </w:tr>
      <w:tr>
        <w:trPr>
          <w:trHeight w:val="336"/>
        </w:trPr>
        <w:tc>
          <w:tcPr>
            <w:tcW w:w="6620" w:type="dxa"/>
            <w:vAlign w:val="bottom"/>
          </w:tcPr>
          <w:p>
            <w:pPr>
              <w:jc w:val="center"/>
              <w:ind w:left="3723"/>
              <w:spacing w:after="0"/>
              <w:rPr>
                <w:sz w:val="20"/>
                <w:szCs w:val="20"/>
                <w:color w:val="auto"/>
              </w:rPr>
            </w:pPr>
            <w:r>
              <w:rPr>
                <w:rFonts w:ascii="Arial" w:cs="Arial" w:eastAsia="Arial" w:hAnsi="Arial"/>
                <w:sz w:val="14"/>
                <w:szCs w:val="14"/>
                <w:b w:val="1"/>
                <w:bCs w:val="1"/>
                <w:color w:val="auto"/>
              </w:rPr>
              <w:t>Emil D. Kakkis, M.D., Ph.D.</w:t>
            </w:r>
          </w:p>
        </w:tc>
        <w:tc>
          <w:tcPr>
            <w:tcW w:w="2780" w:type="dxa"/>
            <w:vAlign w:val="bottom"/>
          </w:tcPr>
          <w:p>
            <w:pPr>
              <w:spacing w:after="0"/>
              <w:rPr>
                <w:sz w:val="24"/>
                <w:szCs w:val="24"/>
                <w:color w:val="auto"/>
              </w:rPr>
            </w:pPr>
          </w:p>
        </w:tc>
      </w:tr>
      <w:tr>
        <w:trPr>
          <w:trHeight w:val="162"/>
        </w:trPr>
        <w:tc>
          <w:tcPr>
            <w:tcW w:w="6620" w:type="dxa"/>
            <w:vAlign w:val="bottom"/>
          </w:tcPr>
          <w:p>
            <w:pPr>
              <w:jc w:val="center"/>
              <w:ind w:left="3703"/>
              <w:spacing w:after="0"/>
              <w:rPr>
                <w:sz w:val="20"/>
                <w:szCs w:val="20"/>
                <w:color w:val="auto"/>
              </w:rPr>
            </w:pPr>
            <w:r>
              <w:rPr>
                <w:rFonts w:ascii="Arial" w:cs="Arial" w:eastAsia="Arial" w:hAnsi="Arial"/>
                <w:sz w:val="14"/>
                <w:szCs w:val="14"/>
                <w:b w:val="1"/>
                <w:bCs w:val="1"/>
                <w:color w:val="auto"/>
              </w:rPr>
              <w:t>President and Chief Executive Officer</w:t>
            </w:r>
          </w:p>
        </w:tc>
        <w:tc>
          <w:tcPr>
            <w:tcW w:w="2780" w:type="dxa"/>
            <w:vAlign w:val="bottom"/>
          </w:tcPr>
          <w:p>
            <w:pPr>
              <w:spacing w:after="0"/>
              <w:rPr>
                <w:sz w:val="14"/>
                <w:szCs w:val="14"/>
                <w:color w:val="auto"/>
              </w:rPr>
            </w:pPr>
          </w:p>
        </w:tc>
      </w:tr>
      <w:tr>
        <w:trPr>
          <w:trHeight w:val="162"/>
        </w:trPr>
        <w:tc>
          <w:tcPr>
            <w:tcW w:w="6620" w:type="dxa"/>
            <w:vAlign w:val="bottom"/>
          </w:tcPr>
          <w:p>
            <w:pPr>
              <w:jc w:val="center"/>
              <w:ind w:left="3723"/>
              <w:spacing w:after="0"/>
              <w:rPr>
                <w:sz w:val="20"/>
                <w:szCs w:val="20"/>
                <w:color w:val="auto"/>
              </w:rPr>
            </w:pPr>
            <w:r>
              <w:rPr>
                <w:rFonts w:ascii="Arial" w:cs="Arial" w:eastAsia="Arial" w:hAnsi="Arial"/>
                <w:sz w:val="14"/>
                <w:szCs w:val="14"/>
                <w:b w:val="1"/>
                <w:bCs w:val="1"/>
                <w:color w:val="auto"/>
              </w:rPr>
              <w:t>Ultragenyx Pharmaceutical Inc.</w:t>
            </w:r>
          </w:p>
        </w:tc>
        <w:tc>
          <w:tcPr>
            <w:tcW w:w="2780" w:type="dxa"/>
            <w:vAlign w:val="bottom"/>
          </w:tcPr>
          <w:p>
            <w:pPr>
              <w:spacing w:after="0"/>
              <w:rPr>
                <w:sz w:val="14"/>
                <w:szCs w:val="14"/>
                <w:color w:val="auto"/>
              </w:rPr>
            </w:pPr>
          </w:p>
        </w:tc>
      </w:tr>
      <w:tr>
        <w:trPr>
          <w:trHeight w:val="162"/>
        </w:trPr>
        <w:tc>
          <w:tcPr>
            <w:tcW w:w="6620" w:type="dxa"/>
            <w:vAlign w:val="bottom"/>
          </w:tcPr>
          <w:p>
            <w:pPr>
              <w:jc w:val="center"/>
              <w:ind w:left="3723"/>
              <w:spacing w:after="0"/>
              <w:rPr>
                <w:sz w:val="20"/>
                <w:szCs w:val="20"/>
                <w:color w:val="auto"/>
              </w:rPr>
            </w:pPr>
            <w:r>
              <w:rPr>
                <w:rFonts w:ascii="Arial" w:cs="Arial" w:eastAsia="Arial" w:hAnsi="Arial"/>
                <w:sz w:val="14"/>
                <w:szCs w:val="14"/>
                <w:b w:val="1"/>
                <w:bCs w:val="1"/>
                <w:color w:val="auto"/>
              </w:rPr>
              <w:t>60 Leveroni Court</w:t>
            </w:r>
          </w:p>
        </w:tc>
        <w:tc>
          <w:tcPr>
            <w:tcW w:w="2780" w:type="dxa"/>
            <w:vAlign w:val="bottom"/>
          </w:tcPr>
          <w:p>
            <w:pPr>
              <w:spacing w:after="0"/>
              <w:rPr>
                <w:sz w:val="14"/>
                <w:szCs w:val="14"/>
                <w:color w:val="auto"/>
              </w:rPr>
            </w:pPr>
          </w:p>
        </w:tc>
      </w:tr>
      <w:tr>
        <w:trPr>
          <w:trHeight w:val="162"/>
        </w:trPr>
        <w:tc>
          <w:tcPr>
            <w:tcW w:w="6620" w:type="dxa"/>
            <w:vAlign w:val="bottom"/>
          </w:tcPr>
          <w:p>
            <w:pPr>
              <w:jc w:val="center"/>
              <w:ind w:left="3723"/>
              <w:spacing w:after="0"/>
              <w:rPr>
                <w:sz w:val="20"/>
                <w:szCs w:val="20"/>
                <w:color w:val="auto"/>
              </w:rPr>
            </w:pPr>
            <w:r>
              <w:rPr>
                <w:rFonts w:ascii="Arial" w:cs="Arial" w:eastAsia="Arial" w:hAnsi="Arial"/>
                <w:sz w:val="14"/>
                <w:szCs w:val="14"/>
                <w:b w:val="1"/>
                <w:bCs w:val="1"/>
                <w:color w:val="auto"/>
              </w:rPr>
              <w:t>Novato, CA 94949</w:t>
            </w:r>
          </w:p>
        </w:tc>
        <w:tc>
          <w:tcPr>
            <w:tcW w:w="2780" w:type="dxa"/>
            <w:vAlign w:val="bottom"/>
          </w:tcPr>
          <w:p>
            <w:pPr>
              <w:spacing w:after="0"/>
              <w:rPr>
                <w:sz w:val="14"/>
                <w:szCs w:val="14"/>
                <w:color w:val="auto"/>
              </w:rPr>
            </w:pPr>
          </w:p>
        </w:tc>
      </w:tr>
      <w:tr>
        <w:trPr>
          <w:trHeight w:val="196"/>
        </w:trPr>
        <w:tc>
          <w:tcPr>
            <w:tcW w:w="6620" w:type="dxa"/>
            <w:vAlign w:val="bottom"/>
          </w:tcPr>
          <w:p>
            <w:pPr>
              <w:jc w:val="right"/>
              <w:ind w:right="843"/>
              <w:spacing w:after="0"/>
              <w:rPr>
                <w:sz w:val="20"/>
                <w:szCs w:val="20"/>
                <w:color w:val="auto"/>
              </w:rPr>
            </w:pPr>
            <w:r>
              <w:rPr>
                <w:rFonts w:ascii="Arial" w:cs="Arial" w:eastAsia="Arial" w:hAnsi="Arial"/>
                <w:sz w:val="14"/>
                <w:szCs w:val="14"/>
                <w:b w:val="1"/>
                <w:bCs w:val="1"/>
                <w:color w:val="auto"/>
              </w:rPr>
              <w:t>(415) 483-8800</w:t>
            </w:r>
          </w:p>
        </w:tc>
        <w:tc>
          <w:tcPr>
            <w:tcW w:w="2780" w:type="dxa"/>
            <w:vAlign w:val="bottom"/>
          </w:tcPr>
          <w:p>
            <w:pPr>
              <w:spacing w:after="0"/>
              <w:rPr>
                <w:sz w:val="17"/>
                <w:szCs w:val="17"/>
                <w:color w:val="auto"/>
              </w:rPr>
            </w:pPr>
          </w:p>
        </w:tc>
      </w:tr>
      <w:tr>
        <w:trPr>
          <w:trHeight w:val="278"/>
        </w:trPr>
        <w:tc>
          <w:tcPr>
            <w:tcW w:w="9400" w:type="dxa"/>
            <w:vAlign w:val="bottom"/>
            <w:gridSpan w:val="2"/>
          </w:tcPr>
          <w:p>
            <w:pPr>
              <w:jc w:val="center"/>
              <w:ind w:left="923"/>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tc>
      </w:tr>
      <w:tr>
        <w:trPr>
          <w:trHeight w:val="309"/>
        </w:trPr>
        <w:tc>
          <w:tcPr>
            <w:tcW w:w="6620" w:type="dxa"/>
            <w:vAlign w:val="bottom"/>
          </w:tcPr>
          <w:p>
            <w:pPr>
              <w:jc w:val="center"/>
              <w:ind w:left="3703"/>
              <w:spacing w:after="0"/>
              <w:rPr>
                <w:sz w:val="20"/>
                <w:szCs w:val="20"/>
                <w:color w:val="auto"/>
              </w:rPr>
            </w:pPr>
            <w:r>
              <w:rPr>
                <w:rFonts w:ascii="Arial" w:cs="Arial" w:eastAsia="Arial" w:hAnsi="Arial"/>
                <w:sz w:val="18"/>
                <w:szCs w:val="18"/>
                <w:color w:val="auto"/>
                <w:w w:val="98"/>
              </w:rPr>
              <w:t>Copies to:</w:t>
            </w:r>
          </w:p>
        </w:tc>
        <w:tc>
          <w:tcPr>
            <w:tcW w:w="2780" w:type="dxa"/>
            <w:vAlign w:val="bottom"/>
          </w:tcPr>
          <w:p>
            <w:pPr>
              <w:spacing w:after="0"/>
              <w:rPr>
                <w:sz w:val="24"/>
                <w:szCs w:val="24"/>
                <w:color w:val="auto"/>
              </w:rPr>
            </w:pPr>
          </w:p>
        </w:tc>
      </w:tr>
      <w:tr>
        <w:trPr>
          <w:trHeight w:val="297"/>
        </w:trPr>
        <w:tc>
          <w:tcPr>
            <w:tcW w:w="6620" w:type="dxa"/>
            <w:vAlign w:val="bottom"/>
          </w:tcPr>
          <w:p>
            <w:pPr>
              <w:jc w:val="center"/>
              <w:ind w:right="1783"/>
              <w:spacing w:after="0"/>
              <w:rPr>
                <w:sz w:val="20"/>
                <w:szCs w:val="20"/>
                <w:color w:val="auto"/>
              </w:rPr>
            </w:pPr>
            <w:r>
              <w:rPr>
                <w:rFonts w:ascii="Arial" w:cs="Arial" w:eastAsia="Arial" w:hAnsi="Arial"/>
                <w:sz w:val="14"/>
                <w:szCs w:val="14"/>
                <w:color w:val="auto"/>
              </w:rPr>
              <w:t>Karah Parschauer</w:t>
            </w:r>
          </w:p>
        </w:tc>
        <w:tc>
          <w:tcPr>
            <w:tcW w:w="2780" w:type="dxa"/>
            <w:vAlign w:val="bottom"/>
          </w:tcPr>
          <w:p>
            <w:pPr>
              <w:jc w:val="center"/>
              <w:spacing w:after="0"/>
              <w:rPr>
                <w:sz w:val="20"/>
                <w:szCs w:val="20"/>
                <w:color w:val="auto"/>
              </w:rPr>
            </w:pPr>
            <w:r>
              <w:rPr>
                <w:rFonts w:ascii="Arial" w:cs="Arial" w:eastAsia="Arial" w:hAnsi="Arial"/>
                <w:sz w:val="14"/>
                <w:szCs w:val="14"/>
                <w:color w:val="auto"/>
              </w:rPr>
              <w:t>Ryan A. Murr, Esq.</w:t>
            </w:r>
          </w:p>
        </w:tc>
      </w:tr>
      <w:tr>
        <w:trPr>
          <w:trHeight w:val="162"/>
        </w:trPr>
        <w:tc>
          <w:tcPr>
            <w:tcW w:w="6620" w:type="dxa"/>
            <w:vAlign w:val="bottom"/>
          </w:tcPr>
          <w:p>
            <w:pPr>
              <w:jc w:val="center"/>
              <w:ind w:right="1763"/>
              <w:spacing w:after="0"/>
              <w:rPr>
                <w:sz w:val="20"/>
                <w:szCs w:val="20"/>
                <w:color w:val="auto"/>
              </w:rPr>
            </w:pPr>
            <w:r>
              <w:rPr>
                <w:rFonts w:ascii="Arial" w:cs="Arial" w:eastAsia="Arial" w:hAnsi="Arial"/>
                <w:sz w:val="14"/>
                <w:szCs w:val="14"/>
                <w:color w:val="auto"/>
              </w:rPr>
              <w:t>Executive Vice President and Chief Legal Officer</w:t>
            </w:r>
          </w:p>
        </w:tc>
        <w:tc>
          <w:tcPr>
            <w:tcW w:w="2780" w:type="dxa"/>
            <w:vAlign w:val="bottom"/>
          </w:tcPr>
          <w:p>
            <w:pPr>
              <w:jc w:val="center"/>
              <w:spacing w:after="0"/>
              <w:rPr>
                <w:sz w:val="20"/>
                <w:szCs w:val="20"/>
                <w:color w:val="auto"/>
              </w:rPr>
            </w:pPr>
            <w:r>
              <w:rPr>
                <w:rFonts w:ascii="Arial" w:cs="Arial" w:eastAsia="Arial" w:hAnsi="Arial"/>
                <w:sz w:val="14"/>
                <w:szCs w:val="14"/>
                <w:color w:val="auto"/>
              </w:rPr>
              <w:t>Gibson, Dunn &amp; Crutcher LLP</w:t>
            </w:r>
          </w:p>
        </w:tc>
      </w:tr>
      <w:tr>
        <w:trPr>
          <w:trHeight w:val="162"/>
        </w:trPr>
        <w:tc>
          <w:tcPr>
            <w:tcW w:w="6620" w:type="dxa"/>
            <w:vAlign w:val="bottom"/>
          </w:tcPr>
          <w:p>
            <w:pPr>
              <w:jc w:val="center"/>
              <w:ind w:right="1763"/>
              <w:spacing w:after="0"/>
              <w:rPr>
                <w:sz w:val="20"/>
                <w:szCs w:val="20"/>
                <w:color w:val="auto"/>
              </w:rPr>
            </w:pPr>
            <w:r>
              <w:rPr>
                <w:rFonts w:ascii="Arial" w:cs="Arial" w:eastAsia="Arial" w:hAnsi="Arial"/>
                <w:sz w:val="14"/>
                <w:szCs w:val="14"/>
                <w:color w:val="auto"/>
              </w:rPr>
              <w:t>Ultragenyx Pharmaceutical Inc.</w:t>
            </w:r>
          </w:p>
        </w:tc>
        <w:tc>
          <w:tcPr>
            <w:tcW w:w="2780" w:type="dxa"/>
            <w:vAlign w:val="bottom"/>
          </w:tcPr>
          <w:p>
            <w:pPr>
              <w:jc w:val="center"/>
              <w:spacing w:after="0"/>
              <w:rPr>
                <w:sz w:val="20"/>
                <w:szCs w:val="20"/>
                <w:color w:val="auto"/>
              </w:rPr>
            </w:pPr>
            <w:r>
              <w:rPr>
                <w:rFonts w:ascii="Arial" w:cs="Arial" w:eastAsia="Arial" w:hAnsi="Arial"/>
                <w:sz w:val="14"/>
                <w:szCs w:val="14"/>
                <w:color w:val="auto"/>
              </w:rPr>
              <w:t>One Embarcadero Center, Suite 2600</w:t>
            </w:r>
          </w:p>
        </w:tc>
      </w:tr>
      <w:tr>
        <w:trPr>
          <w:trHeight w:val="162"/>
        </w:trPr>
        <w:tc>
          <w:tcPr>
            <w:tcW w:w="6620" w:type="dxa"/>
            <w:vAlign w:val="bottom"/>
          </w:tcPr>
          <w:p>
            <w:pPr>
              <w:jc w:val="center"/>
              <w:ind w:right="1763"/>
              <w:spacing w:after="0"/>
              <w:rPr>
                <w:sz w:val="20"/>
                <w:szCs w:val="20"/>
                <w:color w:val="auto"/>
              </w:rPr>
            </w:pPr>
            <w:r>
              <w:rPr>
                <w:rFonts w:ascii="Arial" w:cs="Arial" w:eastAsia="Arial" w:hAnsi="Arial"/>
                <w:sz w:val="14"/>
                <w:szCs w:val="14"/>
                <w:color w:val="auto"/>
              </w:rPr>
              <w:t>60 Leveroni Court</w:t>
            </w:r>
          </w:p>
        </w:tc>
        <w:tc>
          <w:tcPr>
            <w:tcW w:w="2780" w:type="dxa"/>
            <w:vAlign w:val="bottom"/>
          </w:tcPr>
          <w:p>
            <w:pPr>
              <w:jc w:val="center"/>
              <w:spacing w:after="0"/>
              <w:rPr>
                <w:sz w:val="20"/>
                <w:szCs w:val="20"/>
                <w:color w:val="auto"/>
              </w:rPr>
            </w:pPr>
            <w:r>
              <w:rPr>
                <w:rFonts w:ascii="Arial" w:cs="Arial" w:eastAsia="Arial" w:hAnsi="Arial"/>
                <w:sz w:val="14"/>
                <w:szCs w:val="14"/>
                <w:color w:val="auto"/>
              </w:rPr>
              <w:t>San Francisco, CA 94111-3715</w:t>
            </w:r>
          </w:p>
        </w:tc>
      </w:tr>
      <w:tr>
        <w:trPr>
          <w:trHeight w:val="162"/>
        </w:trPr>
        <w:tc>
          <w:tcPr>
            <w:tcW w:w="6620" w:type="dxa"/>
            <w:vAlign w:val="bottom"/>
          </w:tcPr>
          <w:p>
            <w:pPr>
              <w:jc w:val="center"/>
              <w:ind w:right="1763"/>
              <w:spacing w:after="0"/>
              <w:rPr>
                <w:sz w:val="20"/>
                <w:szCs w:val="20"/>
                <w:color w:val="auto"/>
              </w:rPr>
            </w:pPr>
            <w:r>
              <w:rPr>
                <w:rFonts w:ascii="Arial" w:cs="Arial" w:eastAsia="Arial" w:hAnsi="Arial"/>
                <w:sz w:val="14"/>
                <w:szCs w:val="14"/>
                <w:color w:val="auto"/>
              </w:rPr>
              <w:t>Novato, CA 94949</w:t>
            </w:r>
          </w:p>
        </w:tc>
        <w:tc>
          <w:tcPr>
            <w:tcW w:w="2780" w:type="dxa"/>
            <w:vAlign w:val="bottom"/>
          </w:tcPr>
          <w:p>
            <w:pPr>
              <w:jc w:val="center"/>
              <w:spacing w:after="0"/>
              <w:rPr>
                <w:sz w:val="20"/>
                <w:szCs w:val="20"/>
                <w:color w:val="auto"/>
              </w:rPr>
            </w:pPr>
            <w:r>
              <w:rPr>
                <w:rFonts w:ascii="Arial" w:cs="Arial" w:eastAsia="Arial" w:hAnsi="Arial"/>
                <w:sz w:val="14"/>
                <w:szCs w:val="14"/>
                <w:color w:val="auto"/>
              </w:rPr>
              <w:t>Telephone: (415) 393-8200</w:t>
            </w:r>
          </w:p>
        </w:tc>
      </w:tr>
      <w:tr>
        <w:trPr>
          <w:trHeight w:val="162"/>
        </w:trPr>
        <w:tc>
          <w:tcPr>
            <w:tcW w:w="6620" w:type="dxa"/>
            <w:vAlign w:val="bottom"/>
          </w:tcPr>
          <w:p>
            <w:pPr>
              <w:jc w:val="center"/>
              <w:ind w:right="1763"/>
              <w:spacing w:after="0"/>
              <w:rPr>
                <w:sz w:val="20"/>
                <w:szCs w:val="20"/>
                <w:color w:val="auto"/>
              </w:rPr>
            </w:pPr>
            <w:r>
              <w:rPr>
                <w:rFonts w:ascii="Arial" w:cs="Arial" w:eastAsia="Arial" w:hAnsi="Arial"/>
                <w:sz w:val="14"/>
                <w:szCs w:val="14"/>
                <w:color w:val="auto"/>
              </w:rPr>
              <w:t>Telephone: (415) 483-8800</w:t>
            </w:r>
          </w:p>
        </w:tc>
        <w:tc>
          <w:tcPr>
            <w:tcW w:w="2780" w:type="dxa"/>
            <w:vAlign w:val="bottom"/>
          </w:tcPr>
          <w:p>
            <w:pPr>
              <w:jc w:val="center"/>
              <w:spacing w:after="0"/>
              <w:rPr>
                <w:sz w:val="20"/>
                <w:szCs w:val="20"/>
                <w:color w:val="auto"/>
              </w:rPr>
            </w:pPr>
            <w:r>
              <w:rPr>
                <w:rFonts w:ascii="Arial" w:cs="Arial" w:eastAsia="Arial" w:hAnsi="Arial"/>
                <w:sz w:val="14"/>
                <w:szCs w:val="14"/>
                <w:color w:val="auto"/>
              </w:rPr>
              <w:t>Facsimile: (415) 393-8306</w:t>
            </w:r>
          </w:p>
        </w:tc>
      </w:tr>
      <w:tr>
        <w:trPr>
          <w:trHeight w:val="190"/>
        </w:trPr>
        <w:tc>
          <w:tcPr>
            <w:tcW w:w="6620" w:type="dxa"/>
            <w:vAlign w:val="bottom"/>
          </w:tcPr>
          <w:p>
            <w:pPr>
              <w:jc w:val="center"/>
              <w:ind w:right="1763"/>
              <w:spacing w:after="0"/>
              <w:rPr>
                <w:sz w:val="20"/>
                <w:szCs w:val="20"/>
                <w:color w:val="auto"/>
              </w:rPr>
            </w:pPr>
            <w:r>
              <w:rPr>
                <w:rFonts w:ascii="Arial" w:cs="Arial" w:eastAsia="Arial" w:hAnsi="Arial"/>
                <w:sz w:val="14"/>
                <w:szCs w:val="14"/>
                <w:color w:val="auto"/>
              </w:rPr>
              <w:t>Facsimile: (415) 483-8810</w:t>
            </w:r>
          </w:p>
        </w:tc>
        <w:tc>
          <w:tcPr>
            <w:tcW w:w="2780" w:type="dxa"/>
            <w:vAlign w:val="bottom"/>
          </w:tcPr>
          <w:p>
            <w:pPr>
              <w:spacing w:after="0"/>
              <w:rPr>
                <w:sz w:val="16"/>
                <w:szCs w:val="16"/>
                <w:color w:val="auto"/>
              </w:rPr>
            </w:pPr>
          </w:p>
        </w:tc>
      </w:tr>
      <w:tr>
        <w:trPr>
          <w:trHeight w:val="266"/>
        </w:trPr>
        <w:tc>
          <w:tcPr>
            <w:tcW w:w="6620" w:type="dxa"/>
            <w:vAlign w:val="bottom"/>
          </w:tcPr>
          <w:p>
            <w:pPr>
              <w:jc w:val="right"/>
              <w:ind w:right="163"/>
              <w:spacing w:after="0"/>
              <w:rPr>
                <w:sz w:val="20"/>
                <w:szCs w:val="20"/>
                <w:color w:val="auto"/>
              </w:rPr>
            </w:pPr>
            <w:r>
              <w:rPr>
                <w:rFonts w:ascii="Arial" w:cs="Arial" w:eastAsia="Arial" w:hAnsi="Arial"/>
                <w:sz w:val="11"/>
                <w:szCs w:val="11"/>
                <w:color w:val="auto"/>
              </w:rPr>
              <w:t>_______________________________________</w:t>
            </w:r>
          </w:p>
        </w:tc>
        <w:tc>
          <w:tcPr>
            <w:tcW w:w="2780" w:type="dxa"/>
            <w:vAlign w:val="bottom"/>
          </w:tcPr>
          <w:p>
            <w:pPr>
              <w:spacing w:after="0"/>
              <w:rPr>
                <w:sz w:val="23"/>
                <w:szCs w:val="23"/>
                <w:color w:val="auto"/>
              </w:rPr>
            </w:pPr>
          </w:p>
        </w:tc>
      </w:tr>
    </w:tbl>
    <w:p>
      <w:pPr>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22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04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ind w:left="1320"/>
              <w:spacing w:after="0"/>
              <w:rPr>
                <w:sz w:val="20"/>
                <w:szCs w:val="20"/>
                <w:color w:val="auto"/>
              </w:rPr>
            </w:pPr>
            <w:r>
              <w:rPr>
                <w:rFonts w:ascii="Arial" w:cs="Arial" w:eastAsia="Arial" w:hAnsi="Arial"/>
                <w:sz w:val="17"/>
                <w:szCs w:val="17"/>
                <w:color w:val="auto"/>
              </w:rPr>
              <w:t>Accelerated filer</w:t>
            </w:r>
          </w:p>
        </w:tc>
        <w:tc>
          <w:tcPr>
            <w:tcW w:w="54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1"/>
        </w:trPr>
        <w:tc>
          <w:tcPr>
            <w:tcW w:w="2260" w:type="dxa"/>
            <w:vAlign w:val="bottom"/>
          </w:tcPr>
          <w:p>
            <w:pPr>
              <w:spacing w:after="0"/>
              <w:rPr>
                <w:sz w:val="20"/>
                <w:szCs w:val="20"/>
                <w:color w:val="auto"/>
              </w:rPr>
            </w:pPr>
            <w:r>
              <w:rPr>
                <w:rFonts w:ascii="Arial" w:cs="Arial" w:eastAsia="Arial" w:hAnsi="Arial"/>
                <w:sz w:val="17"/>
                <w:szCs w:val="17"/>
                <w:color w:val="auto"/>
              </w:rPr>
              <w:t>Non-accelerated filer</w:t>
            </w:r>
          </w:p>
        </w:tc>
        <w:tc>
          <w:tcPr>
            <w:tcW w:w="204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3740" w:type="dxa"/>
            <w:vAlign w:val="bottom"/>
          </w:tcPr>
          <w:p>
            <w:pPr>
              <w:ind w:left="1320"/>
              <w:spacing w:after="0"/>
              <w:rPr>
                <w:sz w:val="20"/>
                <w:szCs w:val="20"/>
                <w:color w:val="auto"/>
              </w:rPr>
            </w:pPr>
            <w:r>
              <w:rPr>
                <w:rFonts w:ascii="Arial" w:cs="Arial" w:eastAsia="Arial" w:hAnsi="Arial"/>
                <w:sz w:val="17"/>
                <w:szCs w:val="17"/>
                <w:color w:val="auto"/>
              </w:rPr>
              <w:t>Smaller reporting company</w:t>
            </w:r>
          </w:p>
        </w:tc>
        <w:tc>
          <w:tcPr>
            <w:tcW w:w="54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56"/>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40" w:type="dxa"/>
            <w:vAlign w:val="bottom"/>
          </w:tcPr>
          <w:p>
            <w:pPr>
              <w:ind w:left="1320"/>
              <w:spacing w:after="0"/>
              <w:rPr>
                <w:sz w:val="20"/>
                <w:szCs w:val="20"/>
                <w:color w:val="auto"/>
              </w:rPr>
            </w:pPr>
            <w:r>
              <w:rPr>
                <w:rFonts w:ascii="Arial" w:cs="Arial" w:eastAsia="Arial" w:hAnsi="Arial"/>
                <w:sz w:val="17"/>
                <w:szCs w:val="17"/>
                <w:color w:val="auto"/>
              </w:rPr>
              <w:t>Emerging growth company</w:t>
            </w:r>
          </w:p>
        </w:tc>
        <w:tc>
          <w:tcPr>
            <w:tcW w:w="54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70"/>
              </w:rPr>
              <w:t>☐</w:t>
            </w:r>
          </w:p>
        </w:tc>
      </w:tr>
    </w:tbl>
    <w:p>
      <w:pPr>
        <w:ind w:right="10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1054735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1" w:right="359" w:bottom="1440" w:gutter="0" w:footer="0" w:header="0"/>
        </w:sectPr>
      </w:pPr>
    </w:p>
    <w:bookmarkStart w:id="1" w:name="page2"/>
    <w:bookmarkEnd w:id="1"/>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189" w:lineRule="exact"/>
        <w:rPr>
          <w:sz w:val="20"/>
          <w:szCs w:val="20"/>
          <w:color w:val="auto"/>
        </w:rPr>
      </w:pPr>
    </w:p>
    <w:p>
      <w:pPr>
        <w:ind w:right="240" w:firstLine="749"/>
        <w:spacing w:after="0" w:line="244" w:lineRule="auto"/>
        <w:rPr>
          <w:sz w:val="20"/>
          <w:szCs w:val="20"/>
          <w:color w:val="auto"/>
        </w:rPr>
      </w:pPr>
      <w:r>
        <w:rPr>
          <w:rFonts w:ascii="Arial" w:cs="Arial" w:eastAsia="Arial" w:hAnsi="Arial"/>
          <w:sz w:val="18"/>
          <w:szCs w:val="18"/>
          <w:color w:val="auto"/>
        </w:rPr>
        <w:t>This Registration Statement on Form S-8 (this “Registration Statement”) registers additional shares of common stock, par value $0.001 per share (“Common Stock”), of Ultragenyx Pharmaceutical Inc. (the “Registrant”) to be issued pursuant to the Ultragenyx Pharmaceutical Inc. 2023 Incentive Plan (as amended and restated, the “2023 Plan”) and the Ultragenyx Pharmaceutical Inc. Employment Inducement Plan (as amended, the “Inducement Plan”), pursuant to the Fourth Amendment to the Inducement Plan, for the grant of inducement awards for employment with the Registrant pursuant to Nasdaq Listing Rule 5635(c)(4).</w:t>
      </w:r>
    </w:p>
    <w:p>
      <w:pPr>
        <w:spacing w:after="0" w:line="136" w:lineRule="exact"/>
        <w:rPr>
          <w:sz w:val="20"/>
          <w:szCs w:val="20"/>
          <w:color w:val="auto"/>
        </w:rPr>
      </w:pPr>
    </w:p>
    <w:p>
      <w:pPr>
        <w:ind w:right="20" w:firstLine="749"/>
        <w:spacing w:after="0" w:line="247" w:lineRule="auto"/>
        <w:rPr>
          <w:rFonts w:ascii="Arial" w:cs="Arial" w:eastAsia="Arial" w:hAnsi="Arial"/>
          <w:sz w:val="18"/>
          <w:szCs w:val="18"/>
          <w:color w:val="0000FF"/>
        </w:rPr>
      </w:pPr>
      <w:r>
        <w:rPr>
          <w:rFonts w:ascii="Arial" w:cs="Arial" w:eastAsia="Arial" w:hAnsi="Arial"/>
          <w:sz w:val="18"/>
          <w:szCs w:val="18"/>
          <w:color w:val="auto"/>
        </w:rPr>
        <w:t xml:space="preserve">The information contained in the Registrant’s registration statements on Form S-8 filed with the Securities and Exchange Commission (the “SEC”) on February 12, 2021, June 8, 2023, July 12, 2024 and July 18, 2025 (SEC File Nos. </w:t>
      </w:r>
      <w:hyperlink r:id="rId13">
        <w:r>
          <w:rPr>
            <w:rFonts w:ascii="Arial" w:cs="Arial" w:eastAsia="Arial" w:hAnsi="Arial"/>
            <w:sz w:val="18"/>
            <w:szCs w:val="18"/>
            <w:u w:val="single" w:color="auto"/>
            <w:color w:val="0000FF"/>
          </w:rPr>
          <w:t>333-253007</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FF"/>
          </w:rPr>
          <w:t>333-272518</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FF"/>
          </w:rPr>
          <w:t>333-280776</w:t>
        </w:r>
        <w:r>
          <w:rPr>
            <w:rFonts w:ascii="Arial" w:cs="Arial" w:eastAsia="Arial" w:hAnsi="Arial"/>
            <w:sz w:val="18"/>
            <w:szCs w:val="18"/>
            <w:color w:val="0000FF"/>
          </w:rPr>
          <w:t xml:space="preserve"> </w:t>
        </w:r>
      </w:hyperlink>
      <w:r>
        <w:rPr>
          <w:rFonts w:ascii="Arial" w:cs="Arial" w:eastAsia="Arial" w:hAnsi="Arial"/>
          <w:sz w:val="18"/>
          <w:szCs w:val="18"/>
          <w:color w:val="000000"/>
        </w:rPr>
        <w:t>and</w:t>
      </w:r>
      <w:r>
        <w:rPr>
          <w:rFonts w:ascii="Arial" w:cs="Arial" w:eastAsia="Arial" w:hAnsi="Arial"/>
          <w:sz w:val="18"/>
          <w:szCs w:val="18"/>
          <w:color w:val="0000FF"/>
        </w:rPr>
        <w:t xml:space="preserve"> </w:t>
      </w:r>
      <w:hyperlink r:id="rId16">
        <w:r>
          <w:rPr>
            <w:rFonts w:ascii="Arial" w:cs="Arial" w:eastAsia="Arial" w:hAnsi="Arial"/>
            <w:sz w:val="18"/>
            <w:szCs w:val="18"/>
            <w:u w:val="single" w:color="auto"/>
            <w:color w:val="0000FF"/>
          </w:rPr>
          <w:t>333-288764</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together with all exhibits filed therewith or incorporated therein by reference, are hereby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pursuant to General Instruction E to Form S-8, and the shares of Common Stock registered hereunder are in addition to the shares of Common Stock registered on such registration statements.</w:t>
      </w:r>
    </w:p>
    <w:p>
      <w:pPr>
        <w:spacing w:after="0" w:line="17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0" w:lineRule="exact"/>
        <w:rPr>
          <w:rFonts w:ascii="Arial" w:cs="Arial" w:eastAsia="Arial" w:hAnsi="Arial"/>
          <w:sz w:val="18"/>
          <w:szCs w:val="18"/>
          <w:color w:val="auto"/>
        </w:rPr>
      </w:pPr>
    </w:p>
    <w:p>
      <w:pPr>
        <w:spacing w:after="0" w:line="39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23"/>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Item 8.</w:t>
            </w:r>
          </w:p>
        </w:tc>
        <w:tc>
          <w:tcPr>
            <w:tcW w:w="5280" w:type="dxa"/>
            <w:vAlign w:val="bottom"/>
            <w:gridSpan w:val="19"/>
          </w:tcPr>
          <w:p>
            <w:pPr>
              <w:ind w:left="160"/>
              <w:spacing w:after="0"/>
              <w:rPr>
                <w:sz w:val="20"/>
                <w:szCs w:val="20"/>
                <w:color w:val="auto"/>
              </w:rPr>
            </w:pPr>
            <w:r>
              <w:rPr>
                <w:rFonts w:ascii="Arial" w:cs="Arial" w:eastAsia="Arial" w:hAnsi="Arial"/>
                <w:sz w:val="16"/>
                <w:szCs w:val="16"/>
                <w:b w:val="1"/>
                <w:bCs w:val="1"/>
                <w:color w:val="auto"/>
              </w:rPr>
              <w:t>Exhibits.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Borders>
              <w:bottom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rPr>
              <w:t>Incorporated by Reference</w:t>
            </w: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14"/>
          </w:tcPr>
          <w:p>
            <w:pPr>
              <w:ind w:left="380"/>
              <w:spacing w:after="0"/>
              <w:rPr>
                <w:sz w:val="20"/>
                <w:szCs w:val="20"/>
                <w:color w:val="auto"/>
              </w:rPr>
            </w:pPr>
            <w:r>
              <w:rPr>
                <w:rFonts w:ascii="Arial" w:cs="Arial" w:eastAsia="Arial" w:hAnsi="Arial"/>
                <w:sz w:val="16"/>
                <w:szCs w:val="16"/>
                <w:b w:val="1"/>
                <w:bCs w:val="1"/>
                <w:color w:val="auto"/>
              </w:rPr>
              <w:t>Exhibit Description</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w:t>
            </w:r>
          </w:p>
        </w:tc>
        <w:tc>
          <w:tcPr>
            <w:tcW w:w="200" w:type="dxa"/>
            <w:vAlign w:val="bottom"/>
          </w:tcPr>
          <w:p>
            <w:pPr>
              <w:spacing w:after="0"/>
              <w:rPr>
                <w:sz w:val="17"/>
                <w:szCs w:val="17"/>
                <w:color w:val="auto"/>
              </w:rPr>
            </w:pPr>
          </w:p>
        </w:tc>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Date</w:t>
            </w:r>
          </w:p>
        </w:tc>
        <w:tc>
          <w:tcPr>
            <w:tcW w:w="1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20" w:type="dxa"/>
            <w:vAlign w:val="bottom"/>
            <w:gridSpan w:val="2"/>
            <w:vMerge w:val="restart"/>
          </w:tcPr>
          <w:p>
            <w:pPr>
              <w:ind w:left="100"/>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3"/>
                <w:szCs w:val="13"/>
                <w:color w:val="auto"/>
              </w:rPr>
            </w:pPr>
          </w:p>
        </w:tc>
        <w:tc>
          <w:tcPr>
            <w:tcW w:w="4680" w:type="dxa"/>
            <w:vAlign w:val="bottom"/>
            <w:tcBorders>
              <w:bottom w:val="single" w:sz="8" w:color="0000FF"/>
            </w:tcBorders>
            <w:gridSpan w:val="14"/>
          </w:tcPr>
          <w:p>
            <w:pPr>
              <w:spacing w:after="0" w:line="155" w:lineRule="exact"/>
              <w:rPr>
                <w:rFonts w:ascii="Arial" w:cs="Arial" w:eastAsia="Arial" w:hAnsi="Arial"/>
                <w:sz w:val="16"/>
                <w:szCs w:val="16"/>
                <w:color w:val="0000FF"/>
              </w:rPr>
            </w:pPr>
            <w:hyperlink r:id="rId17">
              <w:r>
                <w:rPr>
                  <w:rFonts w:ascii="Arial" w:cs="Arial" w:eastAsia="Arial" w:hAnsi="Arial"/>
                  <w:sz w:val="16"/>
                  <w:szCs w:val="16"/>
                  <w:color w:val="0000FF"/>
                </w:rPr>
                <w:t>Amended and Restated Certificate of Incorporation of Ultragenyx</w:t>
              </w:r>
            </w:hyperlink>
          </w:p>
        </w:tc>
        <w:tc>
          <w:tcPr>
            <w:tcW w:w="400" w:type="dxa"/>
            <w:vAlign w:val="bottom"/>
            <w:gridSpan w:val="4"/>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380" w:type="dxa"/>
            <w:vAlign w:val="bottom"/>
            <w:gridSpan w:val="2"/>
            <w:vMerge w:val="restart"/>
          </w:tcPr>
          <w:p>
            <w:pPr>
              <w:jc w:val="center"/>
              <w:ind w:left="99"/>
              <w:spacing w:after="0"/>
              <w:rPr>
                <w:sz w:val="20"/>
                <w:szCs w:val="20"/>
                <w:color w:val="auto"/>
              </w:rPr>
            </w:pPr>
            <w:r>
              <w:rPr>
                <w:rFonts w:ascii="Arial" w:cs="Arial" w:eastAsia="Arial" w:hAnsi="Arial"/>
                <w:sz w:val="16"/>
                <w:szCs w:val="16"/>
                <w:color w:val="auto"/>
              </w:rPr>
              <w:t>2/5/2014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4"/>
            <w:vMerge w:val="restart"/>
          </w:tcPr>
          <w:p>
            <w:pPr>
              <w:spacing w:after="0" w:line="169" w:lineRule="exact"/>
              <w:rPr>
                <w:rFonts w:ascii="Arial" w:cs="Arial" w:eastAsia="Arial" w:hAnsi="Arial"/>
                <w:sz w:val="16"/>
                <w:szCs w:val="16"/>
                <w:color w:val="0000FF"/>
                <w:w w:val="99"/>
              </w:rPr>
            </w:pPr>
            <w:hyperlink r:id="rId17">
              <w:r>
                <w:rPr>
                  <w:rFonts w:ascii="Arial" w:cs="Arial" w:eastAsia="Arial" w:hAnsi="Arial"/>
                  <w:sz w:val="16"/>
                  <w:szCs w:val="16"/>
                  <w:color w:val="0000FF"/>
                  <w:w w:val="99"/>
                </w:rPr>
                <w:t>Pharmaceutical Inc.</w:t>
              </w:r>
            </w:hyperlink>
          </w:p>
        </w:tc>
        <w:tc>
          <w:tcPr>
            <w:tcW w:w="3660" w:type="dxa"/>
            <w:vAlign w:val="bottom"/>
            <w:gridSpan w:val="14"/>
            <w:vMerge w:val="restart"/>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0000FF"/>
            </w:tcBorders>
            <w:gridSpan w:val="4"/>
            <w:vMerge w:val="continue"/>
          </w:tcPr>
          <w:p>
            <w:pPr>
              <w:spacing w:after="0"/>
              <w:rPr>
                <w:sz w:val="4"/>
                <w:szCs w:val="4"/>
                <w:color w:val="auto"/>
              </w:rPr>
            </w:pPr>
          </w:p>
        </w:tc>
        <w:tc>
          <w:tcPr>
            <w:tcW w:w="3660" w:type="dxa"/>
            <w:vAlign w:val="bottom"/>
            <w:gridSpan w:val="14"/>
            <w:vMerge w:val="continue"/>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ind w:left="100"/>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4"/>
                <w:szCs w:val="14"/>
                <w:color w:val="auto"/>
              </w:rPr>
            </w:pPr>
          </w:p>
        </w:tc>
        <w:tc>
          <w:tcPr>
            <w:tcW w:w="506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18">
              <w:r>
                <w:rPr>
                  <w:rFonts w:ascii="Arial" w:cs="Arial" w:eastAsia="Arial" w:hAnsi="Arial"/>
                  <w:sz w:val="16"/>
                  <w:szCs w:val="16"/>
                  <w:color w:val="0000FF"/>
                </w:rPr>
                <w:t>Second Amended and Restated Bylaws of Ultragenyx Pharmaceutical</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380" w:type="dxa"/>
            <w:vAlign w:val="bottom"/>
            <w:gridSpan w:val="2"/>
            <w:vMerge w:val="restart"/>
          </w:tcPr>
          <w:p>
            <w:pPr>
              <w:jc w:val="center"/>
              <w:ind w:left="99"/>
              <w:spacing w:after="0"/>
              <w:rPr>
                <w:sz w:val="20"/>
                <w:szCs w:val="20"/>
                <w:color w:val="auto"/>
              </w:rPr>
            </w:pPr>
            <w:r>
              <w:rPr>
                <w:rFonts w:ascii="Arial" w:cs="Arial" w:eastAsia="Arial" w:hAnsi="Arial"/>
                <w:sz w:val="16"/>
                <w:szCs w:val="16"/>
                <w:color w:val="auto"/>
                <w:w w:val="99"/>
              </w:rPr>
              <w:t>12/21/2023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vMerge w:val="restart"/>
          </w:tcPr>
          <w:p>
            <w:pPr>
              <w:spacing w:after="0" w:line="169" w:lineRule="exact"/>
              <w:rPr>
                <w:rFonts w:ascii="Arial" w:cs="Arial" w:eastAsia="Arial" w:hAnsi="Arial"/>
                <w:sz w:val="16"/>
                <w:szCs w:val="16"/>
                <w:color w:val="0000FF"/>
                <w:w w:val="92"/>
              </w:rPr>
            </w:pPr>
            <w:hyperlink r:id="rId18">
              <w:r>
                <w:rPr>
                  <w:rFonts w:ascii="Arial" w:cs="Arial" w:eastAsia="Arial" w:hAnsi="Arial"/>
                  <w:sz w:val="16"/>
                  <w:szCs w:val="16"/>
                  <w:color w:val="0000FF"/>
                  <w:w w:val="92"/>
                </w:rPr>
                <w:t>Inc.</w:t>
              </w:r>
            </w:hyperlink>
          </w:p>
        </w:tc>
        <w:tc>
          <w:tcPr>
            <w:tcW w:w="4820" w:type="dxa"/>
            <w:vAlign w:val="bottom"/>
            <w:gridSpan w:val="17"/>
            <w:vMerge w:val="restart"/>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20" w:type="dxa"/>
            <w:vAlign w:val="bottom"/>
            <w:gridSpan w:val="2"/>
            <w:vMerge w:val="restart"/>
          </w:tcPr>
          <w:p>
            <w:pPr>
              <w:ind w:left="100"/>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4"/>
                <w:szCs w:val="4"/>
                <w:color w:val="auto"/>
              </w:rPr>
            </w:pPr>
          </w:p>
        </w:tc>
        <w:tc>
          <w:tcPr>
            <w:tcW w:w="260" w:type="dxa"/>
            <w:vAlign w:val="bottom"/>
            <w:tcBorders>
              <w:bottom w:val="single" w:sz="8" w:color="0000FF"/>
            </w:tcBorders>
            <w:vMerge w:val="continue"/>
          </w:tcPr>
          <w:p>
            <w:pPr>
              <w:spacing w:after="0"/>
              <w:rPr>
                <w:sz w:val="4"/>
                <w:szCs w:val="4"/>
                <w:color w:val="auto"/>
              </w:rPr>
            </w:pPr>
          </w:p>
        </w:tc>
        <w:tc>
          <w:tcPr>
            <w:tcW w:w="4820" w:type="dxa"/>
            <w:vAlign w:val="bottom"/>
            <w:gridSpan w:val="17"/>
            <w:vMerge w:val="continue"/>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S-1</w:t>
            </w:r>
          </w:p>
        </w:tc>
        <w:tc>
          <w:tcPr>
            <w:tcW w:w="1380" w:type="dxa"/>
            <w:vAlign w:val="bottom"/>
            <w:gridSpan w:val="2"/>
            <w:vMerge w:val="restart"/>
          </w:tcPr>
          <w:p>
            <w:pPr>
              <w:jc w:val="center"/>
              <w:ind w:left="99"/>
              <w:spacing w:after="0"/>
              <w:rPr>
                <w:sz w:val="20"/>
                <w:szCs w:val="20"/>
                <w:color w:val="auto"/>
              </w:rPr>
            </w:pPr>
            <w:r>
              <w:rPr>
                <w:rFonts w:ascii="Arial" w:cs="Arial" w:eastAsia="Arial" w:hAnsi="Arial"/>
                <w:sz w:val="16"/>
                <w:szCs w:val="16"/>
                <w:color w:val="auto"/>
              </w:rPr>
              <w:t>11/8/2013</w:t>
            </w: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8"/>
              </w:rPr>
              <w:t>4.2</w:t>
            </w: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gridSpan w:val="18"/>
          </w:tcPr>
          <w:p>
            <w:pPr>
              <w:spacing w:after="0" w:line="169" w:lineRule="exact"/>
              <w:rPr>
                <w:rFonts w:ascii="Arial" w:cs="Arial" w:eastAsia="Arial" w:hAnsi="Arial"/>
                <w:sz w:val="16"/>
                <w:szCs w:val="16"/>
                <w:color w:val="0000FF"/>
              </w:rPr>
            </w:pPr>
            <w:hyperlink r:id="rId19">
              <w:r>
                <w:rPr>
                  <w:rFonts w:ascii="Arial" w:cs="Arial" w:eastAsia="Arial" w:hAnsi="Arial"/>
                  <w:sz w:val="16"/>
                  <w:szCs w:val="16"/>
                  <w:color w:val="0000FF"/>
                </w:rPr>
                <w:t>Form of Common Stock Certificate</w:t>
              </w:r>
            </w:hyperlink>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4.4</w:t>
            </w:r>
          </w:p>
        </w:tc>
        <w:tc>
          <w:tcPr>
            <w:tcW w:w="200" w:type="dxa"/>
            <w:vAlign w:val="bottom"/>
          </w:tcPr>
          <w:p>
            <w:pPr>
              <w:spacing w:after="0"/>
              <w:rPr>
                <w:sz w:val="14"/>
                <w:szCs w:val="14"/>
                <w:color w:val="auto"/>
              </w:rPr>
            </w:pPr>
          </w:p>
        </w:tc>
        <w:tc>
          <w:tcPr>
            <w:tcW w:w="24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w w:val="98"/>
              </w:rPr>
              <w:t>Third Amended and Restated 2023</w:t>
            </w:r>
          </w:p>
        </w:tc>
        <w:tc>
          <w:tcPr>
            <w:tcW w:w="2600" w:type="dxa"/>
            <w:vAlign w:val="bottom"/>
            <w:gridSpan w:val="12"/>
          </w:tcPr>
          <w:p>
            <w:pPr>
              <w:ind w:left="80"/>
              <w:spacing w:after="0" w:line="169" w:lineRule="exact"/>
              <w:rPr>
                <w:sz w:val="20"/>
                <w:szCs w:val="20"/>
                <w:color w:val="auto"/>
              </w:rPr>
            </w:pPr>
            <w:r>
              <w:rPr>
                <w:rFonts w:ascii="Arial" w:cs="Arial" w:eastAsia="Arial" w:hAnsi="Arial"/>
                <w:sz w:val="16"/>
                <w:szCs w:val="16"/>
                <w:color w:val="0000FF"/>
              </w:rPr>
              <w:t>Incentive Plan</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2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4.5</w:t>
            </w:r>
          </w:p>
        </w:tc>
        <w:tc>
          <w:tcPr>
            <w:tcW w:w="200" w:type="dxa"/>
            <w:vAlign w:val="bottom"/>
          </w:tcPr>
          <w:p>
            <w:pPr>
              <w:spacing w:after="0"/>
              <w:rPr>
                <w:sz w:val="14"/>
                <w:szCs w:val="14"/>
                <w:color w:val="auto"/>
              </w:rPr>
            </w:pPr>
          </w:p>
        </w:tc>
        <w:tc>
          <w:tcPr>
            <w:tcW w:w="358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20">
              <w:r>
                <w:rPr>
                  <w:rFonts w:ascii="Arial" w:cs="Arial" w:eastAsia="Arial" w:hAnsi="Arial"/>
                  <w:sz w:val="16"/>
                  <w:szCs w:val="16"/>
                  <w:color w:val="0000FF"/>
                </w:rPr>
                <w:t>Employment Inducement Plan</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rPr>
              <w:t>10-K</w:t>
            </w:r>
          </w:p>
        </w:tc>
        <w:tc>
          <w:tcPr>
            <w:tcW w:w="1380" w:type="dxa"/>
            <w:vAlign w:val="bottom"/>
            <w:gridSpan w:val="2"/>
          </w:tcPr>
          <w:p>
            <w:pPr>
              <w:jc w:val="center"/>
              <w:ind w:left="99"/>
              <w:spacing w:after="0" w:line="169" w:lineRule="exact"/>
              <w:rPr>
                <w:sz w:val="20"/>
                <w:szCs w:val="20"/>
                <w:color w:val="auto"/>
              </w:rPr>
            </w:pPr>
            <w:r>
              <w:rPr>
                <w:rFonts w:ascii="Arial" w:cs="Arial" w:eastAsia="Arial" w:hAnsi="Arial"/>
                <w:sz w:val="16"/>
                <w:szCs w:val="16"/>
                <w:color w:val="auto"/>
              </w:rPr>
              <w:t>2/12/2021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Arial" w:cs="Arial" w:eastAsia="Arial" w:hAnsi="Arial"/>
                <w:sz w:val="16"/>
                <w:szCs w:val="16"/>
                <w:color w:val="auto"/>
                <w:w w:val="99"/>
              </w:rPr>
              <w:t>10.43</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4.6</w:t>
            </w:r>
          </w:p>
        </w:tc>
        <w:tc>
          <w:tcPr>
            <w:tcW w:w="20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w w:val="91"/>
              </w:rPr>
            </w:pPr>
            <w:hyperlink r:id="rId21">
              <w:r>
                <w:rPr>
                  <w:rFonts w:ascii="Arial" w:cs="Arial" w:eastAsia="Arial" w:hAnsi="Arial"/>
                  <w:sz w:val="16"/>
                  <w:szCs w:val="16"/>
                  <w:color w:val="0000FF"/>
                  <w:w w:val="91"/>
                </w:rPr>
                <w:t>First Amendment to Employment</w:t>
              </w:r>
            </w:hyperlink>
          </w:p>
        </w:tc>
        <w:tc>
          <w:tcPr>
            <w:tcW w:w="1460" w:type="dxa"/>
            <w:vAlign w:val="bottom"/>
            <w:tcBorders>
              <w:bottom w:val="single" w:sz="8" w:color="0000FF"/>
            </w:tcBorders>
            <w:gridSpan w:val="4"/>
          </w:tcPr>
          <w:p>
            <w:pPr>
              <w:ind w:left="240"/>
              <w:spacing w:after="0" w:line="169" w:lineRule="exact"/>
              <w:rPr>
                <w:rFonts w:ascii="Arial" w:cs="Arial" w:eastAsia="Arial" w:hAnsi="Arial"/>
                <w:sz w:val="16"/>
                <w:szCs w:val="16"/>
                <w:color w:val="0000FF"/>
                <w:w w:val="99"/>
              </w:rPr>
            </w:pPr>
            <w:hyperlink r:id="rId21">
              <w:r>
                <w:rPr>
                  <w:rFonts w:ascii="Arial" w:cs="Arial" w:eastAsia="Arial" w:hAnsi="Arial"/>
                  <w:sz w:val="16"/>
                  <w:szCs w:val="16"/>
                  <w:color w:val="0000FF"/>
                  <w:w w:val="99"/>
                </w:rPr>
                <w:t>Inducement Plan</w:t>
              </w:r>
            </w:hyperlink>
          </w:p>
        </w:tc>
        <w:tc>
          <w:tcPr>
            <w:tcW w:w="1460" w:type="dxa"/>
            <w:vAlign w:val="bottom"/>
            <w:gridSpan w:val="9"/>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rPr>
              <w:t>S-8</w:t>
            </w:r>
          </w:p>
        </w:tc>
        <w:tc>
          <w:tcPr>
            <w:tcW w:w="1380" w:type="dxa"/>
            <w:vAlign w:val="bottom"/>
            <w:gridSpan w:val="2"/>
          </w:tcPr>
          <w:p>
            <w:pPr>
              <w:jc w:val="center"/>
              <w:ind w:left="99"/>
              <w:spacing w:after="0" w:line="169" w:lineRule="exact"/>
              <w:rPr>
                <w:sz w:val="20"/>
                <w:szCs w:val="20"/>
                <w:color w:val="auto"/>
              </w:rPr>
            </w:pPr>
            <w:r>
              <w:rPr>
                <w:rFonts w:ascii="Arial" w:cs="Arial" w:eastAsia="Arial" w:hAnsi="Arial"/>
                <w:sz w:val="16"/>
                <w:szCs w:val="16"/>
                <w:color w:val="auto"/>
              </w:rPr>
              <w:t>6/8/2023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Arial" w:cs="Arial" w:eastAsia="Arial" w:hAnsi="Arial"/>
                <w:sz w:val="16"/>
                <w:szCs w:val="16"/>
                <w:color w:val="auto"/>
                <w:w w:val="98"/>
              </w:rPr>
              <w:t>4.7</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4.7</w:t>
            </w:r>
          </w:p>
        </w:tc>
        <w:tc>
          <w:tcPr>
            <w:tcW w:w="200" w:type="dxa"/>
            <w:vAlign w:val="bottom"/>
          </w:tcPr>
          <w:p>
            <w:pPr>
              <w:spacing w:after="0"/>
              <w:rPr>
                <w:sz w:val="14"/>
                <w:szCs w:val="14"/>
                <w:color w:val="auto"/>
              </w:rPr>
            </w:pPr>
          </w:p>
        </w:tc>
        <w:tc>
          <w:tcPr>
            <w:tcW w:w="5080" w:type="dxa"/>
            <w:vAlign w:val="bottom"/>
            <w:gridSpan w:val="18"/>
          </w:tcPr>
          <w:p>
            <w:pPr>
              <w:spacing w:after="0" w:line="169" w:lineRule="exact"/>
              <w:rPr>
                <w:rFonts w:ascii="Arial" w:cs="Arial" w:eastAsia="Arial" w:hAnsi="Arial"/>
                <w:sz w:val="16"/>
                <w:szCs w:val="16"/>
                <w:color w:val="0000FF"/>
              </w:rPr>
            </w:pPr>
            <w:hyperlink r:id="rId22">
              <w:r>
                <w:rPr>
                  <w:rFonts w:ascii="Arial" w:cs="Arial" w:eastAsia="Arial" w:hAnsi="Arial"/>
                  <w:sz w:val="16"/>
                  <w:szCs w:val="16"/>
                  <w:color w:val="0000FF"/>
                </w:rPr>
                <w:t>Second Amendment to Employment Inducement Plan</w:t>
              </w:r>
            </w:hyperlink>
          </w:p>
        </w:tc>
        <w:tc>
          <w:tcPr>
            <w:tcW w:w="20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rPr>
              <w:t>S-8</w:t>
            </w:r>
          </w:p>
        </w:tc>
        <w:tc>
          <w:tcPr>
            <w:tcW w:w="1380" w:type="dxa"/>
            <w:vAlign w:val="bottom"/>
            <w:gridSpan w:val="2"/>
          </w:tcPr>
          <w:p>
            <w:pPr>
              <w:jc w:val="center"/>
              <w:ind w:left="99"/>
              <w:spacing w:after="0" w:line="169" w:lineRule="exact"/>
              <w:rPr>
                <w:sz w:val="20"/>
                <w:szCs w:val="20"/>
                <w:color w:val="auto"/>
              </w:rPr>
            </w:pPr>
            <w:r>
              <w:rPr>
                <w:rFonts w:ascii="Arial" w:cs="Arial" w:eastAsia="Arial" w:hAnsi="Arial"/>
                <w:sz w:val="16"/>
                <w:szCs w:val="16"/>
                <w:color w:val="auto"/>
              </w:rPr>
              <w:t>7/12/2024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Arial" w:cs="Arial" w:eastAsia="Arial" w:hAnsi="Arial"/>
                <w:sz w:val="16"/>
                <w:szCs w:val="16"/>
                <w:color w:val="auto"/>
                <w:w w:val="98"/>
              </w:rPr>
              <w:t>4.7</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4.8</w:t>
            </w:r>
          </w:p>
        </w:tc>
        <w:tc>
          <w:tcPr>
            <w:tcW w:w="20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23">
              <w:r>
                <w:rPr>
                  <w:rFonts w:ascii="Arial" w:cs="Arial" w:eastAsia="Arial" w:hAnsi="Arial"/>
                  <w:sz w:val="16"/>
                  <w:szCs w:val="16"/>
                  <w:color w:val="0000FF"/>
                </w:rPr>
                <w:t>Third Amendment to Employment Inducement Plan</w:t>
              </w:r>
            </w:hyperlink>
          </w:p>
        </w:tc>
        <w:tc>
          <w:tcPr>
            <w:tcW w:w="180" w:type="dxa"/>
            <w:vAlign w:val="bottom"/>
            <w:tcBorders>
              <w:top w:val="single" w:sz="8" w:color="0000FF"/>
            </w:tcBorders>
            <w:gridSpan w:val="2"/>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rPr>
              <w:t>S-8</w:t>
            </w:r>
          </w:p>
        </w:tc>
        <w:tc>
          <w:tcPr>
            <w:tcW w:w="1380" w:type="dxa"/>
            <w:vAlign w:val="bottom"/>
            <w:gridSpan w:val="2"/>
          </w:tcPr>
          <w:p>
            <w:pPr>
              <w:jc w:val="center"/>
              <w:ind w:left="99"/>
              <w:spacing w:after="0" w:line="169" w:lineRule="exact"/>
              <w:rPr>
                <w:sz w:val="20"/>
                <w:szCs w:val="20"/>
                <w:color w:val="auto"/>
              </w:rPr>
            </w:pPr>
            <w:r>
              <w:rPr>
                <w:rFonts w:ascii="Arial" w:cs="Arial" w:eastAsia="Arial" w:hAnsi="Arial"/>
                <w:sz w:val="16"/>
                <w:szCs w:val="16"/>
                <w:color w:val="auto"/>
              </w:rPr>
              <w:t>7/18/2025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Arial" w:cs="Arial" w:eastAsia="Arial" w:hAnsi="Arial"/>
                <w:sz w:val="16"/>
                <w:szCs w:val="16"/>
                <w:color w:val="auto"/>
                <w:w w:val="98"/>
              </w:rPr>
              <w:t>4.8</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4.9</w:t>
            </w:r>
          </w:p>
        </w:tc>
        <w:tc>
          <w:tcPr>
            <w:tcW w:w="200" w:type="dxa"/>
            <w:vAlign w:val="bottom"/>
          </w:tcPr>
          <w:p>
            <w:pPr>
              <w:spacing w:after="0"/>
              <w:rPr>
                <w:sz w:val="14"/>
                <w:szCs w:val="14"/>
                <w:color w:val="auto"/>
              </w:rPr>
            </w:pPr>
          </w:p>
        </w:tc>
        <w:tc>
          <w:tcPr>
            <w:tcW w:w="5080" w:type="dxa"/>
            <w:vAlign w:val="bottom"/>
            <w:gridSpan w:val="18"/>
          </w:tcPr>
          <w:p>
            <w:pPr>
              <w:spacing w:after="0" w:line="169" w:lineRule="exact"/>
              <w:rPr>
                <w:sz w:val="20"/>
                <w:szCs w:val="20"/>
                <w:color w:val="auto"/>
              </w:rPr>
            </w:pPr>
            <w:r>
              <w:rPr>
                <w:rFonts w:ascii="Arial" w:cs="Arial" w:eastAsia="Arial" w:hAnsi="Arial"/>
                <w:sz w:val="16"/>
                <w:szCs w:val="16"/>
                <w:color w:val="0000FF"/>
              </w:rPr>
              <w:t>Fourth Amendment to Employment Inducement Plan</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2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5.1</w:t>
            </w:r>
          </w:p>
        </w:tc>
        <w:tc>
          <w:tcPr>
            <w:tcW w:w="200" w:type="dxa"/>
            <w:vAlign w:val="bottom"/>
          </w:tcPr>
          <w:p>
            <w:pPr>
              <w:spacing w:after="0"/>
              <w:rPr>
                <w:sz w:val="14"/>
                <w:szCs w:val="14"/>
                <w:color w:val="auto"/>
              </w:rPr>
            </w:pPr>
          </w:p>
        </w:tc>
        <w:tc>
          <w:tcPr>
            <w:tcW w:w="378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Opinion of Gibson, Dunn &amp; Crutcher LLP</w:t>
            </w:r>
          </w:p>
        </w:tc>
        <w:tc>
          <w:tcPr>
            <w:tcW w:w="480" w:type="dxa"/>
            <w:vAlign w:val="bottom"/>
            <w:gridSpan w:val="2"/>
          </w:tcPr>
          <w:p>
            <w:pPr>
              <w:spacing w:after="0"/>
              <w:rPr>
                <w:sz w:val="14"/>
                <w:szCs w:val="14"/>
                <w:color w:val="auto"/>
              </w:rPr>
            </w:pPr>
          </w:p>
        </w:tc>
        <w:tc>
          <w:tcPr>
            <w:tcW w:w="4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ind w:left="100"/>
              <w:spacing w:after="0"/>
              <w:rPr>
                <w:sz w:val="20"/>
                <w:szCs w:val="20"/>
                <w:color w:val="auto"/>
              </w:rPr>
            </w:pPr>
            <w:r>
              <w:rPr>
                <w:rFonts w:ascii="Arial" w:cs="Arial" w:eastAsia="Arial" w:hAnsi="Arial"/>
                <w:sz w:val="16"/>
                <w:szCs w:val="16"/>
                <w:color w:val="auto"/>
              </w:rPr>
              <w:t>23.1</w:t>
            </w:r>
          </w:p>
        </w:tc>
        <w:tc>
          <w:tcPr>
            <w:tcW w:w="2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X</w:t>
            </w:r>
          </w:p>
        </w:tc>
        <w:tc>
          <w:tcPr>
            <w:tcW w:w="0" w:type="dxa"/>
            <w:vAlign w:val="bottom"/>
          </w:tcPr>
          <w:p>
            <w:pPr>
              <w:spacing w:after="0" w:line="20" w:lineRule="exact"/>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080" w:type="dxa"/>
            <w:vAlign w:val="bottom"/>
            <w:gridSpan w:val="18"/>
          </w:tcPr>
          <w:p>
            <w:pPr>
              <w:spacing w:after="0" w:line="169" w:lineRule="exact"/>
              <w:rPr>
                <w:sz w:val="20"/>
                <w:szCs w:val="20"/>
                <w:color w:val="auto"/>
              </w:rPr>
            </w:pPr>
            <w:r>
              <w:rPr>
                <w:rFonts w:ascii="Arial" w:cs="Arial" w:eastAsia="Arial" w:hAnsi="Arial"/>
                <w:sz w:val="16"/>
                <w:szCs w:val="16"/>
                <w:color w:val="0000FF"/>
              </w:rPr>
              <w:t>Consent of Independent Registered Public Accounting Firm</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gridSpan w:val="2"/>
          </w:tcPr>
          <w:p>
            <w:pPr>
              <w:ind w:left="100"/>
              <w:spacing w:after="0" w:line="169" w:lineRule="exact"/>
              <w:rPr>
                <w:sz w:val="20"/>
                <w:szCs w:val="20"/>
                <w:color w:val="auto"/>
              </w:rPr>
            </w:pPr>
            <w:r>
              <w:rPr>
                <w:rFonts w:ascii="Arial" w:cs="Arial" w:eastAsia="Arial" w:hAnsi="Arial"/>
                <w:sz w:val="16"/>
                <w:szCs w:val="16"/>
                <w:color w:val="auto"/>
              </w:rPr>
              <w:t>23.2</w:t>
            </w:r>
          </w:p>
        </w:tc>
        <w:tc>
          <w:tcPr>
            <w:tcW w:w="20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6"/>
                <w:szCs w:val="16"/>
                <w:color w:val="0000FF"/>
                <w:w w:val="98"/>
              </w:rPr>
              <w:t>Consent of Gibson, Dunn &amp; Crutcher LLP (included in Exhibit</w:t>
            </w:r>
          </w:p>
        </w:tc>
        <w:tc>
          <w:tcPr>
            <w:tcW w:w="440" w:type="dxa"/>
            <w:vAlign w:val="bottom"/>
            <w:tcBorders>
              <w:bottom w:val="single" w:sz="8" w:color="0000FF"/>
            </w:tcBorders>
            <w:gridSpan w:val="2"/>
          </w:tcPr>
          <w:p>
            <w:pPr>
              <w:jc w:val="right"/>
              <w:spacing w:after="0" w:line="169" w:lineRule="exact"/>
              <w:rPr>
                <w:sz w:val="20"/>
                <w:szCs w:val="20"/>
                <w:color w:val="auto"/>
              </w:rPr>
            </w:pPr>
            <w:r>
              <w:rPr>
                <w:rFonts w:ascii="Arial" w:cs="Arial" w:eastAsia="Arial" w:hAnsi="Arial"/>
                <w:sz w:val="16"/>
                <w:szCs w:val="16"/>
                <w:color w:val="0000FF"/>
              </w:rPr>
              <w:t>5.1)</w:t>
            </w:r>
          </w:p>
        </w:tc>
        <w:tc>
          <w:tcPr>
            <w:tcW w:w="3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100"/>
              <w:spacing w:after="0" w:line="169"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ind w:left="100"/>
              <w:spacing w:after="0"/>
              <w:rPr>
                <w:sz w:val="20"/>
                <w:szCs w:val="20"/>
                <w:color w:val="auto"/>
              </w:rPr>
            </w:pPr>
            <w:r>
              <w:rPr>
                <w:rFonts w:ascii="Arial" w:cs="Arial" w:eastAsia="Arial" w:hAnsi="Arial"/>
                <w:sz w:val="16"/>
                <w:szCs w:val="16"/>
                <w:color w:val="auto"/>
              </w:rPr>
              <w:t>24.1</w:t>
            </w:r>
          </w:p>
        </w:tc>
        <w:tc>
          <w:tcPr>
            <w:tcW w:w="200" w:type="dxa"/>
            <w:vAlign w:val="bottom"/>
          </w:tcPr>
          <w:p>
            <w:pPr>
              <w:spacing w:after="0"/>
              <w:rPr>
                <w:sz w:val="14"/>
                <w:szCs w:val="14"/>
                <w:color w:val="auto"/>
              </w:rPr>
            </w:pPr>
          </w:p>
        </w:tc>
        <w:tc>
          <w:tcPr>
            <w:tcW w:w="5040" w:type="dxa"/>
            <w:vAlign w:val="bottom"/>
            <w:tcBorders>
              <w:bottom w:val="single" w:sz="8" w:color="0000FF"/>
            </w:tcBorders>
            <w:gridSpan w:val="16"/>
          </w:tcPr>
          <w:p>
            <w:pPr>
              <w:spacing w:after="0" w:line="169" w:lineRule="exact"/>
              <w:rPr>
                <w:sz w:val="20"/>
                <w:szCs w:val="20"/>
                <w:color w:val="auto"/>
              </w:rPr>
            </w:pPr>
            <w:r>
              <w:rPr>
                <w:rFonts w:ascii="Arial" w:cs="Arial" w:eastAsia="Arial" w:hAnsi="Arial"/>
                <w:sz w:val="16"/>
                <w:szCs w:val="16"/>
                <w:color w:val="0000FF"/>
              </w:rPr>
              <w:t>Power of Attorney (included on the signature page to this Registration</w:t>
            </w:r>
          </w:p>
        </w:tc>
        <w:tc>
          <w:tcPr>
            <w:tcW w:w="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13"/>
        </w:trPr>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80" w:type="dxa"/>
            <w:vAlign w:val="bottom"/>
            <w:gridSpan w:val="18"/>
            <w:vMerge w:val="restart"/>
          </w:tcPr>
          <w:p>
            <w:pPr>
              <w:spacing w:after="0" w:line="169" w:lineRule="exact"/>
              <w:rPr>
                <w:sz w:val="20"/>
                <w:szCs w:val="20"/>
                <w:color w:val="auto"/>
              </w:rPr>
            </w:pPr>
            <w:r>
              <w:rPr>
                <w:rFonts w:ascii="Arial" w:cs="Arial" w:eastAsia="Arial" w:hAnsi="Arial"/>
                <w:sz w:val="16"/>
                <w:szCs w:val="16"/>
                <w:color w:val="0000FF"/>
              </w:rPr>
              <w:t>Statement)</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920" w:type="dxa"/>
            <w:vAlign w:val="bottom"/>
            <w:gridSpan w:val="2"/>
            <w:vMerge w:val="restart"/>
          </w:tcPr>
          <w:p>
            <w:pPr>
              <w:ind w:left="100"/>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4"/>
                <w:szCs w:val="4"/>
                <w:color w:val="auto"/>
              </w:rPr>
            </w:pPr>
          </w:p>
        </w:tc>
        <w:tc>
          <w:tcPr>
            <w:tcW w:w="5080" w:type="dxa"/>
            <w:vAlign w:val="bottom"/>
            <w:gridSpan w:val="18"/>
            <w:vMerge w:val="continue"/>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Filing Fee</w:t>
            </w:r>
          </w:p>
        </w:tc>
        <w:tc>
          <w:tcPr>
            <w:tcW w:w="4300" w:type="dxa"/>
            <w:vAlign w:val="bottom"/>
            <w:gridSpan w:val="16"/>
          </w:tcPr>
          <w:p>
            <w:pPr>
              <w:spacing w:after="0" w:line="169" w:lineRule="exact"/>
              <w:rPr>
                <w:sz w:val="20"/>
                <w:szCs w:val="20"/>
                <w:color w:val="auto"/>
              </w:rPr>
            </w:pPr>
            <w:r>
              <w:rPr>
                <w:rFonts w:ascii="Arial" w:cs="Arial" w:eastAsia="Arial" w:hAnsi="Arial"/>
                <w:sz w:val="16"/>
                <w:szCs w:val="16"/>
                <w:color w:val="0000FF"/>
              </w:rPr>
              <w:t>Table</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8"/>
        </w:trPr>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6"/>
          <w:szCs w:val="16"/>
          <w:b w:val="1"/>
          <w:bCs w:val="1"/>
          <w:color w:val="auto"/>
        </w:rPr>
        <w:t>SIGNATURES</w:t>
      </w:r>
    </w:p>
    <w:p>
      <w:pPr>
        <w:spacing w:after="0" w:line="59" w:lineRule="exact"/>
        <w:rPr>
          <w:sz w:val="20"/>
          <w:szCs w:val="20"/>
          <w:color w:val="auto"/>
        </w:rPr>
      </w:pPr>
    </w:p>
    <w:p>
      <w:pPr>
        <w:ind w:right="20" w:firstLine="749"/>
        <w:spacing w:after="0" w:line="266"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Novato, State of California, on June 12, 2026.</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ULTRAGENYX PHARMACEUTICAL INC.</w:t>
      </w:r>
    </w:p>
    <w:p>
      <w:pPr>
        <w:spacing w:after="0" w:line="31" w:lineRule="exact"/>
        <w:rPr>
          <w:sz w:val="20"/>
          <w:szCs w:val="20"/>
          <w:color w:val="auto"/>
        </w:rPr>
      </w:pPr>
    </w:p>
    <w:tbl>
      <w:tblPr>
        <w:tblLayout w:type="fixed"/>
        <w:tblInd w:w="5180" w:type="dxa"/>
        <w:tblCellMar>
          <w:top w:w="0" w:type="dxa"/>
          <w:left w:w="0" w:type="dxa"/>
          <w:bottom w:w="0" w:type="dxa"/>
          <w:right w:w="0" w:type="dxa"/>
        </w:tblCellMar>
      </w:tblPr>
      <w:tr>
        <w:trPr>
          <w:trHeight w:val="191"/>
        </w:trPr>
        <w:tc>
          <w:tcPr>
            <w:tcW w:w="1360" w:type="dxa"/>
            <w:vAlign w:val="bottom"/>
          </w:tcPr>
          <w:p>
            <w:pPr>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Emil D. Kakkis</w:t>
            </w:r>
          </w:p>
        </w:tc>
      </w:tr>
      <w:tr>
        <w:trPr>
          <w:trHeight w:val="168"/>
        </w:trPr>
        <w:tc>
          <w:tcPr>
            <w:tcW w:w="1360" w:type="dxa"/>
            <w:vAlign w:val="bottom"/>
          </w:tcPr>
          <w:p>
            <w:pPr>
              <w:spacing w:after="0" w:line="168" w:lineRule="exact"/>
              <w:rPr>
                <w:sz w:val="20"/>
                <w:szCs w:val="20"/>
                <w:color w:val="auto"/>
              </w:rPr>
            </w:pPr>
            <w:r>
              <w:rPr>
                <w:rFonts w:ascii="Arial" w:cs="Arial" w:eastAsia="Arial" w:hAnsi="Arial"/>
                <w:sz w:val="16"/>
                <w:szCs w:val="16"/>
                <w:color w:val="auto"/>
              </w:rPr>
              <w:t>Name:</w:t>
            </w:r>
          </w:p>
        </w:tc>
        <w:tc>
          <w:tcPr>
            <w:tcW w:w="4700" w:type="dxa"/>
            <w:vAlign w:val="bottom"/>
          </w:tcPr>
          <w:p>
            <w:pPr>
              <w:spacing w:after="0" w:line="168" w:lineRule="exact"/>
              <w:rPr>
                <w:sz w:val="20"/>
                <w:szCs w:val="20"/>
                <w:color w:val="auto"/>
              </w:rPr>
            </w:pPr>
            <w:r>
              <w:rPr>
                <w:rFonts w:ascii="Arial" w:cs="Arial" w:eastAsia="Arial" w:hAnsi="Arial"/>
                <w:sz w:val="16"/>
                <w:szCs w:val="16"/>
                <w:color w:val="auto"/>
              </w:rPr>
              <w:t>Emil D. Kakkis, M.D., Ph.D.</w:t>
            </w:r>
          </w:p>
        </w:tc>
      </w:tr>
      <w:tr>
        <w:trPr>
          <w:trHeight w:val="215"/>
        </w:trPr>
        <w:tc>
          <w:tcPr>
            <w:tcW w:w="1360" w:type="dxa"/>
            <w:vAlign w:val="bottom"/>
          </w:tcPr>
          <w:p>
            <w:pPr>
              <w:spacing w:after="0"/>
              <w:rPr>
                <w:sz w:val="20"/>
                <w:szCs w:val="20"/>
                <w:color w:val="auto"/>
              </w:rPr>
            </w:pPr>
            <w:r>
              <w:rPr>
                <w:rFonts w:ascii="Arial" w:cs="Arial" w:eastAsia="Arial" w:hAnsi="Arial"/>
                <w:sz w:val="16"/>
                <w:szCs w:val="16"/>
                <w:color w:val="auto"/>
              </w:rPr>
              <w:t>Title:</w:t>
            </w:r>
          </w:p>
        </w:tc>
        <w:tc>
          <w:tcPr>
            <w:tcW w:w="47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59" w:lineRule="exact"/>
        <w:rPr>
          <w:sz w:val="20"/>
          <w:szCs w:val="20"/>
          <w:color w:val="auto"/>
        </w:rPr>
      </w:pPr>
    </w:p>
    <w:p>
      <w:pPr>
        <w:ind w:firstLine="749"/>
        <w:spacing w:after="0" w:line="252"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each of Emil D. Kakkis, M.D., Ph.D. and Howard Horn, and each of them acting individually, as his or her true and lawful attorneys-in-fact and agents, each with full power of substitution and resubstitution in each of them singly,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to the attorneys-in-fact and agents, and each of them, full power and authority to do and perform each and every act and thing requisite or necessary to be done in or about the premises, as full to all intents and purposes as he or she might or could do in person, hereby ratifying and confirming all that the attorneys-in-fact and agents or any of each of them or their substitutes may lawfully do or cause to be done by virtue hereof.</w:t>
      </w:r>
    </w:p>
    <w:p>
      <w:pPr>
        <w:spacing w:after="0" w:line="21"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indicated on the dates indicated.</w:t>
      </w:r>
    </w:p>
    <w:p>
      <w:pPr>
        <w:sectPr>
          <w:pgSz w:w="11900" w:h="16838" w:orient="portrait"/>
          <w:cols w:equalWidth="0" w:num="1">
            <w:col w:w="11240"/>
          </w:cols>
          <w:pgMar w:left="320" w:top="1097" w:right="339" w:bottom="1440" w:gutter="0" w:footer="0" w:header="0"/>
        </w:sectPr>
      </w:pPr>
    </w:p>
    <w:p>
      <w:pPr>
        <w:spacing w:after="0" w:line="129"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20955</wp:posOffset>
            </wp:positionV>
            <wp:extent cx="582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9"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040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Emil D. Kakkis, M.D., Ph.D.</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 Howard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40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Howard Horn</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 Theodore A. Huizenga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40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Theodore A. Huizenga</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 Daniel 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4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Daniel G. Welch</w:t>
      </w:r>
    </w:p>
    <w:p>
      <w:pPr>
        <w:spacing w:after="0" w:line="194"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Deborah Dunsire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40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9"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Deborah Dunsire, M.D.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 Matthew K. Fust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40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Matthew K. Fust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 Michael Narachi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40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Michael Narachi</w:t>
      </w:r>
    </w:p>
    <w:p>
      <w:pPr>
        <w:spacing w:after="0" w:line="194"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Amrit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40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Amrit Ray, M.D.</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 Corsee D.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040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Corsee D. Sanders, Ph.D.</w:t>
      </w:r>
    </w:p>
    <w:p>
      <w:pPr>
        <w:spacing w:after="0" w:line="383"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Shehnaaz Suliman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40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Shehnaaz Suliman, M.D.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12065</wp:posOffset>
            </wp:positionV>
            <wp:extent cx="3600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President and Chief Executive Officer and Director</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i w:val="1"/>
          <w:iCs w:val="1"/>
          <w:color w:val="auto"/>
        </w:rPr>
        <w:t>(Principal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Chief Financial Officer, Corporate Strategy</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i w:val="1"/>
          <w:iCs w:val="1"/>
          <w:color w:val="auto"/>
        </w:rPr>
        <w:t>(Principal Financial Officer)</w:t>
      </w:r>
    </w:p>
    <w:p>
      <w:pPr>
        <w:spacing w:after="0" w:line="32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Senior Vice President and Chief Accounting Officer</w:t>
      </w:r>
    </w:p>
    <w:p>
      <w:pPr>
        <w:spacing w:after="0" w:line="21" w:lineRule="exact"/>
        <w:rPr>
          <w:sz w:val="20"/>
          <w:szCs w:val="20"/>
          <w:color w:val="auto"/>
        </w:rPr>
      </w:pPr>
    </w:p>
    <w:p>
      <w:pPr>
        <w:jc w:val="center"/>
        <w:ind w:right="320"/>
        <w:spacing w:after="0"/>
        <w:rPr>
          <w:sz w:val="20"/>
          <w:szCs w:val="20"/>
          <w:color w:val="auto"/>
        </w:rPr>
      </w:pPr>
      <w:r>
        <w:rPr>
          <w:rFonts w:ascii="Arial" w:cs="Arial" w:eastAsia="Arial" w:hAnsi="Arial"/>
          <w:sz w:val="16"/>
          <w:szCs w:val="16"/>
          <w:i w:val="1"/>
          <w:iCs w:val="1"/>
          <w:color w:val="auto"/>
        </w:rPr>
        <w:t>(Principal Accounting Officer)</w:t>
      </w:r>
    </w:p>
    <w:p>
      <w:pPr>
        <w:spacing w:after="0" w:line="313"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Chairman of the Board</w:t>
      </w: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Director</w:t>
      </w:r>
    </w:p>
    <w:p>
      <w:pPr>
        <w:spacing w:after="0" w:line="32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1199515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Date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June 12, 2026</w:t>
      </w:r>
    </w:p>
    <w:p>
      <w:pPr>
        <w:sectPr>
          <w:pgSz w:w="11900" w:h="16838" w:orient="portrait"/>
          <w:cols w:equalWidth="0" w:num="3">
            <w:col w:w="2640" w:space="720"/>
            <w:col w:w="5240" w:space="720"/>
            <w:col w:w="1920"/>
          </w:cols>
          <w:pgMar w:left="320" w:top="1097"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4.4</w:t>
      </w:r>
    </w:p>
    <w:p>
      <w:pPr>
        <w:jc w:val="center"/>
        <w:ind w:right="60"/>
        <w:spacing w:after="0" w:line="233" w:lineRule="auto"/>
        <w:rPr>
          <w:sz w:val="20"/>
          <w:szCs w:val="20"/>
          <w:color w:val="auto"/>
        </w:rPr>
      </w:pPr>
      <w:r>
        <w:rPr>
          <w:rFonts w:ascii="Arial" w:cs="Arial" w:eastAsia="Arial" w:hAnsi="Arial"/>
          <w:sz w:val="22"/>
          <w:szCs w:val="22"/>
          <w:b w:val="1"/>
          <w:bCs w:val="1"/>
          <w:color w:val="auto"/>
        </w:rPr>
        <w:t>Ultragenyx Pharmaceutical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2023 Incentive Plan</w:t>
      </w:r>
    </w:p>
    <w:p>
      <w:pPr>
        <w:spacing w:after="0" w:line="211" w:lineRule="exact"/>
        <w:rPr>
          <w:sz w:val="20"/>
          <w:szCs w:val="20"/>
          <w:color w:val="auto"/>
        </w:rPr>
      </w:pPr>
    </w:p>
    <w:p>
      <w:pPr>
        <w:ind w:left="520" w:hanging="512"/>
        <w:spacing w:after="0"/>
        <w:tabs>
          <w:tab w:leader="none" w:pos="520" w:val="left"/>
        </w:tabs>
        <w:numPr>
          <w:ilvl w:val="0"/>
          <w:numId w:val="1"/>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DEFINED TERMS</w:t>
      </w:r>
    </w:p>
    <w:p>
      <w:pPr>
        <w:spacing w:after="0" w:line="207"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which is incorporated by reference, defines the terms used in the Plan and sets forth certain operational rules related to those terms.</w:t>
      </w:r>
    </w:p>
    <w:p>
      <w:pPr>
        <w:spacing w:after="0" w:line="154"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PURPOSE</w:t>
      </w:r>
    </w:p>
    <w:p>
      <w:pPr>
        <w:spacing w:after="0" w:line="20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The Plan has been established to advance the interests of the Company by providing for the grant to Participants of Stock-based and other incentive Awards. The Plan was originally approved by the Board on April 20, 2023 effective on the Original Effective Date and was amended and restated effective as of June 18, 2024, May 15, 2025 and on May 14, 2026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61"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ADMINISTRATION</w:t>
      </w:r>
    </w:p>
    <w:p>
      <w:pPr>
        <w:spacing w:after="0" w:line="20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The Administrator has discretionary authority, subject only to the express provisions of the Plan, to (a) interpret and construe the Plan, any rules and regulations under the Plan and the terms and conditions of any Award;</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1"/>
          <w:szCs w:val="21"/>
          <w:color w:val="auto"/>
        </w:rPr>
      </w:pPr>
      <w:r>
        <w:rPr>
          <w:rFonts w:ascii="Arial" w:cs="Arial" w:eastAsia="Arial" w:hAnsi="Arial"/>
          <w:sz w:val="21"/>
          <w:szCs w:val="21"/>
          <w:color w:val="auto"/>
        </w:rPr>
        <w:t>determine eligibility for and grant Awards; (c) determine, modify or waive the terms and conditions of any Award;</w:t>
      </w:r>
    </w:p>
    <w:p>
      <w:pPr>
        <w:spacing w:after="0" w:line="1" w:lineRule="exact"/>
        <w:rPr>
          <w:rFonts w:ascii="Arial" w:cs="Arial" w:eastAsia="Arial" w:hAnsi="Arial"/>
          <w:sz w:val="21"/>
          <w:szCs w:val="21"/>
          <w:color w:val="auto"/>
        </w:rPr>
      </w:pPr>
    </w:p>
    <w:p>
      <w:pPr>
        <w:jc w:val="both"/>
        <w:ind w:firstLine="8"/>
        <w:spacing w:after="0" w:line="233"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prescribe forms, rules and procedures relating to the Plan; (e) establish and verify the extent of satisfaction of any Performance Criteria or other conditions applicable to the grant, issuance, retention, vesting, exercisability or settlement of any Award; (f) determine the extent to which adjustments are required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(g) approve corrections in the documentation or administration of any Award; and otherwise do all things necessary or appropriate to carry out the purposes of the Plan. Determinations of the Administrator made under the Plan will be conclusive and will bind all parties.</w:t>
      </w:r>
    </w:p>
    <w:p>
      <w:pPr>
        <w:spacing w:after="0" w:line="17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LIMITS ON AWARDS UNDER THE PLAN</w:t>
      </w:r>
    </w:p>
    <w:p>
      <w:pPr>
        <w:spacing w:after="0" w:line="20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Number of Shares</w:t>
      </w:r>
      <w:r>
        <w:rPr>
          <w:rFonts w:ascii="Arial" w:cs="Arial" w:eastAsia="Arial" w:hAnsi="Arial"/>
          <w:sz w:val="22"/>
          <w:szCs w:val="22"/>
          <w:b w:val="1"/>
          <w:bCs w:val="1"/>
          <w:color w:val="auto"/>
        </w:rPr>
        <w:t>.</w:t>
      </w:r>
    </w:p>
    <w:p>
      <w:pPr>
        <w:spacing w:after="0" w:line="20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2"/>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The maximum number of shares of Stock that may be delivered in satisfaction of Awards under the Plan is (A) 14,500,000,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number of shares of Stock subject to any Award outstanding under a Prior Plan as of the Original Effective Date that after the Original Effective Date are not issued because such Award is forfeited, canceled, terminates, expires or otherwise lapses without being exercised (to the extent applicable), or is settled in cash. Up to 14,500,000 shares of Stock may be issued in satisfaction of ISOs, but nothing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4(a)</w:t>
      </w:r>
      <w:r>
        <w:rPr>
          <w:rFonts w:ascii="Arial" w:cs="Arial" w:eastAsia="Arial" w:hAnsi="Arial"/>
          <w:sz w:val="22"/>
          <w:szCs w:val="22"/>
          <w:color w:val="auto"/>
        </w:rPr>
        <w:t xml:space="preserve"> will be construed as requiring that any, or any fixed number of, ISOs be awarded under the Plan. The limits set forth in this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shall be construed to comply with Section 422.</w:t>
      </w:r>
    </w:p>
    <w:p>
      <w:pPr>
        <w:spacing w:after="0" w:line="182"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2"/>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4(a)</w:t>
      </w:r>
      <w:r>
        <w:rPr>
          <w:rFonts w:ascii="Arial" w:cs="Arial" w:eastAsia="Arial" w:hAnsi="Arial"/>
          <w:sz w:val="22"/>
          <w:szCs w:val="22"/>
          <w:color w:val="auto"/>
        </w:rPr>
        <w:t>, if an outstanding Award is forfeited, canceled, terminates, expires or otherwise lapses without being exercised (to the extent applicable), or is settled in cash, the shares of Stock allocable to the terminated portion of such Award or such forfeited shares of Stock shall again be available for issuance under the Plan. Notwithstanding the foregoing, the following shares shall not be available for issuance under the Plan: (A) shares withheld from an Award under the Plan or a Prior Plan to satisfy the tax withholding obligations with respect to such Award, (B) shares withheld from an Award under the Plan or a Prior Plan in payment of the exercise price of an Award requiring exercise, (C) shares repurchased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4" w:name="page5"/>
    <w:bookmarkEnd w:id="4"/>
    <w:p>
      <w:pPr>
        <w:jc w:val="both"/>
        <w:spacing w:after="0" w:line="245" w:lineRule="auto"/>
        <w:rPr>
          <w:sz w:val="20"/>
          <w:szCs w:val="20"/>
          <w:color w:val="auto"/>
        </w:rPr>
      </w:pPr>
      <w:r>
        <w:rPr>
          <w:rFonts w:ascii="Arial" w:cs="Arial" w:eastAsia="Arial" w:hAnsi="Arial"/>
          <w:sz w:val="22"/>
          <w:szCs w:val="22"/>
          <w:color w:val="auto"/>
        </w:rPr>
        <w:t>open market by the Company using proceeds from the exercise price paid with respect to Awards under the Plan or a Prior Plan, or (D) gross shares subject to an SAR granted under the Plan or a Prior Plan that are not issued in connection with the Stock-settlement of such SAR.</w:t>
      </w:r>
    </w:p>
    <w:p>
      <w:pPr>
        <w:spacing w:after="0" w:line="168" w:lineRule="exact"/>
        <w:rPr>
          <w:sz w:val="20"/>
          <w:szCs w:val="20"/>
          <w:color w:val="auto"/>
        </w:rPr>
      </w:pPr>
    </w:p>
    <w:p>
      <w:pPr>
        <w:ind w:right="20" w:firstLine="757"/>
        <w:spacing w:after="0" w:line="284" w:lineRule="auto"/>
        <w:tabs>
          <w:tab w:leader="none" w:pos="1018" w:val="left"/>
        </w:tabs>
        <w:numPr>
          <w:ilvl w:val="1"/>
          <w:numId w:val="7"/>
        </w:numPr>
        <w:rPr>
          <w:rFonts w:ascii="Times New Roman" w:cs="Times New Roman" w:eastAsia="Times New Roman" w:hAnsi="Times New Roman"/>
          <w:sz w:val="21"/>
          <w:szCs w:val="21"/>
          <w:color w:val="auto"/>
        </w:rPr>
      </w:pPr>
      <w:r>
        <w:rPr>
          <w:rFonts w:ascii="Arial" w:cs="Arial" w:eastAsia="Arial" w:hAnsi="Arial"/>
          <w:sz w:val="21"/>
          <w:szCs w:val="21"/>
          <w:b w:val="1"/>
          <w:bCs w:val="1"/>
          <w:u w:val="single" w:color="auto"/>
          <w:color w:val="auto"/>
        </w:rPr>
        <w:t>Type of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Stock delivered by the Company under the Plan may be authorized but unissued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or previously issued Stock acquired by the Company. No fractional shares of Stock will be delivered under the Plan.</w:t>
      </w:r>
    </w:p>
    <w:p>
      <w:pPr>
        <w:spacing w:after="0" w:line="129"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1"/>
          <w:numId w:val="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Limit on Non-Employee Director Compensation</w:t>
      </w:r>
      <w:r>
        <w:rPr>
          <w:rFonts w:ascii="Arial" w:cs="Arial" w:eastAsia="Arial" w:hAnsi="Arial"/>
          <w:sz w:val="22"/>
          <w:szCs w:val="22"/>
          <w:color w:val="auto"/>
        </w:rPr>
        <w:t>. The aggregate dollar value of equity-based (based on</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date fair value of equity-based Awards determined for financial reporting purposes) and cash compensation granted under the Plan or otherwise to any non-employee director shall not exceed $900,000 during any calendar year for services provided as a non-employee director;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$1,500,000.</w:t>
      </w:r>
    </w:p>
    <w:p>
      <w:pPr>
        <w:spacing w:after="0" w:line="17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8"/>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ELIGIBILITY AND PARTICIPATION</w:t>
      </w:r>
    </w:p>
    <w:p>
      <w:pPr>
        <w:spacing w:after="0" w:line="20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The Administrator will select Participants from among key Employees and directors of, and consultants and advisors to, the Company and its Affiliates. Eligibility for ISOs is limited to individuals described in the first sentence of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who are employees of the Company or of a “parent corporation” or “subsidiary corporation” of the Company as those terms are defined in Section 424 of the Code. Eligibility for Stock Options other than ISOs is limited to individuals described in the first sentence of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who are providing direct services on the date of grant of the Stock Option to the Company or to a subsidiary of the Company that would be described in the first sentence of Section 1.409A-1(b)(5)(iii)(E) of the Treasury Regulations.</w:t>
      </w:r>
    </w:p>
    <w:p>
      <w:pPr>
        <w:spacing w:after="0" w:line="17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RULES APPLICABLE TO AWARDS</w:t>
      </w:r>
    </w:p>
    <w:p>
      <w:pPr>
        <w:spacing w:after="0" w:line="20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All Awards</w:t>
      </w:r>
      <w:r>
        <w:rPr>
          <w:rFonts w:ascii="Arial" w:cs="Arial" w:eastAsia="Arial" w:hAnsi="Arial"/>
          <w:sz w:val="22"/>
          <w:szCs w:val="22"/>
          <w:b w:val="1"/>
          <w:bCs w:val="1"/>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2"/>
          <w:numId w:val="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Award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will determine the terms of all Awards,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174"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2"/>
          <w:numId w:val="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Term of Plan</w:t>
      </w:r>
      <w:r>
        <w:rPr>
          <w:rFonts w:ascii="Arial" w:cs="Arial" w:eastAsia="Arial" w:hAnsi="Arial"/>
          <w:sz w:val="22"/>
          <w:szCs w:val="22"/>
          <w:b w:val="1"/>
          <w:bCs w:val="1"/>
          <w:color w:val="auto"/>
        </w:rPr>
        <w:t xml:space="preserve">. </w:t>
      </w:r>
      <w:r>
        <w:rPr>
          <w:rFonts w:ascii="Arial" w:cs="Arial" w:eastAsia="Arial" w:hAnsi="Arial"/>
          <w:sz w:val="22"/>
          <w:szCs w:val="22"/>
          <w:color w:val="auto"/>
        </w:rPr>
        <w:t>No Awards may be made after 10 years from the Effective Date, but previously</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Awards may continue beyond that date in accordance with their terms. Notwithstanding the foregoing, no ISOs may be granted after 10 years from Date of Adoption.</w:t>
      </w:r>
    </w:p>
    <w:p>
      <w:pPr>
        <w:spacing w:after="0" w:line="169"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2"/>
          <w:numId w:val="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Transferability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ISOs nor, except as the Administrator otherwise expressly provides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the second sentence of this </w:t>
      </w:r>
      <w:r>
        <w:rPr>
          <w:rFonts w:ascii="Arial" w:cs="Arial" w:eastAsia="Arial" w:hAnsi="Arial"/>
          <w:sz w:val="22"/>
          <w:szCs w:val="22"/>
          <w:u w:val="single" w:color="auto"/>
          <w:color w:val="auto"/>
        </w:rPr>
        <w:t>Section 6(a)(iii)</w:t>
      </w:r>
      <w:r>
        <w:rPr>
          <w:rFonts w:ascii="Arial" w:cs="Arial" w:eastAsia="Arial" w:hAnsi="Arial"/>
          <w:sz w:val="22"/>
          <w:szCs w:val="22"/>
          <w:color w:val="auto"/>
        </w:rPr>
        <w:t xml:space="preserve">, other Awards may be transferred other than by will or by the laws of descent and distribution. During a Participant’s lifetime, ISOs (and, except as the Administrator otherwise expressly provides in accordance with the second sentence of this </w:t>
      </w:r>
      <w:r>
        <w:rPr>
          <w:rFonts w:ascii="Arial" w:cs="Arial" w:eastAsia="Arial" w:hAnsi="Arial"/>
          <w:sz w:val="22"/>
          <w:szCs w:val="22"/>
          <w:u w:val="single" w:color="auto"/>
          <w:color w:val="auto"/>
        </w:rPr>
        <w:t>Section 6(a)(iii)</w:t>
      </w:r>
      <w:r>
        <w:rPr>
          <w:rFonts w:ascii="Arial" w:cs="Arial" w:eastAsia="Arial" w:hAnsi="Arial"/>
          <w:sz w:val="22"/>
          <w:szCs w:val="22"/>
          <w:color w:val="auto"/>
        </w:rPr>
        <w:t>, SARs and NSOs) may be exercised only by the Participant. The Administrator may permit the gratuitous transfer (</w:t>
      </w:r>
      <w:r>
        <w:rPr>
          <w:rFonts w:ascii="Arial" w:cs="Arial" w:eastAsia="Arial" w:hAnsi="Arial"/>
          <w:sz w:val="22"/>
          <w:szCs w:val="22"/>
          <w:i w:val="1"/>
          <w:iCs w:val="1"/>
          <w:color w:val="auto"/>
        </w:rPr>
        <w:t>i.e.</w:t>
      </w:r>
      <w:r>
        <w:rPr>
          <w:rFonts w:ascii="Arial" w:cs="Arial" w:eastAsia="Arial" w:hAnsi="Arial"/>
          <w:sz w:val="22"/>
          <w:szCs w:val="22"/>
          <w:color w:val="auto"/>
        </w:rPr>
        <w:t>, transfer not for value) of Awards other than ISOs to any transferee eligible to be covered by the provisions of Form S-8 (under the Securities Act), subject to such limitations as the Administrator may impose.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jc w:val="both"/>
        <w:ind w:left="-757" w:firstLine="1505"/>
        <w:spacing w:after="0" w:line="252" w:lineRule="auto"/>
        <w:tabs>
          <w:tab w:leader="none" w:pos="1280" w:val="left"/>
        </w:tabs>
        <w:numPr>
          <w:ilvl w:val="0"/>
          <w:numId w:val="10"/>
        </w:numPr>
        <w:rPr>
          <w:rFonts w:ascii="Times New Roman" w:cs="Times New Roman" w:eastAsia="Times New Roman" w:hAnsi="Times New Roman"/>
          <w:sz w:val="21"/>
          <w:szCs w:val="21"/>
          <w:color w:val="auto"/>
        </w:rPr>
      </w:pPr>
      <w:r>
        <w:rPr>
          <w:rFonts w:ascii="Arial" w:cs="Arial" w:eastAsia="Arial" w:hAnsi="Arial"/>
          <w:sz w:val="21"/>
          <w:szCs w:val="21"/>
          <w:b w:val="1"/>
          <w:bCs w:val="1"/>
          <w:u w:val="single" w:color="auto"/>
          <w:color w:val="auto"/>
        </w:rPr>
        <w:t>Vesting, etc</w:t>
      </w:r>
      <w:r>
        <w:rPr>
          <w:rFonts w:ascii="Arial" w:cs="Arial" w:eastAsia="Arial" w:hAnsi="Arial"/>
          <w:sz w:val="21"/>
          <w:szCs w:val="21"/>
          <w:b w:val="1"/>
          <w:bCs w:val="1"/>
          <w:color w:val="auto"/>
        </w:rPr>
        <w:t xml:space="preserve">. </w:t>
      </w:r>
      <w:r>
        <w:rPr>
          <w:rFonts w:ascii="Arial" w:cs="Arial" w:eastAsia="Arial" w:hAnsi="Arial"/>
          <w:sz w:val="21"/>
          <w:szCs w:val="21"/>
          <w:color w:val="auto"/>
        </w:rPr>
        <w:t>The Administrator will determine the time or times at which an Award will vest or</w:t>
      </w:r>
      <w:r>
        <w:rPr>
          <w:rFonts w:ascii="Arial" w:cs="Arial" w:eastAsia="Arial" w:hAnsi="Arial"/>
          <w:sz w:val="21"/>
          <w:szCs w:val="21"/>
          <w:b w:val="1"/>
          <w:bCs w:val="1"/>
          <w:color w:val="auto"/>
        </w:rPr>
        <w:t xml:space="preserve"> </w:t>
      </w:r>
      <w:r>
        <w:rPr>
          <w:rFonts w:ascii="Arial" w:cs="Arial" w:eastAsia="Arial" w:hAnsi="Arial"/>
          <w:sz w:val="21"/>
          <w:szCs w:val="21"/>
          <w:color w:val="auto"/>
        </w:rPr>
        <w:t>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163" w:lineRule="exact"/>
        <w:rPr>
          <w:sz w:val="20"/>
          <w:szCs w:val="20"/>
          <w:color w:val="auto"/>
        </w:rPr>
      </w:pPr>
    </w:p>
    <w:p>
      <w:pPr>
        <w:ind w:left="1503"/>
        <w:spacing w:after="0"/>
        <w:rPr>
          <w:sz w:val="20"/>
          <w:szCs w:val="20"/>
          <w:color w:val="auto"/>
        </w:rPr>
      </w:pPr>
      <w:r>
        <w:rPr>
          <w:rFonts w:ascii="Times New Roman" w:cs="Times New Roman" w:eastAsia="Times New Roman" w:hAnsi="Times New Roman"/>
          <w:sz w:val="21"/>
          <w:szCs w:val="21"/>
          <w:color w:val="auto"/>
        </w:rPr>
        <w:t>(A)</w:t>
      </w:r>
      <w:r>
        <w:rPr>
          <w:rFonts w:ascii="Arial" w:cs="Arial" w:eastAsia="Arial" w:hAnsi="Arial"/>
          <w:sz w:val="21"/>
          <w:szCs w:val="21"/>
          <w:color w:val="auto"/>
        </w:rPr>
        <w:t>Immediately upon the cessation of the Participant’s Employment and except as provided in</w:t>
      </w:r>
    </w:p>
    <w:p>
      <w:pPr>
        <w:spacing w:after="0" w:line="22" w:lineRule="exact"/>
        <w:rPr>
          <w:sz w:val="20"/>
          <w:szCs w:val="20"/>
          <w:color w:val="auto"/>
        </w:rPr>
      </w:pPr>
    </w:p>
    <w:p>
      <w:pPr>
        <w:jc w:val="both"/>
        <w:ind w:left="3" w:hanging="3"/>
        <w:spacing w:after="0" w:line="235" w:lineRule="auto"/>
        <w:tabs>
          <w:tab w:leader="none" w:pos="379"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77" w:lineRule="exact"/>
        <w:rPr>
          <w:rFonts w:ascii="Arial" w:cs="Arial" w:eastAsia="Arial" w:hAnsi="Arial"/>
          <w:sz w:val="22"/>
          <w:szCs w:val="22"/>
          <w:color w:val="auto"/>
        </w:rPr>
      </w:pPr>
    </w:p>
    <w:p>
      <w:pPr>
        <w:jc w:val="both"/>
        <w:ind w:left="3" w:firstLine="1494"/>
        <w:spacing w:after="0" w:line="238" w:lineRule="auto"/>
        <w:tabs>
          <w:tab w:leader="none" w:pos="1800" w:val="left"/>
        </w:tabs>
        <w:numPr>
          <w:ilvl w:val="1"/>
          <w:numId w:val="11"/>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w:t>
      </w:r>
      <w:r>
        <w:rPr>
          <w:rFonts w:ascii="Arial" w:cs="Arial" w:eastAsia="Arial" w:hAnsi="Arial"/>
          <w:sz w:val="22"/>
          <w:szCs w:val="22"/>
          <w:u w:val="single" w:color="auto"/>
          <w:color w:val="auto"/>
        </w:rPr>
        <w:t>Section 6(a)(iv)</w:t>
      </w:r>
      <w:r>
        <w:rPr>
          <w:rFonts w:ascii="Arial" w:cs="Arial" w:eastAsia="Arial" w:hAnsi="Arial"/>
          <w:sz w:val="22"/>
          <w:szCs w:val="22"/>
          <w:color w:val="auto"/>
        </w:rPr>
        <w:t>, and will thereupon immediately terminate.</w:t>
      </w:r>
    </w:p>
    <w:p>
      <w:pPr>
        <w:spacing w:after="0" w:line="175" w:lineRule="exact"/>
        <w:rPr>
          <w:rFonts w:ascii="Times New Roman" w:cs="Times New Roman" w:eastAsia="Times New Roman" w:hAnsi="Times New Roman"/>
          <w:sz w:val="22"/>
          <w:szCs w:val="22"/>
          <w:color w:val="auto"/>
        </w:rPr>
      </w:pPr>
    </w:p>
    <w:p>
      <w:pPr>
        <w:jc w:val="both"/>
        <w:ind w:left="3" w:firstLine="1494"/>
        <w:spacing w:after="0" w:line="238" w:lineRule="auto"/>
        <w:tabs>
          <w:tab w:leader="none" w:pos="1800" w:val="left"/>
        </w:tabs>
        <w:numPr>
          <w:ilvl w:val="1"/>
          <w:numId w:val="11"/>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All Stock Options and SARs held by a Participant or the Participant’s permitted transferees,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w:t>
      </w:r>
      <w:r>
        <w:rPr>
          <w:rFonts w:ascii="Arial" w:cs="Arial" w:eastAsia="Arial" w:hAnsi="Arial"/>
          <w:sz w:val="22"/>
          <w:szCs w:val="22"/>
          <w:u w:val="single" w:color="auto"/>
          <w:color w:val="auto"/>
        </w:rPr>
        <w:t>Section 6(a)(iv)</w:t>
      </w:r>
      <w:r>
        <w:rPr>
          <w:rFonts w:ascii="Arial" w:cs="Arial" w:eastAsia="Arial" w:hAnsi="Arial"/>
          <w:sz w:val="22"/>
          <w:szCs w:val="22"/>
          <w:color w:val="auto"/>
        </w:rPr>
        <w:t>, and will thereupon immediately terminate.</w:t>
      </w:r>
    </w:p>
    <w:p>
      <w:pPr>
        <w:spacing w:after="0" w:line="175" w:lineRule="exact"/>
        <w:rPr>
          <w:sz w:val="20"/>
          <w:szCs w:val="20"/>
          <w:color w:val="auto"/>
        </w:rPr>
      </w:pPr>
    </w:p>
    <w:p>
      <w:pPr>
        <w:jc w:val="both"/>
        <w:ind w:left="3" w:firstLine="1497"/>
        <w:spacing w:after="0" w:line="238" w:lineRule="auto"/>
        <w:rPr>
          <w:sz w:val="20"/>
          <w:szCs w:val="20"/>
          <w:color w:val="auto"/>
        </w:rPr>
      </w:pPr>
      <w:r>
        <w:rPr>
          <w:rFonts w:ascii="Times New Roman" w:cs="Times New Roman" w:eastAsia="Times New Roman" w:hAnsi="Times New Roman"/>
          <w:sz w:val="22"/>
          <w:szCs w:val="22"/>
          <w:color w:val="auto"/>
        </w:rPr>
        <w:t>(D)</w:t>
      </w:r>
      <w:r>
        <w:rPr>
          <w:rFonts w:ascii="Arial" w:cs="Arial" w:eastAsia="Arial" w:hAnsi="Arial"/>
          <w:sz w:val="22"/>
          <w:szCs w:val="22"/>
          <w:color w:val="auto"/>
        </w:rPr>
        <w:t>All Stock Options and SARs (whether or not exercisable) held by a Participant or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Participant’s permitted transferees, if any, immediately prior to the cessation of the Participant’s Employment will immediately terminate upon such notice of cessation of Employment if the termination is for Cause or occurs in circumstances that in the sole determination of the Administrator would have constituted grounds for the Participant’s Employment to be terminated for Cause.</w:t>
      </w:r>
    </w:p>
    <w:p>
      <w:pPr>
        <w:spacing w:after="0" w:line="174" w:lineRule="exact"/>
        <w:rPr>
          <w:sz w:val="20"/>
          <w:szCs w:val="20"/>
          <w:color w:val="auto"/>
        </w:rPr>
      </w:pPr>
    </w:p>
    <w:p>
      <w:pPr>
        <w:jc w:val="both"/>
        <w:ind w:left="-757" w:firstLine="1505"/>
        <w:spacing w:after="0" w:line="237" w:lineRule="auto"/>
        <w:tabs>
          <w:tab w:leader="none" w:pos="1280"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Additional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may cancel, rescind, withhold or otherwise limit or</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 any Award at any time if the Participant is not in compliance with all applicable provisions of the Award agreement and the Plan, or if the Participant breaches any agreement with the Company or its Affiliates with respect to confidentiality. Without limiting the generality of the foregoing, the Administrator may recover Awards made under the Plan and payments under or gain in respect of any Award to the extent required to comply with Company policy, including the Company’s Clawback Policy.</w:t>
      </w:r>
    </w:p>
    <w:p>
      <w:pPr>
        <w:spacing w:after="0" w:line="174" w:lineRule="exact"/>
        <w:rPr>
          <w:rFonts w:ascii="Times New Roman" w:cs="Times New Roman" w:eastAsia="Times New Roman" w:hAnsi="Times New Roman"/>
          <w:sz w:val="22"/>
          <w:szCs w:val="22"/>
          <w:color w:val="auto"/>
        </w:rPr>
      </w:pPr>
    </w:p>
    <w:p>
      <w:pPr>
        <w:jc w:val="both"/>
        <w:ind w:left="-757" w:firstLine="1505"/>
        <w:spacing w:after="0" w:line="252" w:lineRule="auto"/>
        <w:tabs>
          <w:tab w:leader="none" w:pos="1280" w:val="left"/>
        </w:tabs>
        <w:numPr>
          <w:ilvl w:val="0"/>
          <w:numId w:val="12"/>
        </w:numPr>
        <w:rPr>
          <w:rFonts w:ascii="Times New Roman" w:cs="Times New Roman" w:eastAsia="Times New Roman" w:hAnsi="Times New Roman"/>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delivery, vesting and retention of Stock, cash or other property under an Award are</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conditioned upon full 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maximum statutory withholding rate).</w:t>
      </w:r>
    </w:p>
    <w:p>
      <w:pPr>
        <w:spacing w:after="0" w:line="162" w:lineRule="exact"/>
        <w:rPr>
          <w:rFonts w:ascii="Times New Roman" w:cs="Times New Roman" w:eastAsia="Times New Roman" w:hAnsi="Times New Roman"/>
          <w:sz w:val="21"/>
          <w:szCs w:val="21"/>
          <w:color w:val="auto"/>
        </w:rPr>
      </w:pPr>
    </w:p>
    <w:p>
      <w:pPr>
        <w:jc w:val="both"/>
        <w:ind w:left="-757" w:firstLine="1505"/>
        <w:spacing w:after="0"/>
        <w:tabs>
          <w:tab w:leader="none" w:pos="1280" w:val="left"/>
        </w:tabs>
        <w:numPr>
          <w:ilvl w:val="0"/>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Dividend Equivalents, Etc</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may provide for the payment of amounts (on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terms and subject to conditions established by the Administrator, except to the extent provided otherwise in this </w:t>
      </w:r>
      <w:r>
        <w:rPr>
          <w:rFonts w:ascii="Arial" w:cs="Arial" w:eastAsia="Arial" w:hAnsi="Arial"/>
          <w:sz w:val="22"/>
          <w:szCs w:val="22"/>
          <w:u w:val="single" w:color="auto"/>
          <w:color w:val="auto"/>
        </w:rPr>
        <w:t>Section 6(a)(vii)</w:t>
      </w:r>
      <w:r>
        <w:rPr>
          <w:rFonts w:ascii="Arial" w:cs="Arial" w:eastAsia="Arial" w:hAnsi="Arial"/>
          <w:sz w:val="22"/>
          <w:szCs w:val="22"/>
          <w:color w:val="auto"/>
        </w:rPr>
        <w:t>) in lieu of cash dividends or other cash distributions with respect to Stock subject to an Award whether or not the holder of such Award is otherwise entitled to share in the actual dividend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836930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59" w:right="3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22"/>
          <w:szCs w:val="22"/>
          <w:color w:val="auto"/>
        </w:rPr>
        <w:t>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shall be subject to the same limits or restrictions as the Awards to which they relate and shall not be payable until such Awards vest. Notwithstanding the foregoing, no Stock Options or SARs shall provide for payment or accrual of dividends or dividend equivalents.</w:t>
      </w:r>
    </w:p>
    <w:p>
      <w:pPr>
        <w:spacing w:after="0" w:line="180" w:lineRule="exact"/>
        <w:rPr>
          <w:sz w:val="20"/>
          <w:szCs w:val="20"/>
          <w:color w:val="auto"/>
        </w:rPr>
      </w:pPr>
    </w:p>
    <w:p>
      <w:pPr>
        <w:jc w:val="both"/>
        <w:ind w:firstLine="1505"/>
        <w:spacing w:after="0" w:line="238" w:lineRule="auto"/>
        <w:tabs>
          <w:tab w:leader="none" w:pos="2036" w:val="left"/>
        </w:tabs>
        <w:numPr>
          <w:ilvl w:val="1"/>
          <w:numId w:val="13"/>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Rights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will be construed as giving any person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7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13"/>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Coordination with Other Plans</w:t>
      </w:r>
      <w:r>
        <w:rPr>
          <w:rFonts w:ascii="Arial" w:cs="Arial" w:eastAsia="Arial" w:hAnsi="Arial"/>
          <w:sz w:val="22"/>
          <w:szCs w:val="22"/>
          <w:b w:val="1"/>
          <w:bCs w:val="1"/>
          <w:color w:val="auto"/>
        </w:rPr>
        <w:t xml:space="preserve">. </w:t>
      </w:r>
      <w:r>
        <w:rPr>
          <w:rFonts w:ascii="Arial" w:cs="Arial" w:eastAsia="Arial" w:hAnsi="Arial"/>
          <w:sz w:val="22"/>
          <w:szCs w:val="22"/>
          <w:color w:val="auto"/>
        </w:rPr>
        <w:t>Awards under the Plan may be granted in tandem with, or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174"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1"/>
          <w:numId w:val="13"/>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Each Award will contain such terms as the Administrator determines, and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and administered, such that the Award either qualifies for an exemption from the requirements of Section 409A or satisfies such requirements.</w:t>
      </w:r>
    </w:p>
    <w:p>
      <w:pPr>
        <w:spacing w:after="0" w:line="16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Stock Options and SARs</w:t>
      </w:r>
      <w:r>
        <w:rPr>
          <w:rFonts w:ascii="Arial" w:cs="Arial" w:eastAsia="Arial" w:hAnsi="Arial"/>
          <w:sz w:val="22"/>
          <w:szCs w:val="22"/>
          <w:b w:val="1"/>
          <w:bCs w:val="1"/>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Time and Manner of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Administrator expressly provides otherwise, no</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174"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Exercise Price</w:t>
      </w:r>
      <w:r>
        <w:rPr>
          <w:rFonts w:ascii="Arial" w:cs="Arial" w:eastAsia="Arial" w:hAnsi="Arial"/>
          <w:sz w:val="22"/>
          <w:szCs w:val="22"/>
          <w:b w:val="1"/>
          <w:bCs w:val="1"/>
          <w:color w:val="auto"/>
        </w:rPr>
        <w:t xml:space="preserve">. </w:t>
      </w:r>
      <w:r>
        <w:rPr>
          <w:rFonts w:ascii="Arial" w:cs="Arial" w:eastAsia="Arial" w:hAnsi="Arial"/>
          <w:sz w:val="22"/>
          <w:szCs w:val="22"/>
          <w:color w:val="auto"/>
        </w:rPr>
        <w:t>The exercise price (or the base value from which appreciation is to be</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of each Award requiring exercise will be no less than 100% (or in the case of an ISO granted to a ten-percent shareholder within the meaning of Section 422, 110%) of the Fair Market Value of the Stock subject to the Award, determined as of the date of grant, or such higher amount as the Administrator may determine in connection with the grant.</w:t>
      </w:r>
    </w:p>
    <w:p>
      <w:pPr>
        <w:spacing w:after="0" w:line="175"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1"/>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Payment of Exercise Price</w:t>
      </w:r>
      <w:r>
        <w:rPr>
          <w:rFonts w:ascii="Arial" w:cs="Arial" w:eastAsia="Arial" w:hAnsi="Arial"/>
          <w:sz w:val="22"/>
          <w:szCs w:val="22"/>
          <w:b w:val="1"/>
          <w:bCs w:val="1"/>
          <w:color w:val="auto"/>
        </w:rPr>
        <w:t xml:space="preserve">. </w:t>
      </w:r>
      <w:r>
        <w:rPr>
          <w:rFonts w:ascii="Arial" w:cs="Arial" w:eastAsia="Arial" w:hAnsi="Arial"/>
          <w:sz w:val="22"/>
          <w:szCs w:val="22"/>
          <w:color w:val="auto"/>
        </w:rPr>
        <w:t>Where the exercise of an Award is to be accompanied by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payment of the exercise price will be by cash or check acceptable to the Administrator or by such other legally permissible means, if any, as may be acceptable to the Administrator.</w:t>
      </w:r>
    </w:p>
    <w:p>
      <w:pPr>
        <w:spacing w:after="0" w:line="169" w:lineRule="exact"/>
        <w:rPr>
          <w:rFonts w:ascii="Times New Roman" w:cs="Times New Roman" w:eastAsia="Times New Roman" w:hAnsi="Times New Roman"/>
          <w:sz w:val="22"/>
          <w:szCs w:val="22"/>
          <w:color w:val="auto"/>
        </w:rPr>
      </w:pPr>
    </w:p>
    <w:p>
      <w:pPr>
        <w:jc w:val="both"/>
        <w:ind w:firstLine="1505"/>
        <w:spacing w:after="0"/>
        <w:tabs>
          <w:tab w:leader="none" w:pos="2036" w:val="left"/>
        </w:tabs>
        <w:numPr>
          <w:ilvl w:val="1"/>
          <w:numId w:val="14"/>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Maximum Term</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Options and SARs will have a maximum term not to exceed 10 years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from the date of grant (or five years from the date of grant in the case of an ISO granted to a ten-percent shareholder described in </w:t>
      </w:r>
      <w:r>
        <w:rPr>
          <w:rFonts w:ascii="Arial" w:cs="Arial" w:eastAsia="Arial" w:hAnsi="Arial"/>
          <w:sz w:val="22"/>
          <w:szCs w:val="22"/>
          <w:u w:val="single" w:color="auto"/>
          <w:color w:val="auto"/>
        </w:rPr>
        <w:t>Section 6(b)(ii)</w:t>
      </w:r>
      <w:r>
        <w:rPr>
          <w:rFonts w:ascii="Arial" w:cs="Arial" w:eastAsia="Arial" w:hAnsi="Arial"/>
          <w:sz w:val="22"/>
          <w:szCs w:val="22"/>
          <w:color w:val="auto"/>
        </w:rPr>
        <w:t xml:space="preserve"> above); provided, however, that, if a Participant still holding an outstanding but unexercised NSO or SAR 10 years from the date of grant (or, in the case of an NSO or SAR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22"/>
          <w:szCs w:val="22"/>
          <w:color w:val="auto"/>
        </w:rPr>
        <w:t>a maximum term of less than 10 years, such maximum term) is prohibited by applicable law from exercising such Stock Options or SARs, and if at such time the Stock is publicly traded (as determined by the Administrator), the maximum term of such Award will instead be deemed to expire on the 30</w:t>
      </w:r>
      <w:r>
        <w:rPr>
          <w:rFonts w:ascii="Arial" w:cs="Arial" w:eastAsia="Arial" w:hAnsi="Arial"/>
          <w:sz w:val="14"/>
          <w:szCs w:val="14"/>
          <w:color w:val="auto"/>
        </w:rPr>
        <w:t>th</w:t>
      </w:r>
      <w:r>
        <w:rPr>
          <w:rFonts w:ascii="Arial" w:cs="Arial" w:eastAsia="Arial" w:hAnsi="Arial"/>
          <w:sz w:val="22"/>
          <w:szCs w:val="22"/>
          <w:color w:val="auto"/>
        </w:rPr>
        <w:t xml:space="preserve"> day following the date the Participant is no longer prohibited from engaging in such open market sales.</w:t>
      </w:r>
    </w:p>
    <w:p>
      <w:pPr>
        <w:spacing w:after="0" w:line="174" w:lineRule="exact"/>
        <w:rPr>
          <w:sz w:val="20"/>
          <w:szCs w:val="20"/>
          <w:color w:val="auto"/>
        </w:rPr>
      </w:pPr>
    </w:p>
    <w:p>
      <w:pPr>
        <w:jc w:val="both"/>
        <w:ind w:firstLine="1505"/>
        <w:spacing w:after="0" w:line="236" w:lineRule="auto"/>
        <w:tabs>
          <w:tab w:leader="none" w:pos="2036" w:val="left"/>
        </w:tabs>
        <w:numPr>
          <w:ilvl w:val="2"/>
          <w:numId w:val="15"/>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No Repricing without Stockholder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not, without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approval (except in the case of a change in the Company’s capitalization (as described in </w:t>
      </w:r>
      <w:r>
        <w:rPr>
          <w:rFonts w:ascii="Arial" w:cs="Arial" w:eastAsia="Arial" w:hAnsi="Arial"/>
          <w:sz w:val="22"/>
          <w:szCs w:val="22"/>
          <w:u w:val="single" w:color="auto"/>
          <w:color w:val="auto"/>
        </w:rPr>
        <w:t>Section 7(b)</w:t>
      </w:r>
      <w:r>
        <w:rPr>
          <w:rFonts w:ascii="Arial" w:cs="Arial" w:eastAsia="Arial" w:hAnsi="Arial"/>
          <w:sz w:val="22"/>
          <w:szCs w:val="22"/>
          <w:color w:val="auto"/>
        </w:rPr>
        <w:t>), (A) reduce the exercise price of a Stock Option or SAR, (B) other than in the case of Covered Transaction, at any time when the exercise price of a Stock Option or SAR is above the Fair Market Value of a share of Stock, cancel and re-grant or exchange such Stock Option or SAR for cash or a new Award having a lower (or no) exercise price, or (c) take any other action with respect to an Award that would be treated as a repricing under generally accepted accounting principles.</w:t>
      </w:r>
    </w:p>
    <w:p>
      <w:pPr>
        <w:spacing w:after="0" w:line="174"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2"/>
          <w:numId w:val="15"/>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No Reload Grants</w:t>
      </w:r>
      <w:r>
        <w:rPr>
          <w:rFonts w:ascii="Arial" w:cs="Arial" w:eastAsia="Arial" w:hAnsi="Arial"/>
          <w:sz w:val="22"/>
          <w:szCs w:val="22"/>
          <w:color w:val="auto"/>
        </w:rPr>
        <w:t>. Stock Options shall not be granted under the Plan in consideration for,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conditioned upon the delivery of, shares of Stock to the Company in payment of the exercise price and/or tax withholding obligation under any other employee stock option.</w:t>
      </w:r>
    </w:p>
    <w:p>
      <w:pPr>
        <w:spacing w:after="0" w:line="16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6"/>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EFFECT OF CERTAIN TRANSACTIONS</w:t>
      </w:r>
    </w:p>
    <w:p>
      <w:pPr>
        <w:spacing w:after="0" w:line="205" w:lineRule="exact"/>
        <w:rPr>
          <w:rFonts w:ascii="Times New Roman" w:cs="Times New Roman" w:eastAsia="Times New Roman" w:hAnsi="Times New Roman"/>
          <w:sz w:val="22"/>
          <w:szCs w:val="22"/>
          <w:b w:val="1"/>
          <w:bCs w:val="1"/>
          <w:color w:val="auto"/>
        </w:rPr>
      </w:pPr>
    </w:p>
    <w:p>
      <w:pPr>
        <w:ind w:firstLine="757"/>
        <w:spacing w:after="0" w:line="260" w:lineRule="auto"/>
        <w:tabs>
          <w:tab w:leader="none" w:pos="1018" w:val="left"/>
        </w:tabs>
        <w:numPr>
          <w:ilvl w:val="1"/>
          <w:numId w:val="1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Mergers,</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etc</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an Award agreement, the following provisions will apply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of a Covered Transaction:</w:t>
      </w:r>
    </w:p>
    <w:p>
      <w:pPr>
        <w:spacing w:after="0" w:line="152"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2"/>
          <w:numId w:val="1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Assumption or Substitution</w:t>
      </w:r>
      <w:r>
        <w:rPr>
          <w:rFonts w:ascii="Arial" w:cs="Arial" w:eastAsia="Arial" w:hAnsi="Arial"/>
          <w:sz w:val="22"/>
          <w:szCs w:val="22"/>
          <w:b w:val="1"/>
          <w:bCs w:val="1"/>
          <w:color w:val="auto"/>
        </w:rPr>
        <w:t xml:space="preserve">. </w:t>
      </w:r>
      <w:r>
        <w:rPr>
          <w:rFonts w:ascii="Arial" w:cs="Arial" w:eastAsia="Arial" w:hAnsi="Arial"/>
          <w:sz w:val="22"/>
          <w:szCs w:val="22"/>
          <w:color w:val="auto"/>
        </w:rPr>
        <w:t>If the Covered Transaction is one in which there is an acquiring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 Notwithstanding any provision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in the event of a Covered Transaction in which the acquiring or surviving entity does not assume or continue outstanding Awards or provide for the grant of new awards in substitution therefor, all Awards that are not assumed, continued or substituted for shall be treated as follows effective immediately prior to the Covered Transaction: (A) in the case of a Stock Option or SAR, the Participant shall have the ability to exercise such Stock Option or SAR, including any portion of the Stock Option or SAR not previously exercisable, (B) in the case of any Award the vesting of which is in whole or in part subject to Performance Criteria,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any other Award all conditions to the grant, issuance, retention, vesting or transferability of, or any other restrictions applicable to, such Award shall immediately lapse. In no event shall any action be taken pursuant to this </w:t>
      </w:r>
      <w:r>
        <w:rPr>
          <w:rFonts w:ascii="Arial" w:cs="Arial" w:eastAsia="Arial" w:hAnsi="Arial"/>
          <w:sz w:val="22"/>
          <w:szCs w:val="22"/>
          <w:u w:val="single" w:color="auto"/>
          <w:color w:val="auto"/>
        </w:rPr>
        <w:t>Section 7(a)(i)</w:t>
      </w:r>
      <w:r>
        <w:rPr>
          <w:rFonts w:ascii="Arial" w:cs="Arial" w:eastAsia="Arial" w:hAnsi="Arial"/>
          <w:sz w:val="22"/>
          <w:szCs w:val="22"/>
          <w:color w:val="auto"/>
        </w:rPr>
        <w:t xml:space="preserve"> that would change the payment or settlement date of an Award in a manner that would result in the imposition of any additional taxes or penalties pursuant to Section 409A of the Code.</w:t>
      </w:r>
    </w:p>
    <w:p>
      <w:pPr>
        <w:spacing w:after="0" w:line="18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2"/>
          <w:numId w:val="1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Cash-Out of Awards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7(a)(v)</w:t>
      </w:r>
      <w:r>
        <w:rPr>
          <w:rFonts w:ascii="Arial" w:cs="Arial" w:eastAsia="Arial" w:hAnsi="Arial"/>
          <w:sz w:val="22"/>
          <w:szCs w:val="22"/>
          <w:b w:val="1"/>
          <w:bCs w:val="1"/>
          <w:color w:val="auto"/>
        </w:rPr>
        <w:t xml:space="preserve"> </w:t>
      </w:r>
      <w:r>
        <w:rPr>
          <w:rFonts w:ascii="Arial" w:cs="Arial" w:eastAsia="Arial" w:hAnsi="Arial"/>
          <w:sz w:val="22"/>
          <w:szCs w:val="22"/>
          <w:color w:val="auto"/>
        </w:rPr>
        <w:t>below the Administrator may (but,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avoidance of doubt, need not) provide for payment (a “</w:t>
      </w:r>
      <w:r>
        <w:rPr>
          <w:rFonts w:ascii="Arial" w:cs="Arial" w:eastAsia="Arial" w:hAnsi="Arial"/>
          <w:sz w:val="22"/>
          <w:szCs w:val="22"/>
          <w:b w:val="1"/>
          <w:bCs w:val="1"/>
          <w:color w:val="auto"/>
        </w:rPr>
        <w:t>cash-out</w:t>
      </w:r>
      <w:r>
        <w:rPr>
          <w:rFonts w:ascii="Arial" w:cs="Arial" w:eastAsia="Arial" w:hAnsi="Arial"/>
          <w:sz w:val="22"/>
          <w:szCs w:val="22"/>
          <w:color w:val="auto"/>
        </w:rPr>
        <w: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 w:name="page9"/>
    <w:bookmarkEnd w:id="8"/>
    <w:p>
      <w:pPr>
        <w:jc w:val="both"/>
        <w:spacing w:after="0"/>
        <w:rPr>
          <w:sz w:val="20"/>
          <w:szCs w:val="20"/>
          <w:color w:val="auto"/>
        </w:rPr>
      </w:pPr>
      <w:r>
        <w:rPr>
          <w:rFonts w:ascii="Arial" w:cs="Arial" w:eastAsia="Arial" w:hAnsi="Arial"/>
          <w:sz w:val="22"/>
          <w:szCs w:val="22"/>
          <w:color w:val="auto"/>
        </w:rPr>
        <w:t>payment to holders of Stock) and other terms, and subject to such conditions, as the Administrator determines; provided, however, that if the fair market value of one share of Stock (as determined by the Administrator in its reasonable discretion) does not exceed the exercise price of such Award, then the Award shall be cancelled without any payment of consideration therefor.</w:t>
      </w:r>
    </w:p>
    <w:p>
      <w:pPr>
        <w:spacing w:after="0" w:line="174" w:lineRule="exact"/>
        <w:rPr>
          <w:sz w:val="20"/>
          <w:szCs w:val="20"/>
          <w:color w:val="auto"/>
        </w:rPr>
      </w:pPr>
    </w:p>
    <w:p>
      <w:pPr>
        <w:jc w:val="both"/>
        <w:ind w:firstLine="1505"/>
        <w:spacing w:after="0" w:line="236" w:lineRule="auto"/>
        <w:tabs>
          <w:tab w:leader="none" w:pos="2036" w:val="left"/>
        </w:tabs>
        <w:numPr>
          <w:ilvl w:val="1"/>
          <w:numId w:val="1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Acceleration of Certain Awards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7(a)(v)</w:t>
      </w:r>
      <w:r>
        <w:rPr>
          <w:rFonts w:ascii="Arial" w:cs="Arial" w:eastAsia="Arial" w:hAnsi="Arial"/>
          <w:sz w:val="22"/>
          <w:szCs w:val="22"/>
          <w:b w:val="1"/>
          <w:bCs w:val="1"/>
          <w:color w:val="auto"/>
        </w:rPr>
        <w:t xml:space="preserve"> </w:t>
      </w:r>
      <w:r>
        <w:rPr>
          <w:rFonts w:ascii="Arial" w:cs="Arial" w:eastAsia="Arial" w:hAnsi="Arial"/>
          <w:sz w:val="22"/>
          <w:szCs w:val="22"/>
          <w:color w:val="auto"/>
        </w:rPr>
        <w:t>below, the Administrator may (but,</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174" w:lineRule="exact"/>
        <w:rPr>
          <w:rFonts w:ascii="Times New Roman" w:cs="Times New Roman" w:eastAsia="Times New Roman" w:hAnsi="Times New Roman"/>
          <w:sz w:val="22"/>
          <w:szCs w:val="22"/>
          <w:color w:val="auto"/>
        </w:rPr>
      </w:pPr>
    </w:p>
    <w:p>
      <w:pPr>
        <w:jc w:val="both"/>
        <w:ind w:firstLine="1505"/>
        <w:spacing w:after="0"/>
        <w:tabs>
          <w:tab w:leader="none" w:pos="2036" w:val="left"/>
        </w:tabs>
        <w:numPr>
          <w:ilvl w:val="1"/>
          <w:numId w:val="1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Termination of Awards Upon Consummation of Covered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Administrator may otherwise determine in any case, each Award will automatically terminate (and in the case of outstanding shares of Restricted Stock, will automatically be forfeited) upon consummation of the Covered Transaction, other than Awards assumed or continued pursuant to </w:t>
      </w:r>
      <w:r>
        <w:rPr>
          <w:rFonts w:ascii="Arial" w:cs="Arial" w:eastAsia="Arial" w:hAnsi="Arial"/>
          <w:sz w:val="22"/>
          <w:szCs w:val="22"/>
          <w:u w:val="single" w:color="auto"/>
          <w:color w:val="auto"/>
        </w:rPr>
        <w:t>Section 7(a)(i)</w:t>
      </w:r>
      <w:r>
        <w:rPr>
          <w:rFonts w:ascii="Arial" w:cs="Arial" w:eastAsia="Arial" w:hAnsi="Arial"/>
          <w:sz w:val="22"/>
          <w:szCs w:val="22"/>
          <w:color w:val="auto"/>
        </w:rPr>
        <w:t xml:space="preserve"> above.</w:t>
      </w:r>
    </w:p>
    <w:p>
      <w:pPr>
        <w:spacing w:after="0" w:line="175"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1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Additional Limitations</w:t>
      </w:r>
      <w:r>
        <w:rPr>
          <w:rFonts w:ascii="Arial" w:cs="Arial" w:eastAsia="Arial" w:hAnsi="Arial"/>
          <w:sz w:val="22"/>
          <w:szCs w:val="22"/>
          <w:b w:val="1"/>
          <w:bCs w:val="1"/>
          <w:color w:val="auto"/>
        </w:rPr>
        <w:t xml:space="preserve">. </w:t>
      </w:r>
      <w:r>
        <w:rPr>
          <w:rFonts w:ascii="Arial" w:cs="Arial" w:eastAsia="Arial" w:hAnsi="Arial"/>
          <w:sz w:val="22"/>
          <w:szCs w:val="22"/>
          <w:color w:val="auto"/>
        </w:rPr>
        <w:t>Any share of Stock and any cash or other property delivered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w:t>
      </w:r>
      <w:r>
        <w:rPr>
          <w:rFonts w:ascii="Arial" w:cs="Arial" w:eastAsia="Arial" w:hAnsi="Arial"/>
          <w:sz w:val="22"/>
          <w:szCs w:val="22"/>
          <w:u w:val="single" w:color="auto"/>
          <w:color w:val="auto"/>
        </w:rPr>
        <w:t>Section 7(a)(ii)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7(a)(iii)</w:t>
      </w:r>
      <w:r>
        <w:rPr>
          <w:rFonts w:ascii="Arial" w:cs="Arial" w:eastAsia="Arial" w:hAnsi="Arial"/>
          <w:sz w:val="22"/>
          <w:szCs w:val="22"/>
          <w:color w:val="auto"/>
        </w:rPr>
        <w:t xml:space="preserve"> above with respect to an Award may, in the discretion of the Administrator, contain such restrictions, if any, as the Administrator deems appropriate to reflect any Performance Criteria or other vesting conditions to which the Award was subject and that did not lapse (and were not satisfied) in connection with the Covered Transaction. For purposes of the immediately preceding sentence, a cash-out under </w:t>
      </w:r>
      <w:r>
        <w:rPr>
          <w:rFonts w:ascii="Arial" w:cs="Arial" w:eastAsia="Arial" w:hAnsi="Arial"/>
          <w:sz w:val="22"/>
          <w:szCs w:val="22"/>
          <w:u w:val="single" w:color="auto"/>
          <w:color w:val="auto"/>
        </w:rPr>
        <w:t>Section 7(a)(ii)</w:t>
      </w:r>
      <w:r>
        <w:rPr>
          <w:rFonts w:ascii="Arial" w:cs="Arial" w:eastAsia="Arial" w:hAnsi="Arial"/>
          <w:sz w:val="22"/>
          <w:szCs w:val="22"/>
          <w:color w:val="auto"/>
        </w:rPr>
        <w:t xml:space="preserve"> above or acceleration under </w:t>
      </w:r>
      <w:r>
        <w:rPr>
          <w:rFonts w:ascii="Arial" w:cs="Arial" w:eastAsia="Arial" w:hAnsi="Arial"/>
          <w:sz w:val="22"/>
          <w:szCs w:val="22"/>
          <w:u w:val="single" w:color="auto"/>
          <w:color w:val="auto"/>
        </w:rPr>
        <w:t>Section 7(a)(iii)</w:t>
      </w:r>
      <w:r>
        <w:rPr>
          <w:rFonts w:ascii="Arial" w:cs="Arial" w:eastAsia="Arial" w:hAnsi="Arial"/>
          <w:sz w:val="22"/>
          <w:szCs w:val="22"/>
          <w:color w:val="auto"/>
        </w:rPr>
        <w:t xml:space="preserve"> above will not, in and of itself, be treated as the lapsing (or satisfaction) of a Performance Criteria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74"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Changes in and Distributions With Respect to Stock</w:t>
      </w:r>
      <w:r>
        <w:rPr>
          <w:rFonts w:ascii="Arial" w:cs="Arial" w:eastAsia="Arial" w:hAnsi="Arial"/>
          <w:sz w:val="22"/>
          <w:szCs w:val="22"/>
          <w:b w:val="1"/>
          <w:bCs w:val="1"/>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1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Basic Adjustment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 stock dividend, stock split or combination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shares (including a reverse stock split), recapitalization or other change in the Company’s capital structure that constitutes an equity restructuring within the meaning of FASB ASC 718, the Administrator will make appropriate adjustments to the maximum number of shares specified in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that may be delivered under the Plan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74"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1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Certain Other 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may also make adjustments of the type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described in </w:t>
      </w:r>
      <w:r>
        <w:rPr>
          <w:rFonts w:ascii="Arial" w:cs="Arial" w:eastAsia="Arial" w:hAnsi="Arial"/>
          <w:sz w:val="22"/>
          <w:szCs w:val="22"/>
          <w:u w:val="single" w:color="auto"/>
          <w:color w:val="auto"/>
        </w:rPr>
        <w:t>Section 7(b)(i)</w:t>
      </w:r>
      <w:r>
        <w:rPr>
          <w:rFonts w:ascii="Arial" w:cs="Arial" w:eastAsia="Arial" w:hAnsi="Arial"/>
          <w:sz w:val="22"/>
          <w:szCs w:val="22"/>
          <w:color w:val="auto"/>
        </w:rPr>
        <w:t xml:space="preserve"> above to take into account distributions to stockholders other than those provided for in </w:t>
      </w:r>
      <w:r>
        <w:rPr>
          <w:rFonts w:ascii="Arial" w:cs="Arial" w:eastAsia="Arial" w:hAnsi="Arial"/>
          <w:sz w:val="22"/>
          <w:szCs w:val="22"/>
          <w:u w:val="single" w:color="auto"/>
          <w:color w:val="auto"/>
        </w:rPr>
        <w:t>Section 7(a)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7(b)(i),</w:t>
      </w:r>
      <w:r>
        <w:rPr>
          <w:rFonts w:ascii="Arial" w:cs="Arial" w:eastAsia="Arial" w:hAnsi="Arial"/>
          <w:sz w:val="22"/>
          <w:szCs w:val="22"/>
          <w:color w:val="auto"/>
        </w:rPr>
        <w:t xml:space="preserve"> or any other event, if the Administrator determines that adjustments are appropriate to avoid distortion in the operation of the Plan, having due regard for the qualification of ISOs under Section 422 and the requirements of Section 409A, where applicable.</w:t>
      </w:r>
    </w:p>
    <w:p>
      <w:pPr>
        <w:spacing w:after="0" w:line="175" w:lineRule="exact"/>
        <w:rPr>
          <w:rFonts w:ascii="Times New Roman" w:cs="Times New Roman" w:eastAsia="Times New Roman" w:hAnsi="Times New Roman"/>
          <w:sz w:val="22"/>
          <w:szCs w:val="22"/>
          <w:color w:val="auto"/>
        </w:rPr>
      </w:pPr>
    </w:p>
    <w:p>
      <w:pPr>
        <w:ind w:firstLine="1505"/>
        <w:spacing w:after="0" w:line="260" w:lineRule="auto"/>
        <w:tabs>
          <w:tab w:leader="none" w:pos="2036" w:val="left"/>
        </w:tabs>
        <w:numPr>
          <w:ilvl w:val="1"/>
          <w:numId w:val="1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Continuing Application of Plan Terms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References in the Plan to shares of Stock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construed to include any stock or securities resulting from an adjustment pursuant to this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822325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 w:name="page10"/>
    <w:bookmarkEnd w:id="9"/>
    <w:p>
      <w:pPr>
        <w:ind w:left="520" w:hanging="512"/>
        <w:spacing w:after="0"/>
        <w:tabs>
          <w:tab w:leader="none" w:pos="520" w:val="left"/>
        </w:tabs>
        <w:numPr>
          <w:ilvl w:val="0"/>
          <w:numId w:val="19"/>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LEGAL CONDITIONS ON DELIVERY OF STOCK</w:t>
      </w:r>
    </w:p>
    <w:p>
      <w:pPr>
        <w:spacing w:after="0" w:line="20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Company will not be obligated to deliver any shares of Stock pursuant to the Plan or to remove any restriction from shares of Stock previously delivered under the Plan until: (a) the Company is satisfied that all legal matters in connection with the issuance and delivery of such shares have been addressed and resolved; (b) if the outstanding Stock is at the time of delivery listed on any stock exchange or national market system, the shares to be delivered have been listed or authorized to be listed on such exchange or system upon official notice of issuance; and</w:t>
      </w:r>
    </w:p>
    <w:p>
      <w:pPr>
        <w:spacing w:after="0" w:line="2" w:lineRule="exact"/>
        <w:rPr>
          <w:sz w:val="20"/>
          <w:szCs w:val="20"/>
          <w:color w:val="auto"/>
        </w:rPr>
      </w:pPr>
    </w:p>
    <w:p>
      <w:pPr>
        <w:jc w:val="both"/>
        <w:ind w:firstLine="8"/>
        <w:spacing w:after="0" w:line="232" w:lineRule="auto"/>
        <w:tabs>
          <w:tab w:leader="none" w:pos="321"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conditions of the Award have been satisfied or waived. The Company may require, as a condition to exercise of the Award, such representations or agreements as counsel for the Company may consider appropriate to avoid violation of the Securities Act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8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AMENDMENT AND TERMINATION</w:t>
      </w:r>
    </w:p>
    <w:p>
      <w:pPr>
        <w:spacing w:after="0" w:line="20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spacing w:after="0" w:line="168"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OTHER COMPENSATION ARRANGEMENTS</w:t>
      </w:r>
    </w:p>
    <w:p>
      <w:pPr>
        <w:spacing w:after="0" w:line="207"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color w:val="auto"/>
        </w:rPr>
        <w:t>The existence of the Plan or the grant of any Award will not in any way affect the Company’s right to Award a person bonuses or other compensation in addition to Awards under the Plan.</w:t>
      </w:r>
    </w:p>
    <w:p>
      <w:pPr>
        <w:spacing w:after="0" w:line="154"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MISCELLANEOUS</w:t>
      </w:r>
    </w:p>
    <w:p>
      <w:pPr>
        <w:spacing w:after="0" w:line="205" w:lineRule="exact"/>
        <w:rPr>
          <w:rFonts w:ascii="Times New Roman" w:cs="Times New Roman" w:eastAsia="Times New Roman" w:hAnsi="Times New Roman"/>
          <w:sz w:val="22"/>
          <w:szCs w:val="22"/>
          <w:b w:val="1"/>
          <w:bCs w:val="1"/>
          <w:color w:val="auto"/>
        </w:rPr>
      </w:pPr>
    </w:p>
    <w:p>
      <w:pPr>
        <w:jc w:val="both"/>
        <w:ind w:firstLine="757"/>
        <w:spacing w:after="0" w:line="245" w:lineRule="auto"/>
        <w:tabs>
          <w:tab w:leader="none" w:pos="1018" w:val="left"/>
        </w:tabs>
        <w:numPr>
          <w:ilvl w:val="1"/>
          <w:numId w:val="23"/>
        </w:numPr>
        <w:rPr>
          <w:rFonts w:ascii="Times New Roman" w:cs="Times New Roman" w:eastAsia="Times New Roman" w:hAnsi="Times New Roman"/>
          <w:sz w:val="21"/>
          <w:szCs w:val="21"/>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xml:space="preserve">. </w:t>
      </w:r>
      <w:r>
        <w:rPr>
          <w:rFonts w:ascii="Arial" w:cs="Arial" w:eastAsia="Arial" w:hAnsi="Arial"/>
          <w:sz w:val="21"/>
          <w:szCs w:val="21"/>
          <w:color w:val="auto"/>
        </w:rPr>
        <w:t>By accepting an Award under the Plan and to the extent permitted under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law,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0" w:name="page11"/>
    <w:bookmarkEnd w:id="10"/>
    <w:p>
      <w:pPr>
        <w:jc w:val="both"/>
        <w:ind w:firstLine="757"/>
        <w:spacing w:after="0" w:line="237" w:lineRule="auto"/>
        <w:tabs>
          <w:tab w:leader="none" w:pos="1018" w:val="left"/>
        </w:tabs>
        <w:numPr>
          <w:ilvl w:val="1"/>
          <w:numId w:val="24"/>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Limitation of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to the contrary in the Plan, neither the Company,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17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5"/>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ESTABLISHMENT OF SUB-PLANS</w:t>
      </w:r>
    </w:p>
    <w:p>
      <w:pPr>
        <w:spacing w:after="0" w:line="20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(a) such limitations on the Administrator’s discretion under the Plan as it deems necessary or desirable and (b)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174"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GOVERNING LAW</w:t>
      </w:r>
    </w:p>
    <w:p>
      <w:pPr>
        <w:spacing w:after="0" w:line="205"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1"/>
          <w:numId w:val="2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Certain Requirements of Corporate Law</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be granted and administered consistent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5"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1"/>
          <w:numId w:val="2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Other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Except as otherwise provided by the express terms of an Award agreement, under a sub-plan described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or as provided in </w:t>
      </w:r>
      <w:r>
        <w:rPr>
          <w:rFonts w:ascii="Arial" w:cs="Arial" w:eastAsia="Arial" w:hAnsi="Arial"/>
          <w:sz w:val="22"/>
          <w:szCs w:val="22"/>
          <w:u w:val="single" w:color="auto"/>
          <w:color w:val="auto"/>
        </w:rPr>
        <w:t>Section 13(a)</w:t>
      </w:r>
      <w:r>
        <w:rPr>
          <w:rFonts w:ascii="Arial" w:cs="Arial" w:eastAsia="Arial" w:hAnsi="Arial"/>
          <w:sz w:val="22"/>
          <w:szCs w:val="22"/>
          <w:color w:val="auto"/>
        </w:rPr>
        <w:t xml:space="preserve">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174"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1"/>
          <w:numId w:val="2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By accepting an Award, each Participant will be deemed to (a) have submitted irrevocably</w:t>
      </w:r>
      <w:r>
        <w:rPr>
          <w:rFonts w:ascii="Arial" w:cs="Arial" w:eastAsia="Arial" w:hAnsi="Arial"/>
          <w:sz w:val="22"/>
          <w:szCs w:val="22"/>
          <w:b w:val="1"/>
          <w:bCs w:val="1"/>
          <w:color w:val="auto"/>
        </w:rPr>
        <w:t xml:space="preserve"> </w:t>
      </w:r>
      <w:r>
        <w:rPr>
          <w:rFonts w:ascii="Arial" w:cs="Arial" w:eastAsia="Arial" w:hAnsi="Arial"/>
          <w:sz w:val="22"/>
          <w:szCs w:val="22"/>
          <w:color w:val="auto"/>
        </w:rPr>
        <w:t>and unconditionally to the jurisdiction of the federal and state courts located within the geographic boundaries of the United States District Court for the Northern District of California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Northern District of California;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1" w:name="page12"/>
    <w:bookmarkEnd w:id="11"/>
    <w:p>
      <w:pPr>
        <w:ind w:left="510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4640"/>
        <w:spacing w:after="0"/>
        <w:rPr>
          <w:sz w:val="20"/>
          <w:szCs w:val="20"/>
          <w:color w:val="auto"/>
        </w:rPr>
      </w:pPr>
      <w:r>
        <w:rPr>
          <w:rFonts w:ascii="Arial" w:cs="Arial" w:eastAsia="Arial" w:hAnsi="Arial"/>
          <w:sz w:val="22"/>
          <w:szCs w:val="22"/>
          <w:b w:val="1"/>
          <w:bCs w:val="1"/>
          <w:u w:val="single" w:color="auto"/>
          <w:color w:val="auto"/>
        </w:rPr>
        <w:t>Definition of Terms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1"/>
          <w:szCs w:val="21"/>
          <w:color w:val="auto"/>
        </w:rPr>
        <w:t>The following terms, when used in the Plan, will have the meanings and be subject to the provisions set forth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“Administrator”: </w:t>
      </w:r>
      <w:r>
        <w:rPr>
          <w:rFonts w:ascii="Arial" w:cs="Arial" w:eastAsia="Arial" w:hAnsi="Arial"/>
          <w:sz w:val="22"/>
          <w:szCs w:val="22"/>
          <w:color w:val="auto"/>
        </w:rPr>
        <w:t>The Compensation Committee, except that the Compensation Committee may,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delegate (i) to one or more of its members (or one or more other members of the Board (including the full Board)) such of its duties, powers and responsibilities as it may determine; (ii) to one or more officers or Employees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7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Any corporation or other entity that stands in a relationship to the Company that would result in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such corporation or other entity being treated as one employer under Section 414(b) and Section 414(c) of the Code.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Any or a combination of the following:</w:t>
      </w:r>
    </w:p>
    <w:p>
      <w:pPr>
        <w:spacing w:after="0" w:line="208" w:lineRule="exact"/>
        <w:rPr>
          <w:sz w:val="20"/>
          <w:szCs w:val="20"/>
          <w:color w:val="auto"/>
        </w:rPr>
      </w:pPr>
    </w:p>
    <w:p>
      <w:pPr>
        <w:ind w:left="1980" w:hanging="475"/>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Stock Options.</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SARs.</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Restricted Stock.</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Unrestricted Stock.</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Stock Units, including Restricted Stock Units.</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Performance Awards.</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Cash Awards.</w:t>
      </w:r>
    </w:p>
    <w:p>
      <w:pPr>
        <w:spacing w:after="0" w:line="206" w:lineRule="exact"/>
        <w:rPr>
          <w:rFonts w:ascii="Arial" w:cs="Arial" w:eastAsia="Arial" w:hAnsi="Arial"/>
          <w:sz w:val="22"/>
          <w:szCs w:val="22"/>
          <w:color w:val="auto"/>
        </w:rPr>
      </w:pPr>
    </w:p>
    <w:p>
      <w:pPr>
        <w:ind w:left="760" w:right="40" w:firstLine="745"/>
        <w:spacing w:after="0" w:line="259" w:lineRule="auto"/>
        <w:tabs>
          <w:tab w:leader="none" w:pos="2469" w:val="left"/>
        </w:tabs>
        <w:numPr>
          <w:ilvl w:val="0"/>
          <w:numId w:val="27"/>
        </w:numPr>
        <w:rPr>
          <w:rFonts w:ascii="Arial" w:cs="Arial" w:eastAsia="Arial" w:hAnsi="Arial"/>
          <w:sz w:val="22"/>
          <w:szCs w:val="22"/>
          <w:color w:val="auto"/>
        </w:rPr>
      </w:pPr>
      <w:r>
        <w:rPr>
          <w:rFonts w:ascii="Arial" w:cs="Arial" w:eastAsia="Arial" w:hAnsi="Arial"/>
          <w:sz w:val="22"/>
          <w:szCs w:val="22"/>
          <w:color w:val="auto"/>
        </w:rPr>
        <w:t>Awards (other than Awards described in (i) through (vii) above) that are convertible into or otherwise based on Stock.</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The Board of Directors of the 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“Cash Award”: </w:t>
      </w:r>
      <w:r>
        <w:rPr>
          <w:rFonts w:ascii="Arial" w:cs="Arial" w:eastAsia="Arial" w:hAnsi="Arial"/>
          <w:sz w:val="22"/>
          <w:szCs w:val="22"/>
          <w:color w:val="auto"/>
        </w:rPr>
        <w:t>An Award denominated in cash.</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In the case of any Participant who is party to an employment or severance-benefit agreement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contains a definition of “Cause,” the definition set forth in such agreement will apply with respect to such Participant under the Plan.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836930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2" w:name="page13"/>
    <w:bookmarkEnd w:id="12"/>
    <w:p>
      <w:pPr>
        <w:jc w:val="both"/>
        <w:spacing w:after="0" w:line="236" w:lineRule="auto"/>
        <w:rPr>
          <w:sz w:val="20"/>
          <w:szCs w:val="20"/>
          <w:color w:val="auto"/>
        </w:rPr>
      </w:pPr>
      <w:r>
        <w:rPr>
          <w:rFonts w:ascii="Arial" w:cs="Arial" w:eastAsia="Arial" w:hAnsi="Arial"/>
          <w:sz w:val="22"/>
          <w:szCs w:val="22"/>
          <w:color w:val="auto"/>
        </w:rPr>
        <w:t>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spacing w:after="0" w:line="18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The U.S. Internal Revenue Code of 1986 as from time to time amended and in effect,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statute as from time to time in effect.</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Ultragenyx Pharmaceutical Inc., and except as utilized in the definition of Covered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any successor corporation.</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“Compensation Committee”: </w:t>
      </w:r>
      <w:r>
        <w:rPr>
          <w:rFonts w:ascii="Arial" w:cs="Arial" w:eastAsia="Arial" w:hAnsi="Arial"/>
          <w:sz w:val="22"/>
          <w:szCs w:val="22"/>
          <w:color w:val="auto"/>
        </w:rPr>
        <w:t>The Compensation Committee of the Board.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“Covered Transaction”: </w:t>
      </w:r>
      <w:r>
        <w:rPr>
          <w:rFonts w:ascii="Arial" w:cs="Arial" w:eastAsia="Arial" w:hAnsi="Arial"/>
          <w:sz w:val="22"/>
          <w:szCs w:val="22"/>
          <w:color w:val="auto"/>
        </w:rPr>
        <w:t>The occurrence of any one of the following events:</w:t>
      </w:r>
    </w:p>
    <w:p>
      <w:pPr>
        <w:spacing w:after="0" w:line="208" w:lineRule="exact"/>
        <w:rPr>
          <w:sz w:val="20"/>
          <w:szCs w:val="20"/>
          <w:color w:val="auto"/>
        </w:rPr>
      </w:pPr>
    </w:p>
    <w:p>
      <w:pPr>
        <w:jc w:val="both"/>
        <w:ind w:left="760" w:firstLine="745"/>
        <w:spacing w:after="0" w:line="235" w:lineRule="auto"/>
        <w:tabs>
          <w:tab w:leader="none" w:pos="1989"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consolidation, merger, or similar transaction or series of related transactions in which the Company is not the surviving corporation or which results in the acquisition of all or substantially all of the Company’s then outstanding Stock by a single person or entity or by a group of persons and/or entities acting in concert (a “</w:t>
      </w:r>
      <w:r>
        <w:rPr>
          <w:rFonts w:ascii="Arial" w:cs="Arial" w:eastAsia="Arial" w:hAnsi="Arial"/>
          <w:sz w:val="22"/>
          <w:szCs w:val="22"/>
          <w:b w:val="1"/>
          <w:bCs w:val="1"/>
          <w:color w:val="auto"/>
        </w:rPr>
        <w:t>Transaction</w:t>
      </w:r>
      <w:r>
        <w:rPr>
          <w:rFonts w:ascii="Arial" w:cs="Arial" w:eastAsia="Arial" w:hAnsi="Arial"/>
          <w:sz w:val="22"/>
          <w:szCs w:val="22"/>
          <w:color w:val="auto"/>
        </w:rPr>
        <w:t>”), excluding a Transaction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w:t>
      </w:r>
    </w:p>
    <w:p>
      <w:pPr>
        <w:spacing w:after="0" w:line="178" w:lineRule="exact"/>
        <w:rPr>
          <w:rFonts w:ascii="Arial" w:cs="Arial" w:eastAsia="Arial" w:hAnsi="Arial"/>
          <w:sz w:val="22"/>
          <w:szCs w:val="22"/>
          <w:color w:val="auto"/>
        </w:rPr>
      </w:pPr>
    </w:p>
    <w:p>
      <w:pPr>
        <w:jc w:val="both"/>
        <w:ind w:left="760" w:firstLine="745"/>
        <w:spacing w:after="0"/>
        <w:tabs>
          <w:tab w:leader="none" w:pos="1989"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sale or transfer of all or substantially all the Company’s assets, excluding a sale or transfer to an entity, at least 50% of the combined voting power of the voting securities of which is owned by stockholders of the Company in substantially the same proportions as their ownership of the Company immediately prior to such sale; or</w:t>
      </w:r>
    </w:p>
    <w:p>
      <w:pPr>
        <w:spacing w:after="0" w:line="176" w:lineRule="exact"/>
        <w:rPr>
          <w:rFonts w:ascii="Arial" w:cs="Arial" w:eastAsia="Arial" w:hAnsi="Arial"/>
          <w:sz w:val="22"/>
          <w:szCs w:val="22"/>
          <w:color w:val="auto"/>
        </w:rPr>
      </w:pPr>
    </w:p>
    <w:p>
      <w:pPr>
        <w:ind w:left="1980" w:hanging="475"/>
        <w:spacing w:after="0"/>
        <w:tabs>
          <w:tab w:leader="none" w:pos="19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dissolution or liquidation of the Company.</w:t>
      </w:r>
    </w:p>
    <w:p>
      <w:pPr>
        <w:spacing w:after="0" w:line="206" w:lineRule="exact"/>
        <w:rPr>
          <w:sz w:val="20"/>
          <w:szCs w:val="20"/>
          <w:color w:val="auto"/>
        </w:rPr>
      </w:pPr>
    </w:p>
    <w:p>
      <w:pPr>
        <w:jc w:val="both"/>
        <w:ind w:left="760"/>
        <w:spacing w:after="0" w:line="235" w:lineRule="auto"/>
        <w:rPr>
          <w:sz w:val="20"/>
          <w:szCs w:val="20"/>
          <w:color w:val="auto"/>
        </w:rPr>
      </w:pPr>
      <w:r>
        <w:rPr>
          <w:rFonts w:ascii="Arial" w:cs="Arial" w:eastAsia="Arial" w:hAnsi="Arial"/>
          <w:sz w:val="22"/>
          <w:szCs w:val="22"/>
          <w:color w:val="auto"/>
        </w:rPr>
        <w:t>Where a Covered Transaction involves a tender offer that is reasonably expected to be followed by a merger described in clause (i) (as determined by the Administrator), the Covered Transaction will be deemed to have occurred upon consummation of the tender offer. Notwithstanding the foregoing, for each Award that constitutes deferred compensation under Section 409A, and to the extent required to avoid accelerated taxation and/or tax penalties under Section 409A, a Covered Transaction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“Date of Adoption”: </w:t>
      </w:r>
      <w:r>
        <w:rPr>
          <w:rFonts w:ascii="Arial" w:cs="Arial" w:eastAsia="Arial" w:hAnsi="Arial"/>
          <w:sz w:val="22"/>
          <w:szCs w:val="22"/>
          <w:color w:val="auto"/>
        </w:rPr>
        <w:t>March 24, 2026.</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Any person who is employed by the Company or an Affiliate.</w:t>
      </w:r>
    </w:p>
    <w:p>
      <w:pPr>
        <w:spacing w:after="0" w:line="206" w:lineRule="exact"/>
        <w:rPr>
          <w:sz w:val="20"/>
          <w:szCs w:val="20"/>
          <w:color w:val="auto"/>
        </w:rPr>
      </w:pPr>
    </w:p>
    <w:p>
      <w:pPr>
        <w:ind w:firstLine="749"/>
        <w:spacing w:after="0" w:line="261" w:lineRule="auto"/>
        <w:rPr>
          <w:sz w:val="20"/>
          <w:szCs w:val="20"/>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A Participant’s employment or other service relationship with the Company and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which may include service as a director, consultant or independent contractor. Employment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jc w:val="both"/>
        <w:spacing w:after="0" w:line="233" w:lineRule="auto"/>
        <w:rPr>
          <w:sz w:val="20"/>
          <w:szCs w:val="20"/>
          <w:color w:val="auto"/>
        </w:rPr>
      </w:pPr>
      <w:r>
        <w:rPr>
          <w:rFonts w:ascii="Arial" w:cs="Arial" w:eastAsia="Arial" w:hAnsi="Arial"/>
          <w:sz w:val="22"/>
          <w:szCs w:val="22"/>
          <w:color w:val="auto"/>
        </w:rPr>
        <w:t xml:space="preserve">deemed to continue, unless the Administrator expressly provides otherwise, so long as the Participant is employed by, or otherwise is providing services in a capacity described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“Fair Market Value”:</w:t>
      </w:r>
    </w:p>
    <w:p>
      <w:pPr>
        <w:spacing w:after="0" w:line="208" w:lineRule="exact"/>
        <w:rPr>
          <w:sz w:val="20"/>
          <w:szCs w:val="20"/>
          <w:color w:val="auto"/>
        </w:rPr>
      </w:pPr>
    </w:p>
    <w:p>
      <w:pPr>
        <w:ind w:firstLine="757"/>
        <w:spacing w:after="0"/>
        <w:tabs>
          <w:tab w:leader="none" w:pos="1229"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the Stock is readily traded on an established national exchange or trading system (including the Nasdaq Global Market), the closing price of the Stock as reported by the principal exchange on which such Stock is traded; provided, however, that if such day is not a trading day, Fair Market Value will mean the reported closing price of the Stock for the immediately preceding day that is a trading day.</w:t>
      </w:r>
    </w:p>
    <w:p>
      <w:pPr>
        <w:spacing w:after="0" w:line="176" w:lineRule="exact"/>
        <w:rPr>
          <w:rFonts w:ascii="Arial" w:cs="Arial" w:eastAsia="Arial" w:hAnsi="Arial"/>
          <w:sz w:val="22"/>
          <w:szCs w:val="22"/>
          <w:color w:val="auto"/>
        </w:rPr>
      </w:pPr>
    </w:p>
    <w:p>
      <w:pPr>
        <w:ind w:right="180" w:firstLine="757"/>
        <w:spacing w:after="0" w:line="259" w:lineRule="auto"/>
        <w:tabs>
          <w:tab w:leader="none" w:pos="1229"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the Stock is not traded on an established national exchange or trading system, the average of the bid and ask prices for such Stock where the bid and ask prices are quoted.</w:t>
      </w:r>
    </w:p>
    <w:p>
      <w:pPr>
        <w:spacing w:after="0" w:line="156" w:lineRule="exact"/>
        <w:rPr>
          <w:rFonts w:ascii="Arial" w:cs="Arial" w:eastAsia="Arial" w:hAnsi="Arial"/>
          <w:sz w:val="22"/>
          <w:szCs w:val="22"/>
          <w:color w:val="auto"/>
        </w:rPr>
      </w:pPr>
    </w:p>
    <w:p>
      <w:pPr>
        <w:ind w:firstLine="757"/>
        <w:spacing w:after="0" w:line="259" w:lineRule="auto"/>
        <w:tabs>
          <w:tab w:leader="none" w:pos="1229"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the Stock cannot be valued pursuant to clauses (a) or (b), the value as determined in good faith by the Board in its sole discretion consistent with the rules of Section 422 and Section 409A to the extent applicable.</w:t>
      </w:r>
    </w:p>
    <w:p>
      <w:pPr>
        <w:spacing w:after="0" w:line="15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“ISO”: </w:t>
      </w:r>
      <w:r>
        <w:rPr>
          <w:rFonts w:ascii="Arial" w:cs="Arial" w:eastAsia="Arial" w:hAnsi="Arial"/>
          <w:sz w:val="22"/>
          <w:szCs w:val="22"/>
          <w:color w:val="auto"/>
        </w:rPr>
        <w:t>A Stock Option intended to be an “incentive stock option” within the meaning of Section 422. Each</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granted pursuant to the Plan will be treated as providing by its terms that it is to be an NSO unless, as of the date of grant, it is expressly designated as an ISO.</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“NSO”: </w:t>
      </w:r>
      <w:r>
        <w:rPr>
          <w:rFonts w:ascii="Arial" w:cs="Arial" w:eastAsia="Arial" w:hAnsi="Arial"/>
          <w:sz w:val="22"/>
          <w:szCs w:val="22"/>
          <w:color w:val="auto"/>
        </w:rPr>
        <w:t>A Stock Option that is not intended to be an “incentive stock option” within the meaning of Section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422.</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A person who is granted an Award under the Plan.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“Original Effective Date”: </w:t>
      </w:r>
      <w:r>
        <w:rPr>
          <w:rFonts w:ascii="Arial" w:cs="Arial" w:eastAsia="Arial" w:hAnsi="Arial"/>
          <w:sz w:val="22"/>
          <w:szCs w:val="22"/>
          <w:color w:val="auto"/>
        </w:rPr>
        <w:t>June 7, 2023.</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“Performance Award”: </w:t>
      </w:r>
      <w:r>
        <w:rPr>
          <w:rFonts w:ascii="Arial" w:cs="Arial" w:eastAsia="Arial" w:hAnsi="Arial"/>
          <w:sz w:val="22"/>
          <w:szCs w:val="22"/>
          <w:color w:val="auto"/>
        </w:rPr>
        <w:t>An Award subject to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 w:name="page15"/>
    <w:bookmarkEnd w:id="14"/>
    <w:p>
      <w:pPr>
        <w:jc w:val="both"/>
        <w:ind w:firstLine="749"/>
        <w:spacing w:after="0" w:line="232" w:lineRule="auto"/>
        <w:rPr>
          <w:sz w:val="20"/>
          <w:szCs w:val="20"/>
          <w:color w:val="auto"/>
        </w:rPr>
      </w:pPr>
      <w:r>
        <w:rPr>
          <w:rFonts w:ascii="Arial" w:cs="Arial" w:eastAsia="Arial" w:hAnsi="Arial"/>
          <w:sz w:val="22"/>
          <w:szCs w:val="22"/>
          <w:b w:val="1"/>
          <w:bCs w:val="1"/>
          <w:color w:val="auto"/>
        </w:rPr>
        <w:t xml:space="preserve">“Performance Criteria”: </w:t>
      </w:r>
      <w:r>
        <w:rPr>
          <w:rFonts w:ascii="Arial" w:cs="Arial" w:eastAsia="Arial" w:hAnsi="Arial"/>
          <w:sz w:val="22"/>
          <w:szCs w:val="22"/>
          <w:color w:val="auto"/>
        </w:rPr>
        <w:t>Specified criteria, other than the mere continuation of Employment or the mere</w:t>
      </w:r>
      <w:r>
        <w:rPr>
          <w:rFonts w:ascii="Arial" w:cs="Arial" w:eastAsia="Arial" w:hAnsi="Arial"/>
          <w:sz w:val="22"/>
          <w:szCs w:val="22"/>
          <w:b w:val="1"/>
          <w:bCs w:val="1"/>
          <w:color w:val="auto"/>
        </w:rPr>
        <w:t xml:space="preserve"> </w:t>
      </w:r>
      <w:r>
        <w:rPr>
          <w:rFonts w:ascii="Arial" w:cs="Arial" w:eastAsia="Arial" w:hAnsi="Arial"/>
          <w:sz w:val="22"/>
          <w:szCs w:val="22"/>
          <w:color w:val="auto"/>
        </w:rPr>
        <w:t>passage of time, the satisfaction of which is a condition for the grant, exercisability, vesting or full enjoyment of an Award. Performance Criteria will include but not be limited to any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from operations; earnings before or after deduction for all or any portion of interest, taxes, depreciation, amortization, incentives, service fees or extraordinary or special items, whether or not on a continuing operations or an aggregate or per share basis; net income or net income per common share (basic or diluted); return on equity, investment, capital or assets; one or more operating ratios; borrowing levels, leverage ratios or credit rating; market share; capital expenditures; cash flow, free cash flow, cash flow return on investment, or net cash provided by operations; stock price, dividends or total stockholder return; development of new technologies or products; sales of particular products or services; economic value created or added; operating margin or profit margin; customer acquisition or retention; raising or refinancing of capital; successful hiring of key individuals; resolution of significant litigation; acquisitions and divestitures (in whole or in part); joint ventures and strategic alliances; spin-offs, split-ups and the like; reorganizations; recapitalizations, restructurings, financings (issuance of debt or equity) or refinancings; or strategic business criteria, consisting of one or more objectives based on the following goals: meeting specified market penetration or value added, product development or introduction (including, without limitation, any clinical trial accomplishments, regulatory or other filings or approvals,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or divestitures (in whole or in part), joint ventures or strategic alliances. Performance Criteria and any targets with respect thereto determined by the Administrator need not be based upon an increase, a positive or improved result or avoidance of loss.</w:t>
      </w:r>
    </w:p>
    <w:p>
      <w:pPr>
        <w:spacing w:after="0" w:line="17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The Ultragenyx Pharmaceutical Inc. 2023 Incentive Plan as amended and restated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and as from time to time amended and in effect.</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“Prior Plans”: </w:t>
      </w:r>
      <w:r>
        <w:rPr>
          <w:rFonts w:ascii="Arial" w:cs="Arial" w:eastAsia="Arial" w:hAnsi="Arial"/>
          <w:sz w:val="22"/>
          <w:szCs w:val="22"/>
          <w:color w:val="auto"/>
        </w:rPr>
        <w:t>The Ultragenyx Pharmaceutical Inc. 2011 Incentive Plan and the Ultragenyx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Inc. 2014 Incentive Plan, in each case as amended from time to time.</w:t>
      </w:r>
    </w:p>
    <w:p>
      <w:pPr>
        <w:spacing w:after="0" w:line="152"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22"/>
          <w:szCs w:val="22"/>
          <w:b w:val="1"/>
          <w:bCs w:val="1"/>
          <w:color w:val="auto"/>
        </w:rPr>
        <w:t xml:space="preserve">“Restricted Stock”: </w:t>
      </w:r>
      <w:r>
        <w:rPr>
          <w:rFonts w:ascii="Arial" w:cs="Arial" w:eastAsia="Arial" w:hAnsi="Arial"/>
          <w:sz w:val="22"/>
          <w:szCs w:val="22"/>
          <w:color w:val="auto"/>
        </w:rPr>
        <w:t>Stock subject to restrictions requiring that it be redelivered or offered for sale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if specified conditions are not satisfied.</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“Restricted Stock Unit”: </w:t>
      </w:r>
      <w:r>
        <w:rPr>
          <w:rFonts w:ascii="Arial" w:cs="Arial" w:eastAsia="Arial" w:hAnsi="Arial"/>
          <w:sz w:val="22"/>
          <w:szCs w:val="22"/>
          <w:color w:val="auto"/>
        </w:rPr>
        <w:t>A Stock Unit that is, or as to which the delivery of Stock or cash in lieu of Stock is,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satisfaction of specified performance or other vesting conditions.</w:t>
      </w:r>
    </w:p>
    <w:p>
      <w:pPr>
        <w:spacing w:after="0" w:line="15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“SAR”: </w:t>
      </w:r>
      <w:r>
        <w:rPr>
          <w:rFonts w:ascii="Arial" w:cs="Arial" w:eastAsia="Arial" w:hAnsi="Arial"/>
          <w:sz w:val="22"/>
          <w:szCs w:val="22"/>
          <w:color w:val="auto"/>
        </w:rPr>
        <w:t>A right entitling the holder upon exercise to receive an amount (payable in cash or in shares of Stock</w:t>
      </w:r>
      <w:r>
        <w:rPr>
          <w:rFonts w:ascii="Arial" w:cs="Arial" w:eastAsia="Arial" w:hAnsi="Arial"/>
          <w:sz w:val="22"/>
          <w:szCs w:val="22"/>
          <w:b w:val="1"/>
          <w:bCs w:val="1"/>
          <w:color w:val="auto"/>
        </w:rPr>
        <w:t xml:space="preserve"> </w:t>
      </w:r>
      <w:r>
        <w:rPr>
          <w:rFonts w:ascii="Arial" w:cs="Arial" w:eastAsia="Arial" w:hAnsi="Arial"/>
          <w:sz w:val="22"/>
          <w:szCs w:val="22"/>
          <w:color w:val="auto"/>
        </w:rPr>
        <w:t>of equivalent value) equal to the excess of the Fair Market Value of the shares of Stock subject to the right over the base value from which appreciation under the SAR is to be measured.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409A”: </w:t>
      </w:r>
      <w:r>
        <w:rPr>
          <w:rFonts w:ascii="Arial" w:cs="Arial" w:eastAsia="Arial" w:hAnsi="Arial"/>
          <w:sz w:val="22"/>
          <w:szCs w:val="22"/>
          <w:color w:val="auto"/>
        </w:rPr>
        <w:t>Section 409A of the Code.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422”: </w:t>
      </w:r>
      <w:r>
        <w:rPr>
          <w:rFonts w:ascii="Arial" w:cs="Arial" w:eastAsia="Arial" w:hAnsi="Arial"/>
          <w:sz w:val="22"/>
          <w:szCs w:val="22"/>
          <w:color w:val="auto"/>
        </w:rPr>
        <w:t>Section 422 of the Code.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The U.S.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5" w:name="page16"/>
    <w:bookmarkEnd w:id="15"/>
    <w:p>
      <w:pPr>
        <w:ind w:left="760"/>
        <w:spacing w:after="0"/>
        <w:rPr>
          <w:sz w:val="20"/>
          <w:szCs w:val="20"/>
          <w:color w:val="auto"/>
        </w:rPr>
      </w:pPr>
      <w:r>
        <w:rPr>
          <w:rFonts w:ascii="Arial" w:cs="Arial" w:eastAsia="Arial" w:hAnsi="Arial"/>
          <w:sz w:val="22"/>
          <w:szCs w:val="22"/>
          <w:b w:val="1"/>
          <w:bCs w:val="1"/>
          <w:color w:val="auto"/>
        </w:rPr>
        <w:t xml:space="preserve">“Stock”: </w:t>
      </w:r>
      <w:r>
        <w:rPr>
          <w:rFonts w:ascii="Arial" w:cs="Arial" w:eastAsia="Arial" w:hAnsi="Arial"/>
          <w:sz w:val="22"/>
          <w:szCs w:val="22"/>
          <w:color w:val="auto"/>
        </w:rPr>
        <w:t>Common stock of the Company, par value $0.001 per share.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“Stock Option”:  </w:t>
      </w:r>
      <w:r>
        <w:rPr>
          <w:rFonts w:ascii="Arial" w:cs="Arial" w:eastAsia="Arial" w:hAnsi="Arial"/>
          <w:sz w:val="22"/>
          <w:szCs w:val="22"/>
          <w:color w:val="auto"/>
        </w:rPr>
        <w:t>An option entitling the holder to acquire shares of Stock upon payment of the exercise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price.</w:t>
      </w:r>
    </w:p>
    <w:p>
      <w:pPr>
        <w:spacing w:after="0" w:line="184" w:lineRule="exact"/>
        <w:rPr>
          <w:sz w:val="20"/>
          <w:szCs w:val="20"/>
          <w:color w:val="auto"/>
        </w:rPr>
      </w:pPr>
    </w:p>
    <w:p>
      <w:pPr>
        <w:ind w:right="20" w:firstLine="749"/>
        <w:spacing w:after="0" w:line="261" w:lineRule="auto"/>
        <w:rPr>
          <w:sz w:val="20"/>
          <w:szCs w:val="20"/>
          <w:color w:val="auto"/>
        </w:rPr>
      </w:pPr>
      <w:r>
        <w:rPr>
          <w:rFonts w:ascii="Arial" w:cs="Arial" w:eastAsia="Arial" w:hAnsi="Arial"/>
          <w:sz w:val="22"/>
          <w:szCs w:val="22"/>
          <w:b w:val="1"/>
          <w:bCs w:val="1"/>
          <w:color w:val="auto"/>
        </w:rPr>
        <w:t xml:space="preserve">“Stock Unit”: </w:t>
      </w:r>
      <w:r>
        <w:rPr>
          <w:rFonts w:ascii="Arial" w:cs="Arial" w:eastAsia="Arial" w:hAnsi="Arial"/>
          <w:sz w:val="22"/>
          <w:szCs w:val="22"/>
          <w:color w:val="auto"/>
        </w:rPr>
        <w:t>An unfunded and unsecured promise, denominated in shares of Stock, to deliver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measured by the value of Stock in the future.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“Unrestricted Stock”: </w:t>
      </w:r>
      <w:r>
        <w:rPr>
          <w:rFonts w:ascii="Arial" w:cs="Arial" w:eastAsia="Arial" w:hAnsi="Arial"/>
          <w:sz w:val="22"/>
          <w:szCs w:val="22"/>
          <w:color w:val="auto"/>
        </w:rPr>
        <w:t>Stock not subject to any restrictions under the terms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6" w:name="page17"/>
    <w:bookmarkEnd w:id="16"/>
    <w:p>
      <w:pPr>
        <w:ind w:left="10100"/>
        <w:spacing w:after="0"/>
        <w:rPr>
          <w:sz w:val="20"/>
          <w:szCs w:val="20"/>
          <w:color w:val="auto"/>
        </w:rPr>
      </w:pPr>
      <w:r>
        <w:rPr>
          <w:rFonts w:ascii="Arial" w:cs="Arial" w:eastAsia="Arial" w:hAnsi="Arial"/>
          <w:sz w:val="22"/>
          <w:szCs w:val="22"/>
          <w:b w:val="1"/>
          <w:bCs w:val="1"/>
          <w:u w:val="single" w:color="auto"/>
          <w:color w:val="auto"/>
        </w:rPr>
        <w:t>Exhibit 4.9</w:t>
      </w:r>
    </w:p>
    <w:p>
      <w:pPr>
        <w:spacing w:after="0" w:line="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FOURTH AMENDMENT TO THE</w:t>
      </w:r>
    </w:p>
    <w:p>
      <w:pPr>
        <w:ind w:left="3560"/>
        <w:spacing w:after="0" w:line="230" w:lineRule="auto"/>
        <w:rPr>
          <w:sz w:val="20"/>
          <w:szCs w:val="20"/>
          <w:color w:val="auto"/>
        </w:rPr>
      </w:pPr>
      <w:r>
        <w:rPr>
          <w:rFonts w:ascii="Arial" w:cs="Arial" w:eastAsia="Arial" w:hAnsi="Arial"/>
          <w:sz w:val="22"/>
          <w:szCs w:val="22"/>
          <w:b w:val="1"/>
          <w:bCs w:val="1"/>
          <w:color w:val="auto"/>
        </w:rPr>
        <w:t>ULTRAGENYX PHARMACEUTICAL INC.</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EMPLOYMENT INDUCEMENT PLAN</w:t>
      </w:r>
    </w:p>
    <w:p>
      <w:pPr>
        <w:spacing w:after="0" w:line="18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Ultragenyx Pharmaceutical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maintains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Ultragenyx Pharmaceutical Inc. Employment Inducement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and</w:t>
      </w:r>
    </w:p>
    <w:p>
      <w:pPr>
        <w:spacing w:after="0" w:line="15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Section 9 of the Plan, the Compensation Committee of the Board of Directors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amend the Plan at any time and for any purpose as permitted by law, including to increase the maximum number of shares of Stock for which awards may be granted under the Plan.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pursuant to its authority under Section 9 of the Plan, the Board of Directors of the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Company hereby amends the Plan as follows, effective as of March 24, 2026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78" w:lineRule="exact"/>
        <w:rPr>
          <w:sz w:val="20"/>
          <w:szCs w:val="20"/>
          <w:color w:val="auto"/>
        </w:rPr>
      </w:pPr>
    </w:p>
    <w:p>
      <w:pPr>
        <w:ind w:left="1140" w:hanging="758"/>
        <w:spacing w:after="0"/>
        <w:tabs>
          <w:tab w:leader="none" w:pos="1140" w:val="left"/>
        </w:tabs>
        <w:numPr>
          <w:ilvl w:val="0"/>
          <w:numId w:val="30"/>
        </w:numPr>
        <w:rPr>
          <w:rFonts w:ascii="Times New Roman" w:cs="Times New Roman" w:eastAsia="Times New Roman" w:hAnsi="Times New Roman"/>
          <w:sz w:val="22"/>
          <w:szCs w:val="22"/>
          <w:color w:val="auto"/>
        </w:rPr>
      </w:pPr>
      <w:r>
        <w:rPr>
          <w:rFonts w:ascii="Arial" w:cs="Arial" w:eastAsia="Arial" w:hAnsi="Arial"/>
          <w:sz w:val="22"/>
          <w:szCs w:val="22"/>
          <w:color w:val="auto"/>
        </w:rPr>
        <w:t>Section 4(a) of the Plan is hereby amended and restated in its entirety to read as follows:</w:t>
      </w:r>
    </w:p>
    <w:p>
      <w:pPr>
        <w:spacing w:after="0" w:line="82" w:lineRule="exact"/>
        <w:rPr>
          <w:sz w:val="20"/>
          <w:szCs w:val="20"/>
          <w:color w:val="auto"/>
        </w:rPr>
      </w:pPr>
    </w:p>
    <w:p>
      <w:pPr>
        <w:jc w:val="both"/>
        <w:ind w:left="760" w:right="740" w:firstLine="695"/>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Number of Shares</w:t>
      </w:r>
      <w:r>
        <w:rPr>
          <w:rFonts w:ascii="Arial" w:cs="Arial" w:eastAsia="Arial" w:hAnsi="Arial"/>
          <w:sz w:val="22"/>
          <w:szCs w:val="22"/>
          <w:color w:val="auto"/>
        </w:rPr>
        <w:t>. The maximum number of shares of Stock that may be delivered in satisfaction of Awards under the Plan is 2,100,000. For purposes of this Section 4(a),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w:t>
      </w:r>
    </w:p>
    <w:p>
      <w:pPr>
        <w:spacing w:after="0" w:line="47" w:lineRule="exact"/>
        <w:rPr>
          <w:sz w:val="20"/>
          <w:szCs w:val="20"/>
          <w:color w:val="auto"/>
        </w:rPr>
      </w:pPr>
    </w:p>
    <w:p>
      <w:pPr>
        <w:jc w:val="both"/>
        <w:ind w:left="760" w:hanging="378"/>
        <w:spacing w:after="0" w:line="244" w:lineRule="auto"/>
        <w:tabs>
          <w:tab w:leader="none" w:pos="76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22"/>
          <w:szCs w:val="22"/>
          <w:color w:val="auto"/>
        </w:rPr>
        <w:t>This Fourth Amendment shall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64"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31"/>
        </w:numPr>
        <w:rPr>
          <w:rFonts w:ascii="Times New Roman" w:cs="Times New Roman" w:eastAsia="Times New Roman" w:hAnsi="Times New Roman"/>
          <w:sz w:val="22"/>
          <w:szCs w:val="22"/>
          <w:color w:val="auto"/>
        </w:rPr>
      </w:pPr>
      <w:r>
        <w:rPr>
          <w:rFonts w:ascii="Arial" w:cs="Arial" w:eastAsia="Arial" w:hAnsi="Arial"/>
          <w:sz w:val="22"/>
          <w:szCs w:val="22"/>
          <w:color w:val="auto"/>
        </w:rPr>
        <w:t>All capitalized terms used but not otherwise defined herein shall have the meaning assigned to them in the Plan. Except as expressly amended hereby, the Plan shall remain in full force and effect in accordance with its terms.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 w:name="page18"/>
    <w:bookmarkEnd w:id="17"/>
    <w:p>
      <w:pPr>
        <w:jc w:val="both"/>
        <w:ind w:firstLine="749"/>
        <w:spacing w:after="0" w:line="24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executed this Fourth Amendment to the Ultragenyx</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Inc. Employment Inducement Plan, effective as of the Amendment Effective Date, subject to the approval of the Board.</w:t>
      </w:r>
    </w:p>
    <w:p>
      <w:pPr>
        <w:spacing w:after="0" w:line="386"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ULTRAGENYX PHARMACEUTICAL INC.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Emil D. Kakkis, M.D., Ph.D.</w:t>
      </w:r>
    </w:p>
    <w:p>
      <w:pPr>
        <w:spacing w:after="0"/>
        <w:rPr>
          <w:sz w:val="20"/>
          <w:szCs w:val="20"/>
          <w:color w:val="auto"/>
        </w:rPr>
      </w:pPr>
      <w:r>
        <w:rPr>
          <w:rFonts w:ascii="Arial" w:cs="Arial" w:eastAsia="Arial" w:hAnsi="Arial"/>
          <w:sz w:val="22"/>
          <w:szCs w:val="22"/>
          <w:color w:val="auto"/>
        </w:rPr>
        <w:t>Name: Emil D. Kakkis, M.D., Ph.D.</w:t>
      </w:r>
    </w:p>
    <w:p>
      <w:pPr>
        <w:spacing w:after="0" w:line="230" w:lineRule="auto"/>
        <w:tabs>
          <w:tab w:leader="none" w:pos="700" w:val="left"/>
        </w:tabs>
        <w:rPr>
          <w:sz w:val="20"/>
          <w:szCs w:val="20"/>
          <w:color w:val="auto"/>
        </w:rPr>
      </w:pPr>
      <w:r>
        <w:rPr>
          <w:rFonts w:ascii="Arial" w:cs="Arial" w:eastAsia="Arial" w:hAnsi="Arial"/>
          <w:sz w:val="22"/>
          <w:szCs w:val="22"/>
          <w:color w:val="auto"/>
        </w:rPr>
        <w:t>Title:</w:t>
        <w:tab/>
        <w:t>President and Chief Executive Officer</w:t>
      </w:r>
    </w:p>
    <w:p>
      <w:pPr>
        <w:ind w:left="4780"/>
        <w:spacing w:after="0" w:line="231" w:lineRule="auto"/>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p>
    <w:p>
      <w:pPr>
        <w:ind w:left="4420"/>
        <w:spacing w:after="0" w:line="230" w:lineRule="auto"/>
        <w:rPr>
          <w:sz w:val="20"/>
          <w:szCs w:val="20"/>
          <w:color w:val="auto"/>
        </w:rPr>
      </w:pPr>
      <w:r>
        <w:rPr>
          <w:rFonts w:ascii="Arial" w:cs="Arial" w:eastAsia="Arial" w:hAnsi="Arial"/>
          <w:sz w:val="22"/>
          <w:szCs w:val="22"/>
          <w:color w:val="auto"/>
        </w:rPr>
        <w:t>F</w:t>
      </w:r>
      <w:r>
        <w:rPr>
          <w:rFonts w:ascii="Arial" w:cs="Arial" w:eastAsia="Arial" w:hAnsi="Arial"/>
          <w:sz w:val="14"/>
          <w:szCs w:val="14"/>
          <w:color w:val="auto"/>
        </w:rPr>
        <w:t>ourth</w:t>
      </w:r>
      <w:r>
        <w:rPr>
          <w:rFonts w:ascii="Arial" w:cs="Arial" w:eastAsia="Arial" w:hAnsi="Arial"/>
          <w:sz w:val="22"/>
          <w:szCs w:val="22"/>
          <w:color w:val="auto"/>
        </w:rPr>
        <w:t xml:space="preserve"> A</w:t>
      </w:r>
      <w:r>
        <w:rPr>
          <w:rFonts w:ascii="Arial" w:cs="Arial" w:eastAsia="Arial" w:hAnsi="Arial"/>
          <w:sz w:val="14"/>
          <w:szCs w:val="14"/>
          <w:color w:val="auto"/>
        </w:rPr>
        <w:t>mendment to the</w:t>
      </w:r>
    </w:p>
    <w:p>
      <w:pPr>
        <w:ind w:left="4140"/>
        <w:spacing w:after="0" w:line="231" w:lineRule="auto"/>
        <w:rPr>
          <w:sz w:val="20"/>
          <w:szCs w:val="20"/>
          <w:color w:val="auto"/>
        </w:rPr>
      </w:pPr>
      <w:r>
        <w:rPr>
          <w:rFonts w:ascii="Arial" w:cs="Arial" w:eastAsia="Arial" w:hAnsi="Arial"/>
          <w:sz w:val="22"/>
          <w:szCs w:val="22"/>
          <w:color w:val="auto"/>
        </w:rPr>
        <w:t>U</w:t>
      </w:r>
      <w:r>
        <w:rPr>
          <w:rFonts w:ascii="Arial" w:cs="Arial" w:eastAsia="Arial" w:hAnsi="Arial"/>
          <w:sz w:val="14"/>
          <w:szCs w:val="14"/>
          <w:color w:val="auto"/>
        </w:rPr>
        <w:t>ltragenyx</w:t>
      </w:r>
      <w:r>
        <w:rPr>
          <w:rFonts w:ascii="Arial" w:cs="Arial" w:eastAsia="Arial" w:hAnsi="Arial"/>
          <w:sz w:val="22"/>
          <w:szCs w:val="22"/>
          <w:color w:val="auto"/>
        </w:rPr>
        <w:t xml:space="preserve"> P</w:t>
      </w:r>
      <w:r>
        <w:rPr>
          <w:rFonts w:ascii="Arial" w:cs="Arial" w:eastAsia="Arial" w:hAnsi="Arial"/>
          <w:sz w:val="14"/>
          <w:szCs w:val="14"/>
          <w:color w:val="auto"/>
        </w:rPr>
        <w:t>harmaceutical</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w:t>
      </w:r>
    </w:p>
    <w:p>
      <w:pPr>
        <w:ind w:left="428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mployment</w:t>
      </w:r>
      <w:r>
        <w:rPr>
          <w:rFonts w:ascii="Arial" w:cs="Arial" w:eastAsia="Arial" w:hAnsi="Arial"/>
          <w:sz w:val="22"/>
          <w:szCs w:val="22"/>
          <w:color w:val="auto"/>
        </w:rPr>
        <w:t xml:space="preserve"> I</w:t>
      </w:r>
      <w:r>
        <w:rPr>
          <w:rFonts w:ascii="Arial" w:cs="Arial" w:eastAsia="Arial" w:hAnsi="Arial"/>
          <w:sz w:val="14"/>
          <w:szCs w:val="14"/>
          <w:color w:val="auto"/>
        </w:rPr>
        <w:t>nducement</w:t>
      </w:r>
      <w:r>
        <w:rPr>
          <w:rFonts w:ascii="Arial" w:cs="Arial" w:eastAsia="Arial" w:hAnsi="Arial"/>
          <w:sz w:val="22"/>
          <w:szCs w:val="22"/>
          <w:color w:val="auto"/>
        </w:rPr>
        <w:t xml:space="preserve"> P</w:t>
      </w:r>
      <w:r>
        <w:rPr>
          <w:rFonts w:ascii="Arial" w:cs="Arial" w:eastAsia="Arial" w:hAnsi="Arial"/>
          <w:sz w:val="14"/>
          <w:szCs w:val="14"/>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57734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577340" cy="17970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June 12,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Ultragenyx Pharmaceutical Inc.</w:t>
      </w:r>
    </w:p>
    <w:p>
      <w:pPr>
        <w:ind w:left="120"/>
        <w:spacing w:after="0"/>
        <w:rPr>
          <w:sz w:val="20"/>
          <w:szCs w:val="20"/>
          <w:color w:val="auto"/>
        </w:rPr>
      </w:pPr>
      <w:r>
        <w:rPr>
          <w:rFonts w:ascii="Arial" w:cs="Arial" w:eastAsia="Arial" w:hAnsi="Arial"/>
          <w:sz w:val="22"/>
          <w:szCs w:val="22"/>
          <w:color w:val="auto"/>
        </w:rPr>
        <w:t>60 Leveroni Court</w:t>
      </w:r>
    </w:p>
    <w:p>
      <w:pPr>
        <w:ind w:left="120"/>
        <w:spacing w:after="0"/>
        <w:rPr>
          <w:sz w:val="20"/>
          <w:szCs w:val="20"/>
          <w:color w:val="auto"/>
        </w:rPr>
      </w:pPr>
      <w:r>
        <w:rPr>
          <w:rFonts w:ascii="Arial" w:cs="Arial" w:eastAsia="Arial" w:hAnsi="Arial"/>
          <w:sz w:val="22"/>
          <w:szCs w:val="22"/>
          <w:color w:val="auto"/>
        </w:rPr>
        <w:t>Novato, CA 94949</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Re: Ultragenyx Pharmaceutical Inc. Registration Statement on Form S-8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examined the Registration Statement on Form S-8, (the “Registration Statement”) of Ultragenyx Pharmaceutical Inc., a Delaware corporation (the “Company”), to be filed with the Securities and Exchange Commission (the “Commission”) pursuant to the Securities Act of 1933, as amended (the “Securities Act”), in connection with the offering by the Company of up to (a) 3,000,000 shares of its common stock, par value $0.001 per share (the “Common Stock”) under the Company’s 2023 Incentive Plan (as amended and restated, the “2023 Plan”) and (b) 400,000 shares of Common Stock under the Company’s Employment Inducement Plan (as amended, the “Inducement Plan” and together with the 2023 Plan, the “Plans”).</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arriving at the opinions expressed below, we have examined originals, or copies certified or otherwise identified to our satisfaction as being true and complete copies of the originals, of the Plans and such other documents, corporate records, certificates of officers of the Company and of public officials and other instruments as we have deemed necessary or advisable to enable us to render these opinions.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We have also assumed without independent investigation that there are no agreements or understandings between or among the Company and any participants in the Plans that would expand, modify or otherwise affect the terms of the applicable Plan or the respective rights or obligations of the participants thereunder.</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Based upon the foregoing examination and in reliance thereon, and subject to the assumptions stated and in reliance on statements of fact contained in the documents that we have examined, we are of the opinion that the shares of Common Stock issuable under the Plans, when issued and sold in accordance with the terms of the Plans and against payment therefor, and when the Registration Statement has become effective under the Securities Act, will be validly issued, fully paid and non-assessable.</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Gibson, Dunn &amp; Crutcher LLP</w:t>
      </w:r>
    </w:p>
    <w:p>
      <w:pPr>
        <w:spacing w:after="0"/>
        <w:rPr>
          <w:sz w:val="20"/>
          <w:szCs w:val="20"/>
          <w:color w:val="auto"/>
        </w:rPr>
      </w:pPr>
      <w:r>
        <w:rPr>
          <w:rFonts w:ascii="Arial" w:cs="Arial" w:eastAsia="Arial" w:hAnsi="Arial"/>
          <w:sz w:val="13"/>
          <w:szCs w:val="13"/>
          <w:color w:val="auto"/>
        </w:rPr>
        <w:t>One Embarcadero Center Suite 2600 | San Francisco, CA 94111-3715 | T: 415.393.8200| F:415.393.8306 | gibsondunn.com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157734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57734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June 12, 2026</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render no opinion herein as to matters involving the laws of any jurisdiction other than the Delaware General Corporation Law (the “DGCL”). We are not admitted to practice in the State of Delaware; however, we are generally familiar with the DGCL as currently in effect and have made such inquiries as we consider necessary to render the opinions above. This opinion is limited to the effect of the current state of the DGCL and the facts as they currently exist. We assume no obligation to revise or supplement this opinion in the event of future changes in such law or the interpretations thereof or such facts.</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consent to the filing of this opinion as an exhibit to the Registration Statement, and we further consent to the use of our name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Gibson, Dunn &amp; Crutcher,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33333"/>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333333"/>
        </w:rPr>
        <w:t>We consent to the incorporation by reference in the Registration Statement (Form S-8) pertaining to the Ultragenyx Pharmaceutical Inc. Third Amended and Restated 2023 Incentive Plan and the Ultragenyx Pharmaceutical Inc. Employment Inducement Plan (as amended) of our reports dated February 18, 2026, with respect to the consolidated financial statements of Ultragenyx Pharmaceutical Inc. and the effectiveness of internal control over financial reporting of Ultragenyx Pharmaceutical, Inc. included in its Annual Report (Form 10-K) for the year ended December 31, 2025, filed with the Securities and Exchange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333333"/>
        </w:rPr>
        <w:t>San Mateo,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333333"/>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1442085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107</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Calculation of Filing Fee Tables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ULTRAGENYX PHARMACEUTICAL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Borders>
              <w:top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194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Proposed</w:t>
            </w:r>
          </w:p>
        </w:tc>
        <w:tc>
          <w:tcPr>
            <w:tcW w:w="126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2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Offering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200" w:type="dxa"/>
            <w:vAlign w:val="bottom"/>
            <w:tcBorders>
              <w:right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1240" w:type="dxa"/>
            <w:vAlign w:val="bottom"/>
            <w:tcBorders>
              <w:right w:val="single" w:sz="8" w:color="auto"/>
            </w:tcBorders>
          </w:tcPr>
          <w:p>
            <w:pPr>
              <w:ind w:left="620"/>
              <w:spacing w:after="0"/>
              <w:rPr>
                <w:sz w:val="20"/>
                <w:szCs w:val="20"/>
                <w:color w:val="auto"/>
              </w:rPr>
            </w:pPr>
            <w:r>
              <w:rPr>
                <w:rFonts w:ascii="Arial" w:cs="Arial" w:eastAsia="Arial" w:hAnsi="Arial"/>
                <w:sz w:val="14"/>
                <w:szCs w:val="14"/>
                <w:b w:val="1"/>
                <w:bCs w:val="1"/>
                <w:color w:val="auto"/>
              </w:rPr>
              <w:t>Securit</w:t>
            </w:r>
          </w:p>
        </w:tc>
        <w:tc>
          <w:tcPr>
            <w:tcW w:w="194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Fee Calculation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Price Per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1200" w:type="dxa"/>
            <w:vAlign w:val="bottom"/>
            <w:tcBorders>
              <w:right w:val="single" w:sz="8" w:color="auto"/>
            </w:tcBorders>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4"/>
                <w:szCs w:val="14"/>
                <w:b w:val="1"/>
                <w:bCs w:val="1"/>
                <w:color w:val="auto"/>
              </w:rPr>
              <w:t>y Type</w:t>
            </w:r>
          </w:p>
        </w:tc>
        <w:tc>
          <w:tcPr>
            <w:tcW w:w="19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Security Class Title</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Rule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Fee Rate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6"/>
        </w:trPr>
        <w:tc>
          <w:tcPr>
            <w:tcW w:w="780" w:type="dxa"/>
            <w:vAlign w:val="bottom"/>
            <w:vMerge w:val="restart"/>
          </w:tcPr>
          <w:p>
            <w:pPr>
              <w:jc w:val="right"/>
              <w:ind w:right="508"/>
              <w:spacing w:after="0"/>
              <w:rPr>
                <w:sz w:val="20"/>
                <w:szCs w:val="20"/>
                <w:color w:val="auto"/>
              </w:rPr>
            </w:pPr>
            <w:r>
              <w:rPr>
                <w:rFonts w:ascii="Arial" w:cs="Arial" w:eastAsia="Arial" w:hAnsi="Arial"/>
                <w:sz w:val="14"/>
                <w:szCs w:val="14"/>
                <w:color w:val="auto"/>
              </w:rPr>
              <w:t>1</w:t>
            </w:r>
          </w:p>
        </w:tc>
        <w:tc>
          <w:tcPr>
            <w:tcW w:w="1240" w:type="dxa"/>
            <w:vAlign w:val="bottom"/>
            <w:tcBorders>
              <w:right w:val="single" w:sz="8" w:color="auto"/>
            </w:tcBorders>
            <w:vMerge w:val="restart"/>
          </w:tcPr>
          <w:p>
            <w:pPr>
              <w:ind w:left="580"/>
              <w:spacing w:after="0"/>
              <w:rPr>
                <w:sz w:val="20"/>
                <w:szCs w:val="20"/>
                <w:color w:val="auto"/>
              </w:rPr>
            </w:pPr>
            <w:r>
              <w:rPr>
                <w:rFonts w:ascii="Arial" w:cs="Arial" w:eastAsia="Arial" w:hAnsi="Arial"/>
                <w:sz w:val="14"/>
                <w:szCs w:val="14"/>
                <w:color w:val="auto"/>
              </w:rPr>
              <w:t>Equity</w:t>
            </w:r>
          </w:p>
        </w:tc>
        <w:tc>
          <w:tcPr>
            <w:tcW w:w="1940" w:type="dxa"/>
            <w:vAlign w:val="bottom"/>
            <w:tcBorders>
              <w:right w:val="single" w:sz="8" w:color="auto"/>
            </w:tcBorders>
          </w:tcPr>
          <w:p>
            <w:pPr>
              <w:spacing w:after="0" w:line="147" w:lineRule="exact"/>
              <w:rPr>
                <w:sz w:val="20"/>
                <w:szCs w:val="20"/>
                <w:color w:val="auto"/>
              </w:rPr>
            </w:pPr>
            <w:r>
              <w:rPr>
                <w:rFonts w:ascii="Arial" w:cs="Arial" w:eastAsia="Arial" w:hAnsi="Arial"/>
                <w:sz w:val="14"/>
                <w:szCs w:val="14"/>
                <w:color w:val="auto"/>
              </w:rPr>
              <w:t>Common stock, $0.001 par</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Rule 457(c) and</w:t>
            </w:r>
          </w:p>
        </w:tc>
        <w:tc>
          <w:tcPr>
            <w:tcW w:w="120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color w:val="auto"/>
              </w:rPr>
              <w:t>3,000,000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$21.84</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$65,520,000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0.0001381</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$9,048.31</w:t>
            </w:r>
          </w:p>
        </w:tc>
        <w:tc>
          <w:tcPr>
            <w:tcW w:w="0" w:type="dxa"/>
            <w:vAlign w:val="bottom"/>
          </w:tcPr>
          <w:p>
            <w:pPr>
              <w:spacing w:after="0"/>
              <w:rPr>
                <w:sz w:val="1"/>
                <w:szCs w:val="1"/>
                <w:color w:val="auto"/>
              </w:rPr>
            </w:pPr>
          </w:p>
        </w:tc>
      </w:tr>
      <w:tr>
        <w:trPr>
          <w:trHeight w:val="109"/>
        </w:trPr>
        <w:tc>
          <w:tcPr>
            <w:tcW w:w="780" w:type="dxa"/>
            <w:vAlign w:val="bottom"/>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value per share</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Rule 457(h)</w:t>
            </w:r>
          </w:p>
        </w:tc>
        <w:tc>
          <w:tcPr>
            <w:tcW w:w="12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78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vMerge w:val="continue"/>
          </w:tcPr>
          <w:p>
            <w:pPr>
              <w:spacing w:after="0"/>
              <w:rPr>
                <w:sz w:val="5"/>
                <w:szCs w:val="5"/>
                <w:color w:val="auto"/>
              </w:rPr>
            </w:pPr>
          </w:p>
        </w:tc>
        <w:tc>
          <w:tcPr>
            <w:tcW w:w="1340" w:type="dxa"/>
            <w:vAlign w:val="bottom"/>
            <w:tcBorders>
              <w:bottom w:val="single" w:sz="8" w:color="auto"/>
              <w:right w:val="single" w:sz="8" w:color="auto"/>
            </w:tcBorders>
            <w:vMerge w:val="continue"/>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80" w:type="dxa"/>
            <w:vAlign w:val="bottom"/>
            <w:vMerge w:val="restart"/>
          </w:tcPr>
          <w:p>
            <w:pPr>
              <w:jc w:val="right"/>
              <w:ind w:right="508"/>
              <w:spacing w:after="0"/>
              <w:rPr>
                <w:sz w:val="20"/>
                <w:szCs w:val="20"/>
                <w:color w:val="auto"/>
              </w:rPr>
            </w:pPr>
            <w:r>
              <w:rPr>
                <w:rFonts w:ascii="Arial" w:cs="Arial" w:eastAsia="Arial" w:hAnsi="Arial"/>
                <w:sz w:val="14"/>
                <w:szCs w:val="14"/>
                <w:color w:val="auto"/>
              </w:rPr>
              <w:t>2</w:t>
            </w:r>
          </w:p>
        </w:tc>
        <w:tc>
          <w:tcPr>
            <w:tcW w:w="1240" w:type="dxa"/>
            <w:vAlign w:val="bottom"/>
            <w:tcBorders>
              <w:right w:val="single" w:sz="8" w:color="auto"/>
            </w:tcBorders>
            <w:vMerge w:val="restart"/>
          </w:tcPr>
          <w:p>
            <w:pPr>
              <w:ind w:left="580"/>
              <w:spacing w:after="0"/>
              <w:rPr>
                <w:sz w:val="20"/>
                <w:szCs w:val="20"/>
                <w:color w:val="auto"/>
              </w:rPr>
            </w:pPr>
            <w:r>
              <w:rPr>
                <w:rFonts w:ascii="Arial" w:cs="Arial" w:eastAsia="Arial" w:hAnsi="Arial"/>
                <w:sz w:val="14"/>
                <w:szCs w:val="14"/>
                <w:color w:val="auto"/>
              </w:rPr>
              <w:t>Equity</w:t>
            </w:r>
          </w:p>
        </w:tc>
        <w:tc>
          <w:tcPr>
            <w:tcW w:w="1940" w:type="dxa"/>
            <w:vAlign w:val="bottom"/>
            <w:tcBorders>
              <w:right w:val="single" w:sz="8" w:color="auto"/>
            </w:tcBorders>
          </w:tcPr>
          <w:p>
            <w:pPr>
              <w:spacing w:after="0" w:line="147" w:lineRule="exact"/>
              <w:rPr>
                <w:sz w:val="20"/>
                <w:szCs w:val="20"/>
                <w:color w:val="auto"/>
              </w:rPr>
            </w:pPr>
            <w:r>
              <w:rPr>
                <w:rFonts w:ascii="Arial" w:cs="Arial" w:eastAsia="Arial" w:hAnsi="Arial"/>
                <w:sz w:val="14"/>
                <w:szCs w:val="14"/>
                <w:color w:val="auto"/>
              </w:rPr>
              <w:t>Common stock, $0.001 par</w:t>
            </w:r>
          </w:p>
        </w:tc>
        <w:tc>
          <w:tcPr>
            <w:tcW w:w="13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Rule 457(c) and</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400,000</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$21.84</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$8,736,000</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0.0001381</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$1,206.44</w:t>
            </w:r>
          </w:p>
        </w:tc>
        <w:tc>
          <w:tcPr>
            <w:tcW w:w="0" w:type="dxa"/>
            <w:vAlign w:val="bottom"/>
          </w:tcPr>
          <w:p>
            <w:pPr>
              <w:spacing w:after="0"/>
              <w:rPr>
                <w:sz w:val="1"/>
                <w:szCs w:val="1"/>
                <w:color w:val="auto"/>
              </w:rPr>
            </w:pPr>
          </w:p>
        </w:tc>
      </w:tr>
      <w:tr>
        <w:trPr>
          <w:trHeight w:val="109"/>
        </w:trPr>
        <w:tc>
          <w:tcPr>
            <w:tcW w:w="780" w:type="dxa"/>
            <w:vAlign w:val="bottom"/>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value per share</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Rule 457(h)</w:t>
            </w:r>
          </w:p>
        </w:tc>
        <w:tc>
          <w:tcPr>
            <w:tcW w:w="120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78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vMerge w:val="continue"/>
          </w:tcPr>
          <w:p>
            <w:pPr>
              <w:spacing w:after="0"/>
              <w:rPr>
                <w:sz w:val="5"/>
                <w:szCs w:val="5"/>
                <w:color w:val="auto"/>
              </w:rPr>
            </w:pPr>
          </w:p>
        </w:tc>
        <w:tc>
          <w:tcPr>
            <w:tcW w:w="1340" w:type="dxa"/>
            <w:vAlign w:val="bottom"/>
            <w:tcBorders>
              <w:bottom w:val="single" w:sz="8" w:color="auto"/>
              <w:right w:val="single" w:sz="8" w:color="auto"/>
            </w:tcBorders>
            <w:vMerge w:val="continue"/>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Total Offering Amounts</w:t>
            </w: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$74,256,000</w:t>
            </w:r>
          </w:p>
        </w:tc>
        <w:tc>
          <w:tcPr>
            <w:tcW w:w="1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$10,254.75</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Total Fee Offsets</w:t>
            </w:r>
          </w:p>
        </w:tc>
        <w:tc>
          <w:tcPr>
            <w:tcW w:w="134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8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2"/>
          </w:tcPr>
          <w:p>
            <w:pPr>
              <w:ind w:left="580"/>
              <w:spacing w:after="0" w:line="155" w:lineRule="exact"/>
              <w:rPr>
                <w:sz w:val="20"/>
                <w:szCs w:val="20"/>
                <w:color w:val="auto"/>
              </w:rPr>
            </w:pPr>
            <w:r>
              <w:rPr>
                <w:rFonts w:ascii="Arial" w:cs="Arial" w:eastAsia="Arial" w:hAnsi="Arial"/>
                <w:sz w:val="14"/>
                <w:szCs w:val="14"/>
                <w:b w:val="1"/>
                <w:bCs w:val="1"/>
                <w:color w:val="auto"/>
              </w:rPr>
              <w:t>Net Fee Due</w:t>
            </w:r>
          </w:p>
        </w:tc>
        <w:tc>
          <w:tcPr>
            <w:tcW w:w="134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4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$10,254.75</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on Form S-8 (this “Registration Statement”) shall also cover any additional shares of common stock, par value $0.001 per share (the “Common Stock”), of Ultragenyx Pharmaceutical Inc. (the “Registrant”) that become issuable under the Ultragenyx Pharmaceutical Inc. 2023 Incentive Plan (as amended and restated, the “2023 Plan”). The “Amount Registered” represents 3,000,000 shares of Common Stock authorized for issuance under the 2023 Plan. The “Proposed Maximum Offering Price Per Unit” and “Maximum Aggregate Offering Price” are estimated solely for the purpose of calculating the registration fee pursuant to Rules 457(c) and (h) under the Securities Act, and are based on the average of the high and low sale prices of the Common Stock, as quoted on The Nasdaq Global Select Market, on June 8, 2026.</w:t>
      </w:r>
    </w:p>
    <w:p>
      <w:pPr>
        <w:spacing w:after="0" w:line="7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Rule 416(a) under the Securities Act, this Registration Statement shall also cover any additional shares of Common Stock that become issuable under the Ultragenyx Pharmaceutical Inc. Employment Inducement Plan (as amended, the “Inducement Plan”). The “Amount Registered” represents 400,000 shares of Common Stock authorized for issuance under the Inducement Plan. The “Proposed Maximum Offering Price Per Unit” and “Maximum Aggregate Offering Price” are estimated solely for the purpose of calculating the registration fee pursuant to Rules 457(c) and (h) under the Securities Act, and are based on the average of the high and low sale prices of the Common Stock, as quoted on The Nasdaq Global Select Market, on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lowerLetter"/>
      <w:start w:val="2"/>
    </w:lvl>
  </w:abstractNum>
  <w:abstractNum w:abstractNumId="4">
    <w:nsid w:val="3F2DBA31"/>
    <w:multiLevelType w:val="hybridMultilevel"/>
    <w:lvl w:ilvl="0">
      <w:lvlJc w:val="left"/>
      <w:lvlText w:val="(%1)"/>
      <w:numFmt w:val="lowerLetter"/>
      <w:start w:val="4"/>
    </w:lvl>
  </w:abstractNum>
  <w:abstractNum w:abstractNumId="5">
    <w:nsid w:val="7C83E45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
    <w:nsid w:val="257130A3"/>
    <w:multiLevelType w:val="hybridMultilevel"/>
    <w:lvl w:ilvl="0">
      <w:lvlJc w:val="left"/>
      <w:lvlText w:val="%1"/>
      <w:numFmt w:val="decimal"/>
      <w:start w:val="1"/>
    </w:lvl>
    <w:lvl w:ilvl="1">
      <w:lvlJc w:val="left"/>
      <w:lvlText w:val="(%2)"/>
      <w:numFmt w:val="lowerLetter"/>
      <w:start w:val="2"/>
    </w:lvl>
  </w:abstractNum>
  <w:abstractNum w:abstractNumId="7">
    <w:nsid w:val="62BBD95A"/>
    <w:multiLevelType w:val="hybridMultilevel"/>
    <w:lvl w:ilvl="0">
      <w:lvlJc w:val="left"/>
      <w:lvlText w:val="%1."/>
      <w:numFmt w:val="decimal"/>
      <w:start w:val="5"/>
    </w:lvl>
    <w:lvl w:ilvl="1">
      <w:lvlJc w:val="left"/>
      <w:lvlText w:val="%2"/>
      <w:numFmt w:val="lowerLetter"/>
      <w:start w:val="1"/>
    </w:lvl>
  </w:abstractNum>
  <w:abstractNum w:abstractNumId="8">
    <w:nsid w:val="436C612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
    <w:nsid w:val="628C895D"/>
    <w:multiLevelType w:val="hybridMultilevel"/>
    <w:lvl w:ilvl="0">
      <w:lvlJc w:val="left"/>
      <w:lvlText w:val="(%1)"/>
      <w:numFmt w:val="lowerRoman"/>
      <w:start w:val="4"/>
    </w:lvl>
  </w:abstractNum>
  <w:abstractNum w:abstractNumId="10">
    <w:nsid w:val="333AB105"/>
    <w:multiLevelType w:val="hybridMultilevel"/>
    <w:lvl w:ilvl="0">
      <w:lvlJc w:val="left"/>
      <w:lvlText w:val="(%1)"/>
      <w:numFmt w:val="upperLetter"/>
      <w:start w:val="2"/>
    </w:lvl>
    <w:lvl w:ilvl="1">
      <w:lvlJc w:val="left"/>
      <w:lvlText w:val="(%2)"/>
      <w:numFmt w:val="upperLetter"/>
      <w:start w:val="2"/>
    </w:lvl>
  </w:abstractNum>
  <w:abstractNum w:abstractNumId="11">
    <w:nsid w:val="721DA317"/>
    <w:multiLevelType w:val="hybridMultilevel"/>
    <w:lvl w:ilvl="0">
      <w:lvlJc w:val="left"/>
      <w:lvlText w:val="(%1)"/>
      <w:numFmt w:val="lowerRoman"/>
      <w:start w:val="5"/>
    </w:lvl>
  </w:abstractNum>
  <w:abstractNum w:abstractNumId="12">
    <w:nsid w:val="2443A858"/>
    <w:multiLevelType w:val="hybridMultilevel"/>
    <w:lvl w:ilvl="0">
      <w:lvlJc w:val="left"/>
      <w:lvlText w:val="%1"/>
      <w:numFmt w:val="lowerLetter"/>
      <w:start w:val="1"/>
    </w:lvl>
    <w:lvl w:ilvl="1">
      <w:lvlJc w:val="left"/>
      <w:lvlText w:val="(%2)"/>
      <w:numFmt w:val="lowerRoman"/>
      <w:start w:val="8"/>
    </w:lvl>
  </w:abstractNum>
  <w:abstractNum w:abstractNumId="13">
    <w:nsid w:val="2D1D5AE9"/>
    <w:multiLevelType w:val="hybridMultilevel"/>
    <w:lvl w:ilvl="0">
      <w:lvlJc w:val="left"/>
      <w:lvlText w:val="(%1)"/>
      <w:numFmt w:val="lowerLetter"/>
      <w:start w:val="2"/>
    </w:lvl>
    <w:lvl w:ilvl="1">
      <w:lvlJc w:val="left"/>
      <w:lvlText w:val="(%2)"/>
      <w:numFmt w:val="lowerRoman"/>
      <w:start w:val="1"/>
    </w:lvl>
  </w:abstractNum>
  <w:abstractNum w:abstractNumId="14">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5">
    <w:nsid w:val="75A2A8D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
    <w:nsid w:val="8EDBDAB"/>
    <w:multiLevelType w:val="hybridMultilevel"/>
    <w:lvl w:ilvl="0">
      <w:lvlJc w:val="left"/>
      <w:lvlText w:val="%1"/>
      <w:numFmt w:val="lowerLetter"/>
      <w:start w:val="1"/>
    </w:lvl>
    <w:lvl w:ilvl="1">
      <w:lvlJc w:val="left"/>
      <w:lvlText w:val="(%2)"/>
      <w:numFmt w:val="lowerRoman"/>
      <w:start w:val="3"/>
    </w:lvl>
  </w:abstractNum>
  <w:abstractNum w:abstractNumId="17">
    <w:nsid w:val="79838CB2"/>
    <w:multiLevelType w:val="hybridMultilevel"/>
    <w:lvl w:ilvl="0">
      <w:lvlJc w:val="left"/>
      <w:lvlText w:val="(%1)"/>
      <w:numFmt w:val="lowerLetter"/>
      <w:start w:val="2"/>
    </w:lvl>
    <w:lvl w:ilvl="1">
      <w:lvlJc w:val="left"/>
      <w:lvlText w:val="(%2)"/>
      <w:numFmt w:val="lowerRoman"/>
      <w:start w:val="1"/>
    </w:lvl>
  </w:abstractNum>
  <w:abstractNum w:abstractNumId="18">
    <w:nsid w:val="4353D0CD"/>
    <w:multiLevelType w:val="hybridMultilevel"/>
    <w:lvl w:ilvl="0">
      <w:lvlJc w:val="left"/>
      <w:lvlText w:val="%1."/>
      <w:numFmt w:val="decimal"/>
      <w:start w:val="8"/>
    </w:lvl>
  </w:abstractNum>
  <w:abstractNum w:abstractNumId="19">
    <w:nsid w:val="B03E0C6"/>
    <w:multiLevelType w:val="hybridMultilevel"/>
    <w:lvl w:ilvl="0">
      <w:lvlJc w:val="left"/>
      <w:lvlText w:val="(%1)"/>
      <w:numFmt w:val="lowerLetter"/>
      <w:start w:val="3"/>
    </w:lvl>
  </w:abstractNum>
  <w:abstractNum w:abstractNumId="20">
    <w:nsid w:val="189A769B"/>
    <w:multiLevelType w:val="hybridMultilevel"/>
    <w:lvl w:ilvl="0">
      <w:lvlJc w:val="left"/>
      <w:lvlText w:val="%1."/>
      <w:numFmt w:val="decimal"/>
      <w:start w:val="9"/>
    </w:lvl>
  </w:abstractNum>
  <w:abstractNum w:abstractNumId="21">
    <w:nsid w:val="54E49EB4"/>
    <w:multiLevelType w:val="hybridMultilevel"/>
    <w:lvl w:ilvl="0">
      <w:lvlJc w:val="left"/>
      <w:lvlText w:val="%1."/>
      <w:numFmt w:val="decimal"/>
      <w:start w:val="10"/>
    </w:lvl>
  </w:abstractNum>
  <w:abstractNum w:abstractNumId="22">
    <w:nsid w:val="71F32454"/>
    <w:multiLevelType w:val="hybridMultilevel"/>
    <w:lvl w:ilvl="0">
      <w:lvlJc w:val="left"/>
      <w:lvlText w:val="%1."/>
      <w:numFmt w:val="decimal"/>
      <w:start w:val="11"/>
    </w:lvl>
    <w:lvl w:ilvl="1">
      <w:lvlJc w:val="left"/>
      <w:lvlText w:val="(%2)"/>
      <w:numFmt w:val="lowerLetter"/>
      <w:start w:val="1"/>
    </w:lvl>
  </w:abstractNum>
  <w:abstractNum w:abstractNumId="23">
    <w:nsid w:val="2CA88611"/>
    <w:multiLevelType w:val="hybridMultilevel"/>
    <w:lvl w:ilvl="0">
      <w:lvlJc w:val="left"/>
      <w:lvlText w:val="%1"/>
      <w:numFmt w:val="decimal"/>
      <w:start w:val="1"/>
    </w:lvl>
    <w:lvl w:ilvl="1">
      <w:lvlJc w:val="left"/>
      <w:lvlText w:val="(%2)"/>
      <w:numFmt w:val="lowerLetter"/>
      <w:start w:val="2"/>
    </w:lvl>
  </w:abstractNum>
  <w:abstractNum w:abstractNumId="24">
    <w:nsid w:val="836C40E"/>
    <w:multiLevelType w:val="hybridMultilevel"/>
    <w:lvl w:ilvl="0">
      <w:lvlJc w:val="left"/>
      <w:lvlText w:val="%1."/>
      <w:numFmt w:val="decimal"/>
      <w:start w:val="12"/>
    </w:lvl>
    <w:lvl w:ilvl="1">
      <w:lvlJc w:val="left"/>
      <w:lvlText w:val="%2"/>
      <w:numFmt w:val="lowerLetter"/>
      <w:start w:val="1"/>
    </w:lvl>
  </w:abstractNum>
  <w:abstractNum w:abstractNumId="25">
    <w:nsid w:val="2901D82"/>
    <w:multiLevelType w:val="hybridMultilevel"/>
    <w:lvl w:ilvl="0">
      <w:lvlJc w:val="left"/>
      <w:lvlText w:val="%1."/>
      <w:numFmt w:val="decimal"/>
      <w:start w:val="13"/>
    </w:lvl>
    <w:lvl w:ilvl="1">
      <w:lvlJc w:val="left"/>
      <w:lvlText w:val="(%2)"/>
      <w:numFmt w:val="lowerLetter"/>
      <w:start w:val="1"/>
    </w:lvl>
  </w:abstractNum>
  <w:abstractNum w:abstractNumId="26">
    <w:nsid w:val="3A95F874"/>
    <w:multiLevelType w:val="hybridMultilevel"/>
    <w:lvl w:ilvl="0">
      <w:lvlJc w:val="left"/>
      <w:lvlText w:val="(%1)"/>
      <w:numFmt w:val="lowerRoman"/>
      <w:start w:val="1"/>
    </w:lvl>
  </w:abstractNum>
  <w:abstractNum w:abstractNumId="27">
    <w:nsid w:val="8138641"/>
    <w:multiLevelType w:val="hybridMultilevel"/>
    <w:lvl w:ilvl="0">
      <w:lvlJc w:val="left"/>
      <w:lvlText w:val="(%1)"/>
      <w:numFmt w:val="lowerRoman"/>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2"/>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jpeg"/><Relationship Id="rId55" Type="http://schemas.openxmlformats.org/officeDocument/2006/relationships/image" Target="media/image37.png"/><Relationship Id="rId56" Type="http://schemas.openxmlformats.org/officeDocument/2006/relationships/image" Target="media/image38.jpe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13" Type="http://schemas.openxmlformats.org/officeDocument/2006/relationships/hyperlink" Target="https://www.sec.gov/Archives/edgar/data/1515673/000156459021005615/rare-s8.htm" TargetMode="External"/><Relationship Id="rId14" Type="http://schemas.openxmlformats.org/officeDocument/2006/relationships/hyperlink" Target="https://www.sec.gov/Archives/edgar/data/1515673/000095017023027029/rare_2023-06-08-s-8.htm" TargetMode="External"/><Relationship Id="rId15" Type="http://schemas.openxmlformats.org/officeDocument/2006/relationships/hyperlink" Target="https://www.sec.gov/Archives/edgar/data/1515673/000095017024083195/rare_2024_07_12_s-8.htm" TargetMode="External"/><Relationship Id="rId16" Type="http://schemas.openxmlformats.org/officeDocument/2006/relationships/hyperlink" Target="https://www.sec.gov/Archives/edgar/data/1515673/000095017025096912/rare-20250718.htm" TargetMode="External"/><Relationship Id="rId17" Type="http://schemas.openxmlformats.org/officeDocument/2006/relationships/hyperlink" Target="https://www.sec.gov/Archives/edgar/data/1515673/000119312514036944/d670959dex31.htm" TargetMode="External"/><Relationship Id="rId18" Type="http://schemas.openxmlformats.org/officeDocument/2006/relationships/hyperlink" Target="https://www.sec.gov/Archives/edgar/data/1515673/000095017023072192/rare-ex3_1.htm" TargetMode="External"/><Relationship Id="rId19" Type="http://schemas.openxmlformats.org/officeDocument/2006/relationships/hyperlink" Target="https://www.sec.gov/Archives/edgar/data/1515673/000119312513435507/d601113dex42.htm" TargetMode="External"/><Relationship Id="rId20" Type="http://schemas.openxmlformats.org/officeDocument/2006/relationships/hyperlink" Target="https://www.sec.gov/Archives/edgar/data/1515673/000156459021005610/rare-ex1043_602.htm" TargetMode="External"/><Relationship Id="rId21" Type="http://schemas.openxmlformats.org/officeDocument/2006/relationships/hyperlink" Target="https://www.sec.gov/Archives/edgar/data/1515673/000095017023027029/rare-ex4_7.htm" TargetMode="External"/><Relationship Id="rId22" Type="http://schemas.openxmlformats.org/officeDocument/2006/relationships/hyperlink" Target="https://www.sec.gov/Archives/edgar/data/1515673/000095017024083195/rare-ex4_7.htm" TargetMode="External"/><Relationship Id="rId23" Type="http://schemas.openxmlformats.org/officeDocument/2006/relationships/hyperlink" Target="https://www.sec.gov/Archives/edgar/data/1515673/000095017025096912/rare-ex4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2026-06-12T12:41:49Z</dcterms:created>
  <dcterms:modified xsi:type="dcterms:W3CDTF">2026-06-12T12:41:49Z</dcterms:modified>
</cp:coreProperties>
</file>