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167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16763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SULIMAN SHEHNAAZ</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Ultragenyx Pharmaceutical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RARE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0" w:type="dxa"/>
            <w:vAlign w:val="bottom"/>
            <w:tcBorders>
              <w:bottom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2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7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11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ULTRAGENYX PHARMACEUTICAL INC.</w:t>
            </w:r>
          </w:p>
        </w:tc>
        <w:tc>
          <w:tcPr>
            <w:tcW w:w="2760" w:type="dxa"/>
            <w:vAlign w:val="bottom"/>
            <w:gridSpan w:val="3"/>
            <w:vMerge w:val="continue"/>
          </w:tcPr>
          <w:p>
            <w:pPr>
              <w:spacing w:after="0"/>
              <w:rPr>
                <w:sz w:val="10"/>
                <w:szCs w:val="10"/>
                <w:color w:val="auto"/>
              </w:rPr>
            </w:pPr>
          </w:p>
        </w:tc>
        <w:tc>
          <w:tcPr>
            <w:tcW w:w="11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60 LEVERONI COURT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NOVATO</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94949</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jc w:val="right"/>
              <w:ind w:right="11"/>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jc w:val="right"/>
              <w:ind w:right="151"/>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05/14/2026</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7,751</w:t>
            </w:r>
            <w:r>
              <w:rPr>
                <w:rFonts w:ascii="Times New Roman" w:cs="Times New Roman" w:eastAsia="Times New Roman" w:hAnsi="Times New Roman"/>
                <w:sz w:val="21"/>
                <w:szCs w:val="21"/>
                <w:color w:val="008000"/>
                <w:vertAlign w:val="superscript"/>
              </w:rPr>
              <w:t>(1)</w:t>
            </w:r>
          </w:p>
        </w:tc>
        <w:tc>
          <w:tcPr>
            <w:tcW w:w="560" w:type="dxa"/>
            <w:vAlign w:val="bottom"/>
            <w:tcBorders>
              <w:bottom w:val="single" w:sz="8" w:color="2C2C2C"/>
            </w:tcBorders>
          </w:tcPr>
          <w:p>
            <w:pPr>
              <w:jc w:val="right"/>
              <w:ind w:right="71"/>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33,691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0000FF"/>
              </w:rPr>
              <w:t>05/18/2026</w:t>
            </w: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5,740</w:t>
            </w:r>
          </w:p>
        </w:tc>
        <w:tc>
          <w:tcPr>
            <w:tcW w:w="80" w:type="dxa"/>
            <w:vAlign w:val="bottom"/>
          </w:tcPr>
          <w:p>
            <w:pPr>
              <w:spacing w:after="0"/>
              <w:rPr>
                <w:sz w:val="22"/>
                <w:szCs w:val="22"/>
                <w:color w:val="auto"/>
              </w:rPr>
            </w:pPr>
          </w:p>
        </w:tc>
        <w:tc>
          <w:tcPr>
            <w:tcW w:w="560" w:type="dxa"/>
            <w:vAlign w:val="bottom"/>
          </w:tcPr>
          <w:p>
            <w:pPr>
              <w:jc w:val="right"/>
              <w:ind w:right="71"/>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25.12</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0000FF"/>
              </w:rPr>
              <w:t>27,951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3320" w:type="dxa"/>
            <w:vAlign w:val="bottom"/>
            <w:tcBorders>
              <w:bottom w:val="single" w:sz="8" w:color="2C2C2C"/>
            </w:tcBorders>
            <w:gridSpan w:val="8"/>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600" w:type="dxa"/>
            <w:vAlign w:val="bottom"/>
          </w:tcPr>
          <w:p>
            <w:pPr>
              <w:spacing w:after="0"/>
              <w:rPr>
                <w:sz w:val="11"/>
                <w:szCs w:val="11"/>
                <w:color w:val="auto"/>
              </w:rPr>
            </w:pPr>
          </w:p>
        </w:tc>
        <w:tc>
          <w:tcPr>
            <w:tcW w:w="11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25.8</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05/14/2026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14,058</w:t>
            </w:r>
          </w:p>
        </w:tc>
        <w:tc>
          <w:tcPr>
            <w:tcW w:w="320" w:type="dxa"/>
            <w:vAlign w:val="bottom"/>
          </w:tcPr>
          <w:p>
            <w:pPr>
              <w:spacing w:after="0"/>
              <w:rPr>
                <w:sz w:val="16"/>
                <w:szCs w:val="16"/>
                <w:color w:val="auto"/>
              </w:rPr>
            </w:pP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05/14/2036</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14,058</w:t>
            </w:r>
          </w:p>
        </w:tc>
        <w:tc>
          <w:tcPr>
            <w:tcW w:w="14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14,058</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ind w:right="151"/>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("RSUs") under the Company's 2023 Incentive Plan. The RSUs shall vest in full on the earlier of (i) the Company's next Annual Meeting of Stockholders or (ii) May 14, 2027.</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shall vest in full on the earlier of (i) the Company's next Annual Meeting of Stockholders or (ii) May 14, 2027.</w:t>
      </w:r>
    </w:p>
    <w:p>
      <w:pPr>
        <w:spacing w:after="0" w:line="35"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Karah Parschauer, attorney-</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05/18/2026</w:t>
            </w:r>
          </w:p>
        </w:tc>
        <w:tc>
          <w:tcPr>
            <w:tcW w:w="0" w:type="dxa"/>
            <w:vAlign w:val="bottom"/>
          </w:tcPr>
          <w:p>
            <w:pPr>
              <w:spacing w:after="0"/>
              <w:rPr>
                <w:sz w:val="1"/>
                <w:szCs w:val="1"/>
                <w:color w:val="auto"/>
              </w:rPr>
            </w:pPr>
          </w:p>
        </w:tc>
      </w:tr>
      <w:tr>
        <w:trPr>
          <w:trHeight w:val="88"/>
        </w:trPr>
        <w:tc>
          <w:tcPr>
            <w:tcW w:w="4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4"/>
              </w:rPr>
              <w:t>in-fact</w:t>
            </w:r>
          </w:p>
        </w:tc>
        <w:tc>
          <w:tcPr>
            <w:tcW w:w="17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13070" TargetMode="External"/><Relationship Id="rId14" Type="http://schemas.openxmlformats.org/officeDocument/2006/relationships/hyperlink" Target="http://www.sec.gov/cgi-bin/browse-edgar?action=getcompany&amp;CIK=00015156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2026-05-18T17:42:34Z</dcterms:created>
  <dcterms:modified xsi:type="dcterms:W3CDTF">2026-05-18T17:42:34Z</dcterms:modified>
</cp:coreProperties>
</file>