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w w:val="98"/>
              </w:rPr>
            </w:pPr>
            <w:hyperlink r:id="rId13">
              <w:r>
                <w:rPr>
                  <w:rFonts w:ascii="Times New Roman" w:cs="Times New Roman" w:eastAsia="Times New Roman" w:hAnsi="Times New Roman"/>
                  <w:sz w:val="21"/>
                  <w:szCs w:val="21"/>
                  <w:color w:val="0000EE"/>
                  <w:w w:val="98"/>
                </w:rPr>
                <w:t>Sanders Corazon (Corsee) D.</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Ultragenyx Pharmaceutical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RARE</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0" w:type="dxa"/>
            <w:vAlign w:val="bottom"/>
            <w:tcBorders>
              <w:bottom w:val="single" w:sz="8" w:color="0000EE"/>
            </w:tcBorders>
          </w:tcPr>
          <w:p>
            <w:pPr>
              <w:spacing w:after="0"/>
              <w:rPr>
                <w:sz w:val="6"/>
                <w:szCs w:val="6"/>
                <w:color w:val="auto"/>
              </w:rPr>
            </w:pPr>
          </w:p>
        </w:tc>
        <w:tc>
          <w:tcPr>
            <w:tcW w:w="11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6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7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05/14/2026</w:t>
            </w:r>
          </w:p>
        </w:tc>
        <w:tc>
          <w:tcPr>
            <w:tcW w:w="11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ULTRAGENYX PHARMACEUTICAL INC.</w:t>
            </w:r>
          </w:p>
        </w:tc>
        <w:tc>
          <w:tcPr>
            <w:tcW w:w="2760" w:type="dxa"/>
            <w:vAlign w:val="bottom"/>
            <w:gridSpan w:val="3"/>
            <w:vMerge w:val="continue"/>
          </w:tcPr>
          <w:p>
            <w:pPr>
              <w:spacing w:after="0"/>
              <w:rPr>
                <w:sz w:val="10"/>
                <w:szCs w:val="10"/>
                <w:color w:val="auto"/>
              </w:rPr>
            </w:pPr>
          </w:p>
        </w:tc>
        <w:tc>
          <w:tcPr>
            <w:tcW w:w="11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60 LEVERONI COURT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60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NOVATO</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94949</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05/14/2026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1"/>
              </w:rPr>
              <w:t>7,751</w:t>
            </w:r>
            <w:r>
              <w:rPr>
                <w:rFonts w:ascii="Times New Roman" w:cs="Times New Roman" w:eastAsia="Times New Roman" w:hAnsi="Times New Roman"/>
                <w:sz w:val="21"/>
                <w:szCs w:val="21"/>
                <w:color w:val="008000"/>
                <w:w w:val="91"/>
                <w:vertAlign w:val="superscript"/>
              </w:rPr>
              <w:t>(1)</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23,095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jc w:val="right"/>
              <w:ind w:right="5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25.8</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05/14/2026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14,058</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05/14/2036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14,058</w:t>
            </w: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14,058</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Units ("RSUs") under the Company's 2023 Incentive Plan. The RSUs shall vest in full on the earlier of (i) the Company's next Annual Meeting of Stockholders or (ii) May 14, 2027.</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shall vest in full on the earlier of (i) the Company's next Annual Meeting of Stockholders or (ii) May 14, 2027.</w:t>
      </w:r>
    </w:p>
    <w:p>
      <w:pPr>
        <w:spacing w:after="0" w:line="35"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Karah Parschauer, attorney-</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05/18/2026</w:t>
            </w:r>
          </w:p>
        </w:tc>
        <w:tc>
          <w:tcPr>
            <w:tcW w:w="0" w:type="dxa"/>
            <w:vAlign w:val="bottom"/>
          </w:tcPr>
          <w:p>
            <w:pPr>
              <w:spacing w:after="0"/>
              <w:rPr>
                <w:sz w:val="1"/>
                <w:szCs w:val="1"/>
                <w:color w:val="auto"/>
              </w:rPr>
            </w:pPr>
          </w:p>
        </w:tc>
      </w:tr>
      <w:tr>
        <w:trPr>
          <w:trHeight w:val="88"/>
        </w:trPr>
        <w:tc>
          <w:tcPr>
            <w:tcW w:w="44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4"/>
              </w:rPr>
              <w:t>in-fact</w:t>
            </w:r>
          </w:p>
        </w:tc>
        <w:tc>
          <w:tcPr>
            <w:tcW w:w="17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40" w:type="dxa"/>
            <w:vAlign w:val="bottom"/>
            <w:tcBorders>
              <w:bottom w:val="single" w:sz="8" w:color="auto"/>
            </w:tcBorders>
            <w:vMerge w:val="continue"/>
          </w:tcPr>
          <w:p>
            <w:pPr>
              <w:spacing w:after="0"/>
              <w:rPr>
                <w:sz w:val="7"/>
                <w:szCs w:val="7"/>
                <w:color w:val="auto"/>
              </w:rPr>
            </w:pPr>
          </w:p>
        </w:tc>
        <w:tc>
          <w:tcPr>
            <w:tcW w:w="17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96536" TargetMode="External"/><Relationship Id="rId14" Type="http://schemas.openxmlformats.org/officeDocument/2006/relationships/hyperlink" Target="http://www.sec.gov/cgi-bin/browse-edgar?action=getcompany&amp;CIK=00015156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2026-05-18T17:39:33Z</dcterms:created>
  <dcterms:modified xsi:type="dcterms:W3CDTF">2026-05-18T17:39:33Z</dcterms:modified>
</cp:coreProperties>
</file>