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are-20260630.htm"/>
      <w:bookmarkStart w:id="1" w:name="ksrare20260630"/>
      <w:bookmarkEnd w:id="0"/>
      <w:bookmarkEnd w:id="1"/>
      <w:r>
        <w:rPr/>
        <w:t> </w:t>
      </w:r>
    </w:p>
    <w:p>
      <w:pPr>
        <w:pStyle w:val="TextBody"/>
        <w:pBdr>
          <w:top w:val="single" w:sz="6" w:space="1" w:color="000000"/>
          <w:bottom w:val="single" w:sz="6" w:space="1" w:color="000000"/>
        </w:pBdr>
        <w:bidi w:val="0"/>
        <w:spacing w:before="80" w:after="283"/>
        <w:jc w:val="center"/>
        <w:rPr/>
      </w:pPr>
      <w:r>
        <w:rPr/>
        <w:t> </w:t>
      </w:r>
    </w:p>
    <w:p>
      <w:pPr>
        <w:pStyle w:val="TextBody"/>
        <w:bidi w:val="0"/>
        <w:spacing w:before="80" w:after="283"/>
        <w:jc w:val="center"/>
        <w:rPr>
          <w:rFonts w:ascii="Times New Roman" w:hAnsi="Times New Roman"/>
          <w:sz w:val="20"/>
        </w:rPr>
      </w:pPr>
      <w:r>
        <w:rPr>
          <w:rFonts w:ascii="sans-serif" w:hAnsi="sans-serif"/>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2"/>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sz w:val="20"/>
        </w:rPr>
      </w:pPr>
      <w:r>
        <w:rPr>
          <w:rFonts w:ascii="sans-serif" w:hAnsi="sans-serif"/>
          <w:b/>
          <w:color w:val="000000"/>
          <w:sz w:val="36"/>
        </w:rPr>
        <w:t>FORM 10-Q</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00" w:after="283"/>
        <w:jc w:val="left"/>
        <w:rPr>
          <w:rFonts w:ascii="Times New Roman" w:hAnsi="Times New Roman"/>
          <w:sz w:val="20"/>
        </w:rPr>
      </w:pPr>
      <w:r>
        <w:rPr>
          <w:rFonts w:ascii="sans-serif" w:hAnsi="sans-serif"/>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sans-serif" w:hAnsi="sans-serif"/>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100" w:after="283"/>
        <w:jc w:val="center"/>
        <w:rPr>
          <w:rFonts w:ascii="sans-serif" w:hAnsi="sans-serif"/>
          <w:b/>
          <w:color w:val="000000"/>
          <w:sz w:val="20"/>
        </w:rPr>
      </w:pPr>
      <w:r>
        <w:rPr>
          <w:rFonts w:ascii="sans-serif" w:hAnsi="sans-serif"/>
          <w:b/>
          <w:color w:val="000000"/>
          <w:sz w:val="20"/>
        </w:rPr>
        <w:t>For the quarterly period ended June 30, 2026</w:t>
      </w:r>
    </w:p>
    <w:p>
      <w:pPr>
        <w:pStyle w:val="TextBody"/>
        <w:bidi w:val="0"/>
        <w:spacing w:before="100" w:after="283"/>
        <w:jc w:val="center"/>
        <w:rPr>
          <w:rFonts w:ascii="Times New Roman" w:hAnsi="Times New Roman"/>
          <w:sz w:val="20"/>
        </w:rPr>
      </w:pPr>
      <w:r>
        <w:rPr>
          <w:rFonts w:ascii="sans-serif" w:hAnsi="sans-serif"/>
          <w:b/>
          <w:color w:val="000000"/>
          <w:sz w:val="20"/>
        </w:rPr>
        <w:t>OR</w:t>
      </w:r>
      <w:r>
        <w:rPr>
          <w:rFonts w:ascii="Times New Roman" w:hAnsi="Times New Roman"/>
          <w:color w:val="000000"/>
          <w:sz w:val="20"/>
        </w:rPr>
        <w:t xml:space="preserve"> </w:t>
      </w:r>
    </w:p>
    <w:p>
      <w:pPr>
        <w:pStyle w:val="TextBody"/>
        <w:bidi w:val="0"/>
        <w:spacing w:before="100" w:after="283"/>
        <w:jc w:val="left"/>
        <w:rPr/>
      </w:pPr>
      <w:r>
        <w:rPr>
          <w:color w:val="000000"/>
        </w:rPr>
        <w:t xml:space="preserve">☐ </w:t>
      </w:r>
      <w:r>
        <w:rPr>
          <w:rFonts w:ascii="sans-serif" w:hAnsi="sans-serif"/>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sans-serif" w:hAnsi="sans-serif"/>
          <w:b/>
          <w:color w:val="000000"/>
          <w:sz w:val="20"/>
        </w:rPr>
        <w:t>For the transition period from to .</w:t>
      </w:r>
      <w:r>
        <w:rPr>
          <w:rFonts w:ascii="Times New Roman" w:hAnsi="Times New Roman"/>
          <w:color w:val="000000"/>
          <w:sz w:val="20"/>
        </w:rPr>
        <w:t xml:space="preserve"> </w:t>
      </w:r>
    </w:p>
    <w:p>
      <w:pPr>
        <w:pStyle w:val="TextBody"/>
        <w:bidi w:val="0"/>
        <w:spacing w:before="100" w:after="283"/>
        <w:jc w:val="center"/>
        <w:rPr>
          <w:rFonts w:ascii="Times New Roman" w:hAnsi="Times New Roman"/>
          <w:sz w:val="20"/>
        </w:rPr>
      </w:pPr>
      <w:r>
        <w:rPr>
          <w:rFonts w:ascii="sans-serif" w:hAnsi="sans-serif"/>
          <w:b/>
          <w:color w:val="000000"/>
          <w:sz w:val="20"/>
        </w:rPr>
        <w:t>Commission File No. 001-36276</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00" w:after="283"/>
        <w:jc w:val="center"/>
        <w:rPr>
          <w:rFonts w:ascii="Times New Roman" w:hAnsi="Times New Roman"/>
          <w:sz w:val="20"/>
        </w:rPr>
      </w:pPr>
      <w:r>
        <w:rPr>
          <w:rFonts w:ascii="sans-serif" w:hAnsi="sans-serif"/>
          <w:b/>
          <w:color w:val="000000"/>
          <w:sz w:val="48"/>
        </w:rPr>
        <w:t>ULTRAGENYX PHARMACEUTICAL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8282" w:type="dxa"/>
        <w:jc w:val="left"/>
        <w:tblInd w:w="0" w:type="dxa"/>
        <w:tblLayout w:type="fixed"/>
        <w:tblCellMar>
          <w:top w:w="28" w:type="dxa"/>
          <w:left w:w="28" w:type="dxa"/>
          <w:bottom w:w="28" w:type="dxa"/>
          <w:right w:w="28" w:type="dxa"/>
        </w:tblCellMar>
      </w:tblPr>
      <w:tblGrid>
        <w:gridCol w:w="5056"/>
        <w:gridCol w:w="146"/>
        <w:gridCol w:w="109"/>
        <w:gridCol w:w="297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27-2546083</w:t>
            </w:r>
          </w:p>
        </w:tc>
      </w:tr>
      <w:tr>
        <w:trPr/>
        <w:tc>
          <w:tcPr>
            <w:tcW w:w="505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(I.R.S. Employer Identification No.)</w:t>
            </w:r>
          </w:p>
        </w:tc>
      </w:tr>
    </w:tbl>
    <w:p>
      <w:pPr>
        <w:pStyle w:val="TextBody"/>
        <w:bidi w:val="0"/>
        <w:jc w:val="left"/>
        <w:rPr/>
      </w:pPr>
      <w:r>
        <w:rPr/>
        <w:t> </w:t>
      </w:r>
    </w:p>
    <w:tbl>
      <w:tblPr>
        <w:tblW w:w="4506" w:type="dxa"/>
        <w:jc w:val="left"/>
        <w:tblInd w:w="0" w:type="dxa"/>
        <w:tblLayout w:type="fixed"/>
        <w:tblCellMar>
          <w:top w:w="28" w:type="dxa"/>
          <w:left w:w="28" w:type="dxa"/>
          <w:bottom w:w="28" w:type="dxa"/>
          <w:right w:w="28" w:type="dxa"/>
        </w:tblCellMar>
      </w:tblPr>
      <w:tblGrid>
        <w:gridCol w:w="3376"/>
        <w:gridCol w:w="109"/>
        <w:gridCol w:w="1021"/>
      </w:tblGrid>
      <w:tr>
        <w:trPr/>
        <w:tc>
          <w:tcPr>
            <w:tcW w:w="3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60 Leveroni Court</w:t>
              <w:br/>
              <w:t>Novato, California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94949</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cMar>
              <w:top w:w="0" w:type="dxa"/>
              <w:left w:w="0" w:type="dxa"/>
              <w:bottom w:w="0" w:type="dxa"/>
              <w:right w:w="0" w:type="dxa"/>
            </w:tcMar>
            <w:vAlign w:val="center"/>
          </w:tcPr>
          <w:p>
            <w:pPr>
              <w:pStyle w:val="TableContents"/>
              <w:bidi w:val="0"/>
              <w:spacing w:before="0" w:after="283"/>
              <w:jc w:val="center"/>
              <w:rPr>
                <w:rFonts w:ascii="sans-serif" w:hAnsi="sans-serif"/>
                <w:i/>
                <w:color w:val="000000"/>
                <w:sz w:val="16"/>
              </w:rPr>
            </w:pPr>
            <w:r>
              <w:rPr>
                <w:rFonts w:ascii="sans-serif" w:hAnsi="sans-serif"/>
                <w:i/>
                <w:color w:val="000000"/>
                <w:sz w:val="16"/>
              </w:rPr>
              <w:t>(Zip Code)</w:t>
            </w:r>
          </w:p>
        </w:tc>
      </w:tr>
    </w:tbl>
    <w:p>
      <w:pPr>
        <w:pStyle w:val="TextBody"/>
        <w:bidi w:val="0"/>
        <w:spacing w:before="100" w:after="283"/>
        <w:jc w:val="center"/>
        <w:rPr>
          <w:rFonts w:ascii="sans-serif" w:hAnsi="sans-serif"/>
          <w:b/>
          <w:color w:val="000000"/>
          <w:sz w:val="20"/>
          <w:u w:val="single"/>
        </w:rPr>
      </w:pPr>
      <w:r>
        <w:rPr>
          <w:rFonts w:ascii="sans-serif" w:hAnsi="sans-serif"/>
          <w:b/>
          <w:color w:val="000000"/>
          <w:sz w:val="20"/>
          <w:u w:val="single"/>
        </w:rPr>
        <w:t>(415) 483-8800</w:t>
      </w:r>
    </w:p>
    <w:p>
      <w:pPr>
        <w:pStyle w:val="TextBody"/>
        <w:bidi w:val="0"/>
        <w:jc w:val="center"/>
        <w:rPr>
          <w:rFonts w:ascii="sans-serif" w:hAnsi="sans-serif"/>
          <w:color w:val="000000"/>
          <w:sz w:val="16"/>
        </w:rPr>
      </w:pPr>
      <w:r>
        <w:rPr>
          <w:rFonts w:ascii="sans-serif" w:hAnsi="sans-serif"/>
          <w:color w:val="000000"/>
          <w:sz w:val="16"/>
        </w:rPr>
        <w:t>(Registrant’s telephone number, including area code)</w:t>
      </w:r>
    </w:p>
    <w:p>
      <w:pPr>
        <w:pStyle w:val="TextBody"/>
        <w:bidi w:val="0"/>
        <w:spacing w:before="100" w:after="283"/>
        <w:jc w:val="center"/>
        <w:rPr>
          <w:rFonts w:ascii="sans-serif" w:hAnsi="sans-serif"/>
          <w:b/>
          <w:color w:val="000000"/>
          <w:sz w:val="20"/>
          <w:u w:val="single"/>
        </w:rPr>
      </w:pPr>
      <w:r>
        <w:rPr>
          <w:rFonts w:ascii="sans-serif" w:hAnsi="sans-serif"/>
          <w:b/>
          <w:color w:val="000000"/>
          <w:sz w:val="20"/>
          <w:u w:val="single"/>
        </w:rPr>
        <w:t>Not Applicable</w:t>
      </w:r>
    </w:p>
    <w:p>
      <w:pPr>
        <w:pStyle w:val="TextBody"/>
        <w:bidi w:val="0"/>
        <w:jc w:val="center"/>
        <w:rPr>
          <w:rFonts w:ascii="sans-serif" w:hAnsi="sans-serif"/>
          <w:color w:val="000000"/>
          <w:sz w:val="16"/>
        </w:rPr>
      </w:pPr>
      <w:r>
        <w:rPr>
          <w:rFonts w:ascii="sans-serif" w:hAnsi="sans-serif"/>
          <w:color w:val="000000"/>
          <w:sz w:val="16"/>
        </w:rPr>
        <w:t>(Former Name, Former Address and Former Fiscal Year, if Changed Since Last Report)</w:t>
      </w:r>
    </w:p>
    <w:p>
      <w:pPr>
        <w:pStyle w:val="TextBody"/>
        <w:pBdr>
          <w:bottom w:val="single" w:sz="8" w:space="1" w:color="000000"/>
        </w:pBdr>
        <w:bidi w:val="0"/>
        <w:jc w:val="center"/>
        <w:rPr/>
      </w:pPr>
      <w:r>
        <w:rPr/>
        <w:t> </w:t>
      </w:r>
    </w:p>
    <w:p>
      <w:pPr>
        <w:pStyle w:val="TextBody"/>
        <w:bidi w:val="0"/>
        <w:spacing w:before="100" w:after="100"/>
        <w:jc w:val="left"/>
        <w:rPr>
          <w:rFonts w:ascii="sans-serif" w:hAnsi="sans-serif"/>
          <w:color w:val="000000"/>
          <w:sz w:val="20"/>
        </w:rPr>
      </w:pPr>
      <w:r>
        <w:rPr>
          <w:rFonts w:ascii="sans-serif" w:hAnsi="sans-serif"/>
          <w:color w:val="000000"/>
          <w:sz w:val="20"/>
        </w:rPr>
        <w:t>Securities registered pursuant to Section 12(b) of the Act:</w:t>
      </w:r>
    </w:p>
    <w:tbl>
      <w:tblPr>
        <w:tblW w:w="9918" w:type="dxa"/>
        <w:jc w:val="left"/>
        <w:tblInd w:w="0" w:type="dxa"/>
        <w:tblLayout w:type="fixed"/>
        <w:tblCellMar>
          <w:top w:w="28" w:type="dxa"/>
          <w:left w:w="28" w:type="dxa"/>
          <w:bottom w:w="28" w:type="dxa"/>
          <w:right w:w="28" w:type="dxa"/>
        </w:tblCellMar>
      </w:tblPr>
      <w:tblGrid>
        <w:gridCol w:w="3781"/>
        <w:gridCol w:w="1636"/>
        <w:gridCol w:w="4501"/>
      </w:tblGrid>
      <w:tr>
        <w:trPr/>
        <w:tc>
          <w:tcPr>
            <w:tcW w:w="378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4501" w:type="dxa"/>
            <w:tcBorders/>
            <w:vAlign w:val="center"/>
          </w:tcPr>
          <w:p>
            <w:pPr>
              <w:pStyle w:val="TableContents"/>
              <w:bidi w:val="0"/>
              <w:spacing w:before="0" w:after="283"/>
              <w:jc w:val="left"/>
              <w:rPr>
                <w:sz w:val="4"/>
                <w:szCs w:val="4"/>
              </w:rPr>
            </w:pPr>
            <w:r>
              <w:rPr>
                <w:sz w:val="4"/>
                <w:szCs w:val="4"/>
              </w:rPr>
            </w:r>
          </w:p>
        </w:tc>
      </w:tr>
      <w:tr>
        <w:trPr/>
        <w:tc>
          <w:tcPr>
            <w:tcW w:w="378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44"/>
              <w:jc w:val="center"/>
              <w:rPr>
                <w:rFonts w:ascii="sans-serif" w:hAnsi="sans-serif"/>
                <w:color w:val="000000"/>
                <w:sz w:val="20"/>
              </w:rPr>
            </w:pPr>
            <w:r>
              <w:rPr>
                <w:rFonts w:ascii="sans-serif" w:hAnsi="sans-serif"/>
                <w:color w:val="000000"/>
                <w:sz w:val="20"/>
              </w:rPr>
              <w:t>Title of each class</w:t>
            </w:r>
          </w:p>
        </w:tc>
        <w:tc>
          <w:tcPr>
            <w:tcW w:w="16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sans-serif" w:hAnsi="sans-serif"/>
                <w:color w:val="000000"/>
                <w:sz w:val="20"/>
              </w:rPr>
            </w:pPr>
            <w:r>
              <w:rPr>
                <w:rFonts w:ascii="sans-serif" w:hAnsi="sans-serif"/>
                <w:color w:val="000000"/>
                <w:sz w:val="20"/>
              </w:rPr>
              <w:t>Trading Symbol</w:t>
            </w:r>
          </w:p>
        </w:tc>
        <w:tc>
          <w:tcPr>
            <w:tcW w:w="45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sans-serif" w:hAnsi="sans-serif"/>
                <w:color w:val="000000"/>
                <w:sz w:val="20"/>
              </w:rPr>
            </w:pPr>
            <w:r>
              <w:rPr>
                <w:rFonts w:ascii="sans-serif" w:hAnsi="sans-serif"/>
                <w:color w:val="000000"/>
                <w:sz w:val="20"/>
              </w:rPr>
              <w:t>Name of each exchange on which registered</w:t>
            </w:r>
          </w:p>
        </w:tc>
      </w:tr>
      <w:tr>
        <w:trPr/>
        <w:tc>
          <w:tcPr>
            <w:tcW w:w="37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44"/>
              <w:jc w:val="center"/>
              <w:rPr>
                <w:rFonts w:ascii="sans-serif" w:hAnsi="sans-serif"/>
                <w:b/>
                <w:color w:val="000000"/>
                <w:sz w:val="20"/>
              </w:rPr>
            </w:pPr>
            <w:r>
              <w:rPr>
                <w:rFonts w:ascii="sans-serif" w:hAnsi="sans-serif"/>
                <w:b/>
                <w:color w:val="000000"/>
                <w:sz w:val="20"/>
              </w:rPr>
              <w:t>Common Stock, $0.001 par value</w:t>
            </w:r>
          </w:p>
        </w:tc>
        <w:tc>
          <w:tcPr>
            <w:tcW w:w="16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sans-serif" w:hAnsi="sans-serif"/>
                <w:b/>
                <w:color w:val="000000"/>
                <w:sz w:val="20"/>
              </w:rPr>
            </w:pPr>
            <w:r>
              <w:rPr>
                <w:rFonts w:ascii="sans-serif" w:hAnsi="sans-serif"/>
                <w:b/>
                <w:color w:val="000000"/>
                <w:sz w:val="20"/>
              </w:rPr>
              <w:t>RARE</w:t>
            </w:r>
          </w:p>
        </w:tc>
        <w:tc>
          <w:tcPr>
            <w:tcW w:w="45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sans-serif" w:hAnsi="sans-serif"/>
                <w:b/>
                <w:color w:val="000000"/>
                <w:sz w:val="20"/>
              </w:rPr>
            </w:pPr>
            <w:r>
              <w:rPr>
                <w:rFonts w:ascii="sans-serif" w:hAnsi="sans-serif"/>
                <w:b/>
                <w:color w:val="000000"/>
                <w:sz w:val="20"/>
              </w:rPr>
              <w:t>The Nasdaq Global Select Market</w:t>
            </w:r>
          </w:p>
        </w:tc>
      </w:tr>
    </w:tbl>
    <w:p>
      <w:pPr>
        <w:pStyle w:val="TextBody"/>
        <w:bidi w:val="0"/>
        <w:spacing w:before="50" w:after="283"/>
        <w:jc w:val="left"/>
        <w:rPr>
          <w:rFonts w:ascii="Times New Roman" w:hAnsi="Times New Roman"/>
          <w:sz w:val="20"/>
        </w:rPr>
      </w:pPr>
      <w:r>
        <w:rPr>
          <w:rFonts w:ascii="sans-serif" w:hAnsi="sans-serif"/>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sans-serif" w:hAnsi="sans-serif"/>
          <w:caps/>
          <w:color w:val="000000"/>
          <w:sz w:val="20"/>
        </w:rPr>
        <w:t>Yes</w:t>
      </w:r>
      <w:r>
        <w:rPr>
          <w:rFonts w:ascii="Times New Roman" w:hAnsi="Times New Roman"/>
          <w:color w:val="000000"/>
          <w:sz w:val="20"/>
        </w:rPr>
        <w:t xml:space="preserve"> ☑ </w:t>
      </w:r>
      <w:r>
        <w:rPr>
          <w:rFonts w:ascii="sans-serif" w:hAnsi="sans-serif"/>
          <w:caps/>
          <w:color w:val="000000"/>
          <w:sz w:val="20"/>
        </w:rPr>
        <w:t>No</w:t>
      </w:r>
      <w:r>
        <w:rPr>
          <w:rFonts w:ascii="Times New Roman" w:hAnsi="Times New Roman"/>
          <w:color w:val="000000"/>
          <w:sz w:val="20"/>
        </w:rPr>
        <w:t xml:space="preserve"> ☐ </w:t>
      </w:r>
    </w:p>
    <w:p>
      <w:pPr>
        <w:pStyle w:val="TextBody"/>
        <w:bidi w:val="0"/>
        <w:spacing w:before="100" w:after="283"/>
        <w:jc w:val="left"/>
        <w:rPr>
          <w:rFonts w:ascii="Times New Roman" w:hAnsi="Times New Roman"/>
          <w:sz w:val="20"/>
        </w:rPr>
      </w:pPr>
      <w:r>
        <w:rPr>
          <w:rFonts w:ascii="sans-serif" w:hAnsi="sans-serif"/>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sans-serif" w:hAnsi="sans-serif"/>
          <w:caps/>
          <w:color w:val="000000"/>
          <w:sz w:val="20"/>
        </w:rPr>
        <w:t>Yes</w:t>
      </w:r>
      <w:r>
        <w:rPr>
          <w:rFonts w:ascii="Times New Roman" w:hAnsi="Times New Roman"/>
          <w:color w:val="000000"/>
          <w:sz w:val="20"/>
        </w:rPr>
        <w:t xml:space="preserve"> ☑ </w:t>
      </w:r>
      <w:r>
        <w:rPr>
          <w:rFonts w:ascii="sans-serif" w:hAnsi="sans-serif"/>
          <w:caps/>
          <w:color w:val="000000"/>
          <w:sz w:val="20"/>
        </w:rPr>
        <w:t>No</w:t>
      </w:r>
      <w:r>
        <w:rPr>
          <w:rFonts w:ascii="Times New Roman" w:hAnsi="Times New Roman"/>
          <w:color w:val="000000"/>
          <w:sz w:val="20"/>
        </w:rPr>
        <w:t xml:space="preserve"> ☐ </w:t>
      </w:r>
    </w:p>
    <w:p>
      <w:pPr>
        <w:pStyle w:val="TextBody"/>
        <w:bidi w:val="0"/>
        <w:spacing w:before="100" w:after="283"/>
        <w:jc w:val="left"/>
        <w:rPr>
          <w:rFonts w:ascii="Times New Roman" w:hAnsi="Times New Roman"/>
          <w:sz w:val="20"/>
        </w:rPr>
      </w:pPr>
      <w:r>
        <w:rPr>
          <w:rFonts w:ascii="sans-serif" w:hAnsi="sans-serif"/>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6172" w:type="dxa"/>
        <w:jc w:val="left"/>
        <w:tblInd w:w="0" w:type="dxa"/>
        <w:tblLayout w:type="fixed"/>
        <w:tblCellMar>
          <w:top w:w="28" w:type="dxa"/>
          <w:left w:w="28" w:type="dxa"/>
          <w:bottom w:w="28" w:type="dxa"/>
          <w:right w:w="28" w:type="dxa"/>
        </w:tblCellMar>
      </w:tblPr>
      <w:tblGrid>
        <w:gridCol w:w="2296"/>
        <w:gridCol w:w="146"/>
        <w:gridCol w:w="316"/>
        <w:gridCol w:w="146"/>
        <w:gridCol w:w="2761"/>
        <w:gridCol w:w="146"/>
        <w:gridCol w:w="36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2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rFonts w:ascii="sans-serif" w:hAnsi="sans-serif"/>
          <w:color w:val="000000"/>
          <w:sz w:val="18"/>
        </w:rPr>
      </w:pPr>
      <w:r>
        <w:rPr>
          <w:rFonts w:ascii="sans-serif" w:hAnsi="sans-serif"/>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0" w:after="283"/>
        <w:jc w:val="left"/>
        <w:rPr>
          <w:rFonts w:ascii="Times New Roman" w:hAnsi="Times New Roman"/>
          <w:sz w:val="20"/>
        </w:rPr>
      </w:pPr>
      <w:r>
        <w:rPr>
          <w:rFonts w:ascii="sans-serif" w:hAnsi="sans-serif"/>
          <w:color w:val="000000"/>
          <w:sz w:val="18"/>
        </w:rPr>
        <w:t xml:space="preserve">Indicate by check mark whether the registrant is a shell company (as defined in Rule 12b-2 of the Exchange Act). </w:t>
      </w:r>
      <w:r>
        <w:rPr>
          <w:rFonts w:ascii="sans-serif" w:hAnsi="sans-serif"/>
          <w:caps/>
          <w:color w:val="000000"/>
          <w:sz w:val="18"/>
        </w:rPr>
        <w:t>Yes</w:t>
      </w:r>
      <w:r>
        <w:rPr>
          <w:rFonts w:ascii="Times New Roman" w:hAnsi="Times New Roman"/>
          <w:color w:val="000000"/>
          <w:sz w:val="20"/>
        </w:rPr>
        <w:t xml:space="preserve"> ☐ </w:t>
      </w:r>
      <w:r>
        <w:rPr>
          <w:rFonts w:ascii="sans-serif" w:hAnsi="sans-serif"/>
          <w:caps/>
          <w:color w:val="000000"/>
          <w:sz w:val="18"/>
        </w:rPr>
        <w:t>No</w:t>
      </w:r>
      <w:r>
        <w:rPr>
          <w:rFonts w:ascii="Times New Roman" w:hAnsi="Times New Roman"/>
          <w:color w:val="000000"/>
          <w:sz w:val="20"/>
        </w:rPr>
        <w:t xml:space="preserve"> ☑</w:t>
      </w:r>
    </w:p>
    <w:p>
      <w:pPr>
        <w:pStyle w:val="TextBody"/>
        <w:bidi w:val="0"/>
        <w:spacing w:before="100" w:after="100"/>
        <w:jc w:val="left"/>
        <w:rPr>
          <w:rFonts w:ascii="Times New Roman" w:hAnsi="Times New Roman"/>
          <w:sz w:val="20"/>
        </w:rPr>
      </w:pPr>
      <w:r>
        <w:rPr>
          <w:rFonts w:ascii="sans-serif" w:hAnsi="sans-serif"/>
          <w:color w:val="000000"/>
          <w:sz w:val="18"/>
        </w:rPr>
        <w:t>As of July 31, 2026, the registrant had 98,588,873</w:t>
      </w:r>
      <w:r>
        <w:rPr>
          <w:rFonts w:ascii="Times New Roman" w:hAnsi="Times New Roman"/>
          <w:color w:val="000000"/>
          <w:sz w:val="20"/>
        </w:rPr>
        <w:t xml:space="preserve"> </w:t>
      </w:r>
      <w:r>
        <w:rPr>
          <w:rFonts w:ascii="sans-serif" w:hAnsi="sans-serif"/>
          <w:color w:val="000000"/>
          <w:sz w:val="18"/>
        </w:rPr>
        <w:t>shares of common stock issued and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0"/>
        </w:rPr>
        <w:t>ULTRAGENYX PHARMACEUTICAL INC.</w:t>
      </w:r>
      <w:r>
        <w:rPr>
          <w:rFonts w:ascii="Times New Roman" w:hAnsi="Times New Roman"/>
          <w:color w:val="000000"/>
          <w:sz w:val="20"/>
        </w:rPr>
        <w:t xml:space="preserve"> </w:t>
      </w:r>
    </w:p>
    <w:p>
      <w:pPr>
        <w:pStyle w:val="TextBody"/>
        <w:bidi w:val="0"/>
        <w:spacing w:before="120" w:after="283"/>
        <w:jc w:val="center"/>
        <w:rPr>
          <w:rFonts w:ascii="sans-serif" w:hAnsi="sans-serif"/>
          <w:b/>
          <w:color w:val="000000"/>
          <w:sz w:val="20"/>
        </w:rPr>
      </w:pPr>
      <w:r>
        <w:rPr>
          <w:rFonts w:ascii="sans-serif" w:hAnsi="sans-serif"/>
          <w:b/>
          <w:color w:val="000000"/>
          <w:sz w:val="20"/>
        </w:rPr>
        <w:t>FORM 10-Q FOR THE QUARTER ENDED June 30, 2026</w:t>
      </w:r>
    </w:p>
    <w:p>
      <w:pPr>
        <w:pStyle w:val="TextBody"/>
        <w:bidi w:val="0"/>
        <w:spacing w:before="120" w:after="283"/>
        <w:jc w:val="center"/>
        <w:rPr>
          <w:rFonts w:ascii="Times New Roman" w:hAnsi="Times New Roman"/>
          <w:sz w:val="20"/>
        </w:rPr>
      </w:pPr>
      <w:r>
        <w:rPr>
          <w:rFonts w:ascii="sans-serif" w:hAnsi="sans-serif"/>
          <w:b/>
          <w:color w:val="000000"/>
          <w:sz w:val="20"/>
        </w:rPr>
        <w:t>INDEX</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25"/>
        <w:gridCol w:w="146"/>
        <w:gridCol w:w="1141"/>
        <w:gridCol w:w="1125"/>
        <w:gridCol w:w="6220"/>
        <w:gridCol w:w="146"/>
        <w:gridCol w:w="602"/>
      </w:tblGrid>
      <w:tr>
        <w:trPr/>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6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Page</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57" w:type="dxa"/>
            <w:gridSpan w:val="5"/>
            <w:tcBorders/>
            <w:tcMar>
              <w:top w:w="0" w:type="dxa"/>
              <w:left w:w="0" w:type="dxa"/>
              <w:bottom w:w="0" w:type="dxa"/>
              <w:right w:w="0" w:type="dxa"/>
            </w:tcMar>
            <w:vAlign w:val="center"/>
          </w:tcPr>
          <w:p>
            <w:pPr>
              <w:pStyle w:val="TableContents"/>
              <w:bidi w:val="0"/>
              <w:spacing w:before="0" w:after="283"/>
              <w:jc w:val="left"/>
              <w:rPr/>
            </w:pPr>
            <w:hyperlink w:anchor="cautionary_note">
              <w:r>
                <w:rPr>
                  <w:rStyle w:val="InternetLink"/>
                  <w:rFonts w:ascii="sans-serif" w:hAnsi="sans-serif"/>
                  <w:b/>
                  <w:color w:val="0000FF"/>
                  <w:sz w:val="20"/>
                  <w:u w:val="single"/>
                </w:rPr>
                <w:t>CAUTIONARY NOTE REGARDING FORWARD-LOOKING STATEMENTS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Part I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6"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sans-serif" w:hAnsi="sans-serif"/>
                  <w:b/>
                  <w:color w:val="0000FF"/>
                  <w:sz w:val="20"/>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1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sans-serif" w:hAnsi="sans-serif"/>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tcBorders/>
            <w:tcMar>
              <w:top w:w="0" w:type="dxa"/>
              <w:left w:w="0" w:type="dxa"/>
              <w:bottom w:w="0" w:type="dxa"/>
              <w:right w:w="0" w:type="dxa"/>
            </w:tcMar>
            <w:vAlign w:val="center"/>
          </w:tcPr>
          <w:p>
            <w:pPr>
              <w:pStyle w:val="TableContents"/>
              <w:bidi w:val="0"/>
              <w:spacing w:before="0" w:after="283"/>
              <w:ind w:left="0" w:right="0" w:firstLine="979"/>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ind w:left="0" w:right="0" w:firstLine="979"/>
              <w:jc w:val="left"/>
              <w:rPr/>
            </w:pPr>
            <w:hyperlink w:anchor="condensed_balance_sheets">
              <w:r>
                <w:rPr>
                  <w:rStyle w:val="InternetLink"/>
                  <w:rFonts w:ascii="sans-serif" w:hAnsi="sans-serif"/>
                  <w:color w:val="0000FF"/>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tcBorders/>
            <w:tcMar>
              <w:top w:w="0" w:type="dxa"/>
              <w:left w:w="0" w:type="dxa"/>
              <w:bottom w:w="0" w:type="dxa"/>
              <w:right w:w="0" w:type="dxa"/>
            </w:tcMar>
            <w:vAlign w:val="center"/>
          </w:tcPr>
          <w:p>
            <w:pPr>
              <w:pStyle w:val="TableContents"/>
              <w:bidi w:val="0"/>
              <w:spacing w:before="0" w:after="283"/>
              <w:ind w:left="0" w:right="0" w:firstLine="979"/>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ind w:left="0" w:right="0" w:firstLine="979"/>
              <w:jc w:val="left"/>
              <w:rPr/>
            </w:pPr>
            <w:hyperlink w:anchor="condensed_statements_of_operations">
              <w:r>
                <w:rPr>
                  <w:rStyle w:val="InternetLink"/>
                  <w:rFonts w:ascii="sans-serif" w:hAnsi="sans-serif"/>
                  <w:color w:val="0000FF"/>
                  <w:sz w:val="20"/>
                  <w:u w:val="single"/>
                </w:rPr>
                <w:t>Condensed Consolidated Statements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tcBorders/>
            <w:tcMar>
              <w:top w:w="0" w:type="dxa"/>
              <w:left w:w="0" w:type="dxa"/>
              <w:bottom w:w="0" w:type="dxa"/>
              <w:right w:w="0" w:type="dxa"/>
            </w:tcMar>
            <w:vAlign w:val="center"/>
          </w:tcPr>
          <w:p>
            <w:pPr>
              <w:pStyle w:val="TableContents"/>
              <w:bidi w:val="0"/>
              <w:spacing w:before="0" w:after="283"/>
              <w:ind w:left="0" w:right="0" w:firstLine="979"/>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ind w:left="0" w:right="0" w:firstLine="979"/>
              <w:jc w:val="left"/>
              <w:rPr/>
            </w:pPr>
            <w:hyperlink w:anchor="condensed_statements_of_comprehensive_lo">
              <w:r>
                <w:rPr>
                  <w:rStyle w:val="InternetLink"/>
                  <w:rFonts w:ascii="sans-serif" w:hAnsi="sans-serif"/>
                  <w:color w:val="0000FF"/>
                  <w:sz w:val="20"/>
                  <w:u w:val="single"/>
                </w:rPr>
                <w:t>Condensed Consolidated Statements of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ind w:left="0" w:right="0" w:firstLine="979"/>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ind w:left="0" w:right="0" w:firstLine="979"/>
              <w:jc w:val="left"/>
              <w:rPr/>
            </w:pPr>
            <w:hyperlink w:anchor="condensed_statements_of_equity">
              <w:r>
                <w:rPr>
                  <w:rStyle w:val="InternetLink"/>
                  <w:rFonts w:ascii="sans-serif" w:hAnsi="sans-serif"/>
                  <w:color w:val="0000FF"/>
                  <w:sz w:val="20"/>
                  <w:u w:val="single"/>
                </w:rPr>
                <w:t>Condensed Consolidated Statements of Stockholders’ Equity (Deficit)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tcBorders/>
            <w:tcMar>
              <w:top w:w="0" w:type="dxa"/>
              <w:left w:w="0" w:type="dxa"/>
              <w:bottom w:w="0" w:type="dxa"/>
              <w:right w:w="0" w:type="dxa"/>
            </w:tcMar>
            <w:vAlign w:val="center"/>
          </w:tcPr>
          <w:p>
            <w:pPr>
              <w:pStyle w:val="TableContents"/>
              <w:bidi w:val="0"/>
              <w:spacing w:before="0" w:after="283"/>
              <w:ind w:left="0" w:right="0" w:firstLine="979"/>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ind w:left="0" w:right="0" w:firstLine="979"/>
              <w:jc w:val="left"/>
              <w:rPr/>
            </w:pPr>
            <w:hyperlink w:anchor="condensed_statements_of_cash_flows">
              <w:r>
                <w:rPr>
                  <w:rStyle w:val="InternetLink"/>
                  <w:rFonts w:ascii="sans-serif" w:hAnsi="sans-serif"/>
                  <w:color w:val="0000FF"/>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tcBorders/>
            <w:tcMar>
              <w:top w:w="0" w:type="dxa"/>
              <w:left w:w="0" w:type="dxa"/>
              <w:bottom w:w="0" w:type="dxa"/>
              <w:right w:w="0" w:type="dxa"/>
            </w:tcMar>
            <w:vAlign w:val="center"/>
          </w:tcPr>
          <w:p>
            <w:pPr>
              <w:pStyle w:val="TableContents"/>
              <w:bidi w:val="0"/>
              <w:spacing w:before="0" w:after="283"/>
              <w:ind w:left="0" w:right="0" w:firstLine="979"/>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ind w:left="0" w:right="0" w:firstLine="979"/>
              <w:jc w:val="left"/>
              <w:rPr/>
            </w:pPr>
            <w:hyperlink w:anchor="notes_to_condensed_financial_statements">
              <w:r>
                <w:rPr>
                  <w:rStyle w:val="InternetLink"/>
                  <w:rFonts w:ascii="sans-serif" w:hAnsi="sans-serif"/>
                  <w:color w:val="0000FF"/>
                  <w:sz w:val="20"/>
                  <w:u w:val="single"/>
                </w:rPr>
                <w:t>Notes to Condensed Consolidated Financial Statements</w:t>
              </w:r>
            </w:hyperlink>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1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jc w:val="left"/>
              <w:rPr/>
            </w:pPr>
            <w:hyperlink w:anchor="item_2_management">
              <w:r>
                <w:rPr>
                  <w:rStyle w:val="InternetLink"/>
                  <w:rFonts w:ascii="sans-serif" w:hAnsi="sans-serif"/>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1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jc w:val="left"/>
              <w:rPr/>
            </w:pPr>
            <w:hyperlink w:anchor="item_3_quantitative">
              <w:r>
                <w:rPr>
                  <w:rStyle w:val="InternetLink"/>
                  <w:rFonts w:ascii="sans-serif" w:hAnsi="sans-serif"/>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1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jc w:val="left"/>
              <w:rPr/>
            </w:pPr>
            <w:hyperlink w:anchor="item_4_controls">
              <w:r>
                <w:rPr>
                  <w:rStyle w:val="InternetLink"/>
                  <w:rFonts w:ascii="sans-serif" w:hAnsi="sans-serif"/>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8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Part II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6" w:type="dxa"/>
            <w:gridSpan w:val="3"/>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sans-serif" w:hAnsi="sans-serif"/>
                  <w:b/>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1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jc w:val="left"/>
              <w:rPr/>
            </w:pPr>
            <w:hyperlink w:anchor="item_1_legal">
              <w:r>
                <w:rPr>
                  <w:rStyle w:val="InternetLink"/>
                  <w:rFonts w:ascii="sans-serif" w:hAnsi="sans-serif"/>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1A.</w:t>
            </w:r>
          </w:p>
        </w:tc>
        <w:tc>
          <w:tcPr>
            <w:tcW w:w="1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jc w:val="left"/>
              <w:rPr/>
            </w:pPr>
            <w:hyperlink w:anchor="rf">
              <w:r>
                <w:rPr>
                  <w:rStyle w:val="InternetLink"/>
                  <w:rFonts w:ascii="sans-serif" w:hAnsi="sans-serif"/>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1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jc w:val="left"/>
              <w:rPr/>
            </w:pPr>
            <w:hyperlink w:anchor="item_2_unregistered">
              <w:r>
                <w:rPr>
                  <w:rStyle w:val="InternetLink"/>
                  <w:rFonts w:ascii="sans-serif" w:hAnsi="sans-serif"/>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1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jc w:val="left"/>
              <w:rPr/>
            </w:pPr>
            <w:hyperlink w:anchor="item_3_defaults">
              <w:r>
                <w:rPr>
                  <w:rStyle w:val="InternetLink"/>
                  <w:rFonts w:ascii="sans-serif" w:hAnsi="sans-serif"/>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1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jc w:val="left"/>
              <w:rPr/>
            </w:pPr>
            <w:hyperlink w:anchor="item_4_mine_safe">
              <w:r>
                <w:rPr>
                  <w:rStyle w:val="InternetLink"/>
                  <w:rFonts w:ascii="sans-serif" w:hAnsi="sans-serif"/>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5.</w:t>
            </w:r>
          </w:p>
        </w:tc>
        <w:tc>
          <w:tcPr>
            <w:tcW w:w="1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sans-serif" w:hAnsi="sans-serif"/>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6.</w:t>
            </w:r>
          </w:p>
        </w:tc>
        <w:tc>
          <w:tcPr>
            <w:tcW w:w="1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sans-serif" w:hAnsi="sans-serif"/>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r>
      <w:tr>
        <w:trPr/>
        <w:tc>
          <w:tcPr>
            <w:tcW w:w="82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tcMar>
              <w:top w:w="0" w:type="dxa"/>
              <w:left w:w="0" w:type="dxa"/>
              <w:bottom w:w="0" w:type="dxa"/>
              <w:right w:w="0" w:type="dxa"/>
            </w:tcMar>
            <w:vAlign w:val="center"/>
          </w:tcPr>
          <w:p>
            <w:pPr>
              <w:pStyle w:val="TableContents"/>
              <w:bidi w:val="0"/>
              <w:spacing w:before="0" w:after="283"/>
              <w:jc w:val="left"/>
              <w:rPr/>
            </w:pPr>
            <w:r>
              <w:rPr/>
              <w:t> </w:t>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sans-serif" w:hAnsi="sans-serif"/>
                  <w:color w:val="0000FF"/>
                  <w:sz w:val="20"/>
                  <w:u w:val="single"/>
                </w:rPr>
                <w:t>Signatures</w:t>
              </w:r>
            </w:hyperlink>
          </w:p>
        </w:tc>
        <w:tc>
          <w:tcPr>
            <w:tcW w:w="1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74</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bookmarkStart w:id="2" w:name="cautionary_note"/>
      <w:bookmarkEnd w:id="2"/>
      <w:r>
        <w:rPr>
          <w:rFonts w:ascii="sans-serif" w:hAnsi="sans-serif"/>
          <w:b/>
          <w:color w:val="000000"/>
          <w:sz w:val="20"/>
        </w:rPr>
        <w:t>CAUTIONARY NOTE REGARDING FORWARD-LOOKING STATEMENTS</w:t>
      </w:r>
    </w:p>
    <w:p>
      <w:pPr>
        <w:pStyle w:val="TextBody"/>
        <w:bidi w:val="0"/>
        <w:spacing w:before="180" w:after="283"/>
        <w:jc w:val="left"/>
        <w:rPr>
          <w:rFonts w:ascii="Times New Roman" w:hAnsi="Times New Roman"/>
          <w:sz w:val="20"/>
        </w:rPr>
      </w:pPr>
      <w:r>
        <w:rPr>
          <w:rFonts w:ascii="sans-serif" w:hAnsi="sans-serif"/>
          <w:color w:val="000000"/>
          <w:sz w:val="20"/>
        </w:rPr>
        <w:t>This Quarterly Report on Form 10-Q, or the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 contained in this Quarterly Report are forward-looking statements. In some cases, you can identify forward-looking statements by words such as "aim," “anticipate,” “believe,” “continue,” “could,” “estimate,” “expect,” “forecast,” “intend,” “may,” “plan,” “potential,” “predict,” “project,” “seek,” “should,” “target,” “will,” “would,” or the negative of these words, or other comparable terminology. These forward-looking statements include, but are not limited to, statements about:</w:t>
      </w:r>
      <w:r>
        <w:rPr>
          <w:rFonts w:ascii="Times New Roman" w:hAnsi="Times New Roman"/>
          <w:color w:val="000000"/>
          <w:sz w:val="20"/>
        </w:rPr>
        <w:t xml:space="preserve">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our commercialization, marketing, and manufacturing capabilities and strategy;</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our expectations regarding the timing of clinical study commencements and reporting results from same;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the timing and likelihood of regulatory approvals for, or commercialization of, our product candidates;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anticipated indications for our product candidates, if approved;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potential market opportunities for commercializing our products and product candidates;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our expectations regarding the potential market size and the size of the patient populations for our products and product candidates, if approved for commercial use;</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estimates of our expenses, revenue, capital requirements, and our needs for additional financing;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our ability to develop, acquire, and advance product candidates into, and successfully complete, clinical studies;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outcome of the FDA’s review of our resubmitted Biologics License Application, or BLA, for UX111, including whether we have fully addressed the FDA’s comments in its complete response letter (CRL) to the satisfaction of the FDA;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whether the FDA will approve our BLAs for UX111 and DTX401 within the anticipated timeframes, or whether the FDA will require additional information, studies, or manufacturing changes as a condition of approval;</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the implementation of our business model and strategic plans for our business, products and product candidates and the integration and performance of any businesses we have acquired or may acquire;</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initiation, timing, progress, and results of ongoing and future preclinical and clinical studies, and our research and development programs;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scope of protection we are able to establish and maintain for intellectual property rights covering our products and product candidates;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our ability to maintain and establish collaborations or strategic relationships or obtain additional funding;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our ability to maintain and establish relationships with third parties, such as contract research organizations, contract manufacturing organizations, suppliers, and distributors;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our financial performance, including our expectations for profitability in 2027;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our ability to obtain supply of our products and product candidates;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the scalability and commercial viability of our manufacturing methods and processes;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developments and projections relating to our competitors and our industry;</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our ability to achieve the anticipated savings from our restructuring plan announced in February 2026;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stagnating or worsening business and economic conditions and increasing geopolitical instability, including inflationary pressures, general economic slowdown or a recession, high interest rates, foreign exchange rate volatility, government shutdowns, financial institution instability, changes in tariff policy, and changes in monetary policy;</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the impact of market conditions and volatility on unrealized gains or losses on our nonqualified deferred compensation plan investments and our financial results; and</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other risks and uncertainties, including those listed under "Part II, Item 1A. Risk Factors."</w:t>
      </w:r>
    </w:p>
    <w:p>
      <w:pPr>
        <w:pStyle w:val="TextBody"/>
        <w:bidi w:val="0"/>
        <w:spacing w:before="90" w:after="283"/>
        <w:jc w:val="left"/>
        <w:rPr>
          <w:rFonts w:ascii="Times New Roman" w:hAnsi="Times New Roman"/>
          <w:sz w:val="20"/>
        </w:rPr>
      </w:pPr>
      <w:r>
        <w:rPr>
          <w:rFonts w:ascii="sans-serif" w:hAnsi="sans-serif"/>
          <w:color w:val="000000"/>
          <w:sz w:val="20"/>
        </w:rPr>
        <w:t>Any forward-looking statements in this Quarterly Report reflect our current views with respect to future events or to our future financial performance and involve known and unknown risks, uncertainties, and other factors that may cause our actual results, performance, outcomes, or achievements to be materially different from any future results, performance, or achievements expressed or implied by these forward-looking statements. Factors that may cause actual results to differ materially from current expectations include, among other things, those discussed under Part II, Item 1A. Risk Factors and elsewhere in this Quarterly</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90" w:after="283"/>
        <w:jc w:val="left"/>
        <w:rPr>
          <w:rFonts w:ascii="sans-serif" w:hAnsi="sans-serif"/>
          <w:color w:val="000000"/>
          <w:sz w:val="20"/>
        </w:rPr>
      </w:pPr>
      <w:r>
        <w:rPr>
          <w:rFonts w:ascii="sans-serif" w:hAnsi="sans-serif"/>
          <w:color w:val="000000"/>
          <w:sz w:val="20"/>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such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jc w:val="center"/>
        <w:rPr>
          <w:rFonts w:ascii="sans-serif" w:hAnsi="sans-serif"/>
          <w:color w:val="000000"/>
          <w:sz w:val="20"/>
        </w:rPr>
      </w:pPr>
      <w:r>
        <w:rPr>
          <w:rFonts w:ascii="sans-serif" w:hAnsi="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90"/>
        <w:jc w:val="left"/>
        <w:rPr>
          <w:rFonts w:ascii="Times New Roman" w:hAnsi="Times New Roman"/>
          <w:sz w:val="20"/>
        </w:rPr>
      </w:pPr>
      <w:bookmarkStart w:id="3" w:name="part_i_financial_information"/>
      <w:bookmarkEnd w:id="3"/>
      <w:r>
        <w:rPr>
          <w:rFonts w:ascii="sans-serif" w:hAnsi="sans-serif"/>
          <w:b/>
          <w:color w:val="000000"/>
          <w:sz w:val="20"/>
        </w:rPr>
        <w:t>PART I. FINANCIAL INFORMATION</w:t>
      </w:r>
      <w:r>
        <w:rPr>
          <w:rFonts w:ascii="Times New Roman" w:hAnsi="Times New Roman"/>
          <w:color w:val="000000"/>
          <w:sz w:val="20"/>
        </w:rPr>
        <w:t xml:space="preserve"> </w:t>
      </w:r>
    </w:p>
    <w:p>
      <w:pPr>
        <w:pStyle w:val="TextBody"/>
        <w:bidi w:val="0"/>
        <w:jc w:val="left"/>
        <w:rPr>
          <w:rFonts w:ascii="Times New Roman" w:hAnsi="Times New Roman"/>
          <w:sz w:val="20"/>
        </w:rPr>
      </w:pPr>
      <w:bookmarkStart w:id="4" w:name="item_1_financial_statements"/>
      <w:bookmarkEnd w:id="4"/>
      <w:r>
        <w:rPr>
          <w:rFonts w:ascii="sans-serif" w:hAnsi="sans-serif"/>
          <w:b/>
          <w:color w:val="000000"/>
          <w:sz w:val="20"/>
        </w:rPr>
        <w:t xml:space="preserve">Item 1. </w:t>
      </w:r>
      <w:r>
        <w:rPr>
          <w:rFonts w:ascii="sans-serif" w:hAnsi="sans-serif"/>
          <w:b/>
          <w:i/>
          <w:color w:val="000000"/>
          <w:sz w:val="20"/>
        </w:rPr>
        <w:t>Financial Statements</w:t>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0"/>
        </w:rPr>
        <w:t>ULTRAGENYX PHARMACEUTICAL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balance_sheets"/>
      <w:bookmarkEnd w:id="5"/>
      <w:r>
        <w:rPr>
          <w:rFonts w:ascii="sans-serif" w:hAnsi="sans-serif"/>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rFonts w:ascii="sans-serif" w:hAnsi="sans-serif"/>
          <w:b/>
          <w:color w:val="000000"/>
          <w:sz w:val="20"/>
        </w:rPr>
      </w:pPr>
      <w:r>
        <w:rPr>
          <w:rFonts w:ascii="sans-serif" w:hAnsi="sans-serif"/>
          <w:b/>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7006"/>
        <w:gridCol w:w="226"/>
        <w:gridCol w:w="721"/>
        <w:gridCol w:w="181"/>
        <w:gridCol w:w="146"/>
        <w:gridCol w:w="317"/>
        <w:gridCol w:w="1016"/>
        <w:gridCol w:w="592"/>
      </w:tblGrid>
      <w:tr>
        <w:trPr/>
        <w:tc>
          <w:tcPr>
            <w:tcW w:w="70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613" w:type="dxa"/>
            <w:gridSpan w:val="7"/>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ASSETS</w:t>
            </w:r>
          </w:p>
        </w:tc>
        <w:tc>
          <w:tcPr>
            <w:tcW w:w="592"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421</w:t>
            </w:r>
          </w:p>
        </w:tc>
        <w:tc>
          <w:tcPr>
            <w:tcW w:w="59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Marketable securities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receivable, net</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158</w:t>
            </w:r>
          </w:p>
        </w:tc>
        <w:tc>
          <w:tcPr>
            <w:tcW w:w="592"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Inventory</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Prepaid expenses and other assets</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w:t>
            </w:r>
          </w:p>
        </w:tc>
        <w:tc>
          <w:tcPr>
            <w:tcW w:w="592"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assets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plant, and equipment, net</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235</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244</w:t>
            </w:r>
          </w:p>
        </w:tc>
        <w:tc>
          <w:tcPr>
            <w:tcW w:w="59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Marketable securities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Intangible assets, net</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176</w:t>
            </w:r>
          </w:p>
        </w:tc>
        <w:tc>
          <w:tcPr>
            <w:tcW w:w="59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Goodwill</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assets</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59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1,532</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613" w:type="dxa"/>
            <w:gridSpan w:val="7"/>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LIABILITIES, NONCONTROLLING INTEREST AND STOCKHOLDERS' EQUITY (DEFICIT)</w:t>
            </w:r>
          </w:p>
        </w:tc>
        <w:tc>
          <w:tcPr>
            <w:tcW w:w="592"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payable</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1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592"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liabilities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Liabilities for sales of future royalties</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w:t>
            </w:r>
          </w:p>
        </w:tc>
        <w:tc>
          <w:tcPr>
            <w:tcW w:w="592"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liabilities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liabilities</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351</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384</w:t>
            </w:r>
          </w:p>
        </w:tc>
        <w:tc>
          <w:tcPr>
            <w:tcW w:w="59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tax liabilities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Liabilities for sales of future royalties</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1,126</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1,147</w:t>
            </w:r>
          </w:p>
        </w:tc>
        <w:tc>
          <w:tcPr>
            <w:tcW w:w="59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liabilities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1,548</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1,605</w:t>
            </w:r>
          </w:p>
        </w:tc>
        <w:tc>
          <w:tcPr>
            <w:tcW w:w="59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Noncontrolling interest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deficit:</w:t>
            </w:r>
          </w:p>
        </w:tc>
        <w:tc>
          <w:tcPr>
            <w:tcW w:w="94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Preferred stock, par value of $0.001</w:t>
            </w:r>
            <w:r>
              <w:rPr>
                <w:rFonts w:ascii="Times New Roman" w:hAnsi="Times New Roman"/>
                <w:color w:val="000000"/>
                <w:sz w:val="20"/>
              </w:rPr>
              <w:t> </w:t>
            </w:r>
            <w:r>
              <w:rPr>
                <w:rFonts w:ascii="sans-serif" w:hAnsi="sans-serif"/>
                <w:color w:val="000000"/>
                <w:sz w:val="20"/>
              </w:rPr>
              <w:t>per share—25.0</w:t>
            </w:r>
            <w:r>
              <w:rPr>
                <w:rFonts w:ascii="Times New Roman" w:hAnsi="Times New Roman"/>
                <w:color w:val="000000"/>
                <w:sz w:val="20"/>
              </w:rPr>
              <w:t> </w:t>
            </w:r>
            <w:r>
              <w:rPr>
                <w:rFonts w:ascii="sans-serif" w:hAnsi="sans-serif"/>
                <w:color w:val="000000"/>
                <w:sz w:val="20"/>
              </w:rPr>
              <w:t>shares authorized; nil</w:t>
              <w:br/>
              <w:t>   outstanding in 2026 and in 2025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Common stock, par value of $0.001</w:t>
            </w:r>
            <w:r>
              <w:rPr>
                <w:rFonts w:ascii="Times New Roman" w:hAnsi="Times New Roman"/>
                <w:color w:val="000000"/>
                <w:sz w:val="20"/>
              </w:rPr>
              <w:t> </w:t>
            </w:r>
            <w:r>
              <w:rPr>
                <w:rFonts w:ascii="sans-serif" w:hAnsi="sans-serif"/>
                <w:color w:val="000000"/>
                <w:sz w:val="20"/>
              </w:rPr>
              <w:t>per share—250.0</w:t>
            </w:r>
            <w:r>
              <w:rPr>
                <w:rFonts w:ascii="Times New Roman" w:hAnsi="Times New Roman"/>
                <w:color w:val="000000"/>
                <w:sz w:val="20"/>
              </w:rPr>
              <w:t> </w:t>
            </w:r>
            <w:r>
              <w:rPr>
                <w:rFonts w:ascii="sans-serif" w:hAnsi="sans-serif"/>
                <w:color w:val="000000"/>
                <w:sz w:val="20"/>
              </w:rPr>
              <w:t>shares authorized;</w:t>
              <w:br/>
              <w:t>   outstanding—98.6</w:t>
            </w:r>
            <w:r>
              <w:rPr>
                <w:rFonts w:ascii="Times New Roman" w:hAnsi="Times New Roman"/>
                <w:color w:val="000000"/>
                <w:sz w:val="20"/>
              </w:rPr>
              <w:t> </w:t>
            </w:r>
            <w:r>
              <w:rPr>
                <w:rFonts w:ascii="sans-serif" w:hAnsi="sans-serif"/>
                <w:color w:val="000000"/>
                <w:sz w:val="20"/>
              </w:rPr>
              <w:t>in 2026 and 96.6</w:t>
            </w:r>
            <w:r>
              <w:rPr>
                <w:rFonts w:ascii="Times New Roman" w:hAnsi="Times New Roman"/>
                <w:color w:val="000000"/>
                <w:sz w:val="20"/>
              </w:rPr>
              <w:t> </w:t>
            </w:r>
            <w:r>
              <w:rPr>
                <w:rFonts w:ascii="sans-serif" w:hAnsi="sans-serif"/>
                <w:color w:val="000000"/>
                <w:sz w:val="20"/>
              </w:rPr>
              <w:t>in 2025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Treasury stock, at cost, 0.3</w:t>
            </w:r>
            <w:r>
              <w:rPr>
                <w:rFonts w:ascii="Times New Roman" w:hAnsi="Times New Roman"/>
                <w:color w:val="000000"/>
                <w:sz w:val="20"/>
              </w:rPr>
              <w:t> </w:t>
            </w:r>
            <w:r>
              <w:rPr>
                <w:rFonts w:ascii="sans-serif" w:hAnsi="sans-serif"/>
                <w:color w:val="000000"/>
                <w:sz w:val="20"/>
              </w:rPr>
              <w:t>shares in 2026 and 0.2</w:t>
            </w:r>
            <w:r>
              <w:rPr>
                <w:rFonts w:ascii="Times New Roman" w:hAnsi="Times New Roman"/>
                <w:color w:val="000000"/>
                <w:sz w:val="20"/>
              </w:rPr>
              <w:t> </w:t>
            </w:r>
            <w:r>
              <w:rPr>
                <w:rFonts w:ascii="sans-serif" w:hAnsi="sans-serif"/>
                <w:color w:val="000000"/>
                <w:sz w:val="20"/>
              </w:rPr>
              <w:t>shares in 2025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700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compensation obligation</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592"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Additional paid-in capital</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4,451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Accumulated other comprehensive income</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2"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Accumulated deficit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(4,809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(4,532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0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stockholders’ deficit</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(291</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31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59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 noncontrolling interest and stockholders’ deficit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1,532</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sans-serif" w:hAnsi="sans-serif"/>
          <w:color w:val="000000"/>
          <w:sz w:val="20"/>
        </w:rPr>
      </w:pPr>
      <w:r>
        <w:rPr>
          <w:rFonts w:ascii="sans-serif" w:hAnsi="sans-serif"/>
          <w:color w:val="000000"/>
          <w:sz w:val="20"/>
        </w:rPr>
        <w:t>See accompanying notes.</w:t>
      </w:r>
    </w:p>
    <w:p>
      <w:pPr>
        <w:pStyle w:val="TextBody"/>
        <w:bidi w:val="0"/>
        <w:jc w:val="center"/>
        <w:rPr>
          <w:rFonts w:ascii="sans-serif" w:hAnsi="sans-serif"/>
          <w:color w:val="000000"/>
          <w:sz w:val="20"/>
        </w:rPr>
      </w:pPr>
      <w:r>
        <w:rPr>
          <w:rFonts w:ascii="sans-serif" w:hAnsi="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0"/>
        </w:rPr>
        <w:t>ULTRAGENYX PHARMACEUTICAL INC.</w:t>
      </w:r>
      <w:r>
        <w:rPr>
          <w:rFonts w:ascii="Times New Roman" w:hAnsi="Times New Roman"/>
          <w:color w:val="000000"/>
          <w:sz w:val="20"/>
        </w:rPr>
        <w:t xml:space="preserve"> </w:t>
      </w:r>
    </w:p>
    <w:p>
      <w:pPr>
        <w:pStyle w:val="TextBody"/>
        <w:bidi w:val="0"/>
        <w:jc w:val="center"/>
        <w:rPr>
          <w:rFonts w:ascii="sans-serif" w:hAnsi="sans-serif"/>
          <w:b/>
          <w:color w:val="000000"/>
          <w:sz w:val="20"/>
        </w:rPr>
      </w:pPr>
      <w:bookmarkStart w:id="6" w:name="condensed_statements_of_operations"/>
      <w:bookmarkEnd w:id="6"/>
      <w:r>
        <w:rPr>
          <w:rFonts w:ascii="sans-serif" w:hAnsi="sans-serif"/>
          <w:b/>
          <w:color w:val="000000"/>
          <w:sz w:val="20"/>
        </w:rPr>
        <w:t>CONDENSED CONSOLIDATED STATEMENTS OF OPERATIONS</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rFonts w:ascii="sans-serif" w:hAnsi="sans-serif"/>
          <w:b/>
          <w:color w:val="000000"/>
          <w:sz w:val="20"/>
        </w:rPr>
      </w:pPr>
      <w:r>
        <w:rPr>
          <w:rFonts w:ascii="sans-serif" w:hAnsi="sans-serif"/>
          <w:b/>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4566"/>
        <w:gridCol w:w="278"/>
        <w:gridCol w:w="797"/>
        <w:gridCol w:w="223"/>
        <w:gridCol w:w="180"/>
        <w:gridCol w:w="278"/>
        <w:gridCol w:w="742"/>
        <w:gridCol w:w="181"/>
        <w:gridCol w:w="263"/>
        <w:gridCol w:w="754"/>
        <w:gridCol w:w="211"/>
        <w:gridCol w:w="170"/>
        <w:gridCol w:w="263"/>
        <w:gridCol w:w="701"/>
        <w:gridCol w:w="598"/>
      </w:tblGrid>
      <w:tr>
        <w:trPr/>
        <w:tc>
          <w:tcPr>
            <w:tcW w:w="456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Revenues:</w:t>
            </w:r>
          </w:p>
        </w:tc>
        <w:tc>
          <w:tcPr>
            <w:tcW w:w="107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102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964"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Product sales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Royalty revenue</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w:t>
            </w:r>
          </w:p>
        </w:tc>
        <w:tc>
          <w:tcPr>
            <w:tcW w:w="22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598"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revenues</w:t>
            </w:r>
          </w:p>
        </w:tc>
        <w:tc>
          <w:tcPr>
            <w:tcW w:w="2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w:t>
            </w:r>
          </w:p>
        </w:tc>
        <w:tc>
          <w:tcPr>
            <w:tcW w:w="2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4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w:t>
            </w:r>
          </w:p>
        </w:tc>
        <w:tc>
          <w:tcPr>
            <w:tcW w:w="5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56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07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102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01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964"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Cost of sales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Research and development</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w:t>
            </w:r>
          </w:p>
        </w:tc>
        <w:tc>
          <w:tcPr>
            <w:tcW w:w="22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354</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331</w:t>
            </w:r>
          </w:p>
        </w:tc>
        <w:tc>
          <w:tcPr>
            <w:tcW w:w="598"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Selling, general and administrative</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66"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operating expenses</w:t>
            </w:r>
          </w:p>
        </w:tc>
        <w:tc>
          <w:tcPr>
            <w:tcW w:w="2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289</w:t>
            </w:r>
          </w:p>
        </w:tc>
        <w:tc>
          <w:tcPr>
            <w:tcW w:w="22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594</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557</w:t>
            </w:r>
          </w:p>
        </w:tc>
        <w:tc>
          <w:tcPr>
            <w:tcW w:w="5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(251</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56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income</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2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59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Non-cash interest expense on liabilities for sales of future royalties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56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w:t>
            </w:r>
          </w:p>
        </w:tc>
        <w:tc>
          <w:tcPr>
            <w:tcW w:w="2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2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2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5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before income taxes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(264</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56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for income taxes</w:t>
            </w:r>
          </w:p>
        </w:tc>
        <w:tc>
          <w:tcPr>
            <w:tcW w:w="2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5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(266</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56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 basic and diluted</w:t>
            </w:r>
          </w:p>
        </w:tc>
        <w:tc>
          <w:tcPr>
            <w:tcW w:w="27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(0.90</w:t>
            </w:r>
          </w:p>
        </w:tc>
        <w:tc>
          <w:tcPr>
            <w:tcW w:w="22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0"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27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2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w:t>
            </w:r>
          </w:p>
        </w:tc>
        <w:tc>
          <w:tcPr>
            <w:tcW w:w="59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5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Shares used in computing net loss per share, basic and diluted</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101.9</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97.4</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sz w:val="20"/>
        </w:rPr>
      </w:pPr>
      <w:r>
        <w:rPr>
          <w:rFonts w:ascii="sans-serif" w:hAnsi="sans-serif"/>
          <w:color w:val="000000"/>
          <w:sz w:val="20"/>
        </w:rPr>
        <w:t>See accompanying notes.</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0"/>
        </w:rPr>
        <w:t>ULTRAGENYX PHARMACEUTICAL INC.</w:t>
      </w:r>
      <w:r>
        <w:rPr>
          <w:rFonts w:ascii="Times New Roman" w:hAnsi="Times New Roman"/>
          <w:color w:val="000000"/>
          <w:sz w:val="20"/>
        </w:rPr>
        <w:t xml:space="preserve"> </w:t>
      </w:r>
    </w:p>
    <w:p>
      <w:pPr>
        <w:pStyle w:val="TextBody"/>
        <w:bidi w:val="0"/>
        <w:jc w:val="center"/>
        <w:rPr>
          <w:rFonts w:ascii="sans-serif" w:hAnsi="sans-serif"/>
          <w:b/>
          <w:color w:val="000000"/>
          <w:sz w:val="20"/>
        </w:rPr>
      </w:pPr>
      <w:bookmarkStart w:id="7" w:name="condensed_statements_of_comprehensive_lo"/>
      <w:bookmarkEnd w:id="7"/>
      <w:r>
        <w:rPr>
          <w:rFonts w:ascii="sans-serif" w:hAnsi="sans-serif"/>
          <w:b/>
          <w:color w:val="000000"/>
          <w:sz w:val="20"/>
        </w:rPr>
        <w:t>CONDENSED CONSOLIDATED STATEMENTS OF COMPREHENSIVE LOSS</w:t>
      </w:r>
    </w:p>
    <w:p>
      <w:pPr>
        <w:pStyle w:val="TextBody"/>
        <w:bidi w:val="0"/>
        <w:jc w:val="center"/>
        <w:rPr>
          <w:rFonts w:ascii="Times New Roman" w:hAnsi="Times New Roman"/>
          <w:sz w:val="20"/>
        </w:rPr>
      </w:pPr>
      <w:r>
        <w:rPr>
          <w:rFonts w:ascii="sans-serif" w:hAnsi="sans-serif"/>
          <w:b/>
          <w:color w:val="000000"/>
          <w:sz w:val="20"/>
        </w:rPr>
        <w:t>(Unaudited)</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4591"/>
        <w:gridCol w:w="322"/>
        <w:gridCol w:w="599"/>
        <w:gridCol w:w="257"/>
        <w:gridCol w:w="207"/>
        <w:gridCol w:w="322"/>
        <w:gridCol w:w="770"/>
        <w:gridCol w:w="181"/>
        <w:gridCol w:w="286"/>
        <w:gridCol w:w="687"/>
        <w:gridCol w:w="229"/>
        <w:gridCol w:w="185"/>
        <w:gridCol w:w="286"/>
        <w:gridCol w:w="687"/>
        <w:gridCol w:w="596"/>
      </w:tblGrid>
      <w:tr>
        <w:trPr/>
        <w:tc>
          <w:tcPr>
            <w:tcW w:w="45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9"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(266</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Foreign currency translation adjustments</w:t>
            </w:r>
          </w:p>
        </w:tc>
        <w:tc>
          <w:tcPr>
            <w:tcW w:w="32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9"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Change in unrealized loss on available-for-sale securities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91"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Other comprehensive income (loss):</w:t>
            </w:r>
          </w:p>
        </w:tc>
        <w:tc>
          <w:tcPr>
            <w:tcW w:w="32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32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5" w:type="dxa"/>
            <w:tcBorders/>
            <w:shd w:fill="CCECFF" w:val="clear"/>
            <w:tcMar>
              <w:top w:w="0" w:type="dxa"/>
              <w:left w:w="0" w:type="dxa"/>
              <w:bottom w:w="0" w:type="dxa"/>
              <w:right w:w="0" w:type="dxa"/>
            </w:tcMar>
            <w:vAlign w:val="center"/>
          </w:tcPr>
          <w:p>
            <w:pPr>
              <w:pStyle w:val="TableContents"/>
              <w:bidi w:val="0"/>
              <w:spacing w:before="0" w:after="283"/>
              <w:jc w:val="both"/>
              <w:rPr/>
            </w:pPr>
            <w:r>
              <w:rPr/>
              <w:t> </w:t>
            </w:r>
          </w:p>
        </w:tc>
        <w:tc>
          <w:tcPr>
            <w:tcW w:w="2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comprehensive loss</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200" w:after="283"/>
        <w:jc w:val="center"/>
        <w:rPr>
          <w:rFonts w:ascii="Times New Roman" w:hAnsi="Times New Roman"/>
          <w:sz w:val="20"/>
        </w:rPr>
      </w:pPr>
      <w:r>
        <w:rPr>
          <w:rFonts w:ascii="sans-serif" w:hAnsi="sans-serif"/>
          <w:color w:val="000000"/>
          <w:sz w:val="20"/>
        </w:rPr>
        <w:t>See accompanying notes.</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ULTRAGENYX PHARMACEUTICAL INC.</w:t>
      </w:r>
    </w:p>
    <w:p>
      <w:pPr>
        <w:pStyle w:val="TextBody"/>
        <w:bidi w:val="0"/>
        <w:jc w:val="center"/>
        <w:rPr>
          <w:rFonts w:ascii="sans-serif" w:hAnsi="sans-serif"/>
          <w:b/>
          <w:color w:val="000000"/>
          <w:sz w:val="20"/>
        </w:rPr>
      </w:pPr>
      <w:r>
        <w:rPr>
          <w:rFonts w:ascii="sans-serif" w:hAnsi="sans-serif"/>
          <w:b/>
          <w:color w:val="000000"/>
          <w:sz w:val="20"/>
        </w:rPr>
        <w:t>CONDENSED CONSOLIDATED STATEMENTS OF STOCKHOLDERS’ EQUITY (DEFICIT)</w:t>
      </w:r>
    </w:p>
    <w:p>
      <w:pPr>
        <w:pStyle w:val="TextBody"/>
        <w:bidi w:val="0"/>
        <w:jc w:val="center"/>
        <w:rPr>
          <w:rFonts w:ascii="Times New Roman" w:hAnsi="Times New Roman"/>
          <w:sz w:val="20"/>
        </w:rPr>
      </w:pPr>
      <w:bookmarkStart w:id="8" w:name="condensed_statements_of_equity"/>
      <w:bookmarkEnd w:id="8"/>
      <w:r>
        <w:rPr>
          <w:rFonts w:ascii="sans-serif" w:hAnsi="sans-serif"/>
          <w:b/>
          <w:color w:val="000000"/>
          <w:sz w:val="20"/>
        </w:rPr>
        <w:t>(Unaudited)</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(In millions)</w:t>
      </w:r>
    </w:p>
    <w:p>
      <w:pPr>
        <w:pStyle w:val="TextBody"/>
        <w:bidi w:val="0"/>
        <w:jc w:val="center"/>
        <w:rPr/>
      </w:pPr>
      <w:r>
        <w:rPr/>
        <w:t> </w:t>
      </w:r>
    </w:p>
    <w:tbl>
      <w:tblPr>
        <w:tblW w:w="12637" w:type="dxa"/>
        <w:jc w:val="left"/>
        <w:tblInd w:w="0" w:type="dxa"/>
        <w:tblLayout w:type="fixed"/>
        <w:tblCellMar>
          <w:top w:w="28" w:type="dxa"/>
          <w:left w:w="28" w:type="dxa"/>
          <w:bottom w:w="28" w:type="dxa"/>
          <w:right w:w="28" w:type="dxa"/>
        </w:tblCellMar>
      </w:tblPr>
      <w:tblGrid>
        <w:gridCol w:w="1701"/>
        <w:gridCol w:w="146"/>
        <w:gridCol w:w="199"/>
        <w:gridCol w:w="717"/>
        <w:gridCol w:w="146"/>
        <w:gridCol w:w="146"/>
        <w:gridCol w:w="280"/>
        <w:gridCol w:w="801"/>
        <w:gridCol w:w="146"/>
        <w:gridCol w:w="146"/>
        <w:gridCol w:w="604"/>
        <w:gridCol w:w="927"/>
        <w:gridCol w:w="146"/>
        <w:gridCol w:w="146"/>
        <w:gridCol w:w="315"/>
        <w:gridCol w:w="1006"/>
        <w:gridCol w:w="181"/>
        <w:gridCol w:w="146"/>
        <w:gridCol w:w="319"/>
        <w:gridCol w:w="597"/>
        <w:gridCol w:w="181"/>
        <w:gridCol w:w="146"/>
        <w:gridCol w:w="569"/>
        <w:gridCol w:w="872"/>
        <w:gridCol w:w="146"/>
        <w:gridCol w:w="146"/>
        <w:gridCol w:w="393"/>
        <w:gridCol w:w="943"/>
        <w:gridCol w:w="426"/>
      </w:tblGrid>
      <w:tr>
        <w:trPr/>
        <w:tc>
          <w:tcPr>
            <w:tcW w:w="1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Treasury</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br/>
              <w:t>Stockholders'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Deficit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as of March 31, 2026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4,481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27"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0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(4,717</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7"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7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3"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(236</w:t>
            </w:r>
          </w:p>
        </w:tc>
        <w:tc>
          <w:tcPr>
            <w:tcW w:w="42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Issuance of common stock under</w:t>
              <w:br/>
              <w:t>   equity plan awards, net of tax</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42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70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as of June 30, 2026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4,518</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2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0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(4,809</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7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(291</w:t>
            </w:r>
          </w:p>
        </w:tc>
        <w:tc>
          <w:tcPr>
            <w:tcW w:w="4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7"/>
        <w:gridCol w:w="146"/>
        <w:gridCol w:w="146"/>
        <w:gridCol w:w="526"/>
        <w:gridCol w:w="146"/>
        <w:gridCol w:w="146"/>
        <w:gridCol w:w="226"/>
        <w:gridCol w:w="646"/>
        <w:gridCol w:w="146"/>
        <w:gridCol w:w="146"/>
        <w:gridCol w:w="226"/>
        <w:gridCol w:w="346"/>
        <w:gridCol w:w="181"/>
        <w:gridCol w:w="146"/>
        <w:gridCol w:w="226"/>
        <w:gridCol w:w="721"/>
        <w:gridCol w:w="181"/>
        <w:gridCol w:w="146"/>
        <w:gridCol w:w="226"/>
        <w:gridCol w:w="421"/>
        <w:gridCol w:w="181"/>
        <w:gridCol w:w="146"/>
        <w:gridCol w:w="226"/>
        <w:gridCol w:w="346"/>
        <w:gridCol w:w="146"/>
        <w:gridCol w:w="146"/>
        <w:gridCol w:w="226"/>
        <w:gridCol w:w="541"/>
        <w:gridCol w:w="426"/>
      </w:tblGrid>
      <w:tr>
        <w:trPr/>
        <w:tc>
          <w:tcPr>
            <w:tcW w:w="2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727"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as of December 31,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4,451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(4,532</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42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2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Issuance of common stock under</w:t>
              <w:br/>
              <w:t>   equity plan awards, net of tax</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42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2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comprehensive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42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27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727"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as of June 30, 2026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98.6</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4,518</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(4,809</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(291</w:t>
            </w:r>
          </w:p>
        </w:tc>
        <w:tc>
          <w:tcPr>
            <w:tcW w:w="4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2707" w:type="dxa"/>
        <w:jc w:val="left"/>
        <w:tblInd w:w="0" w:type="dxa"/>
        <w:tblLayout w:type="fixed"/>
        <w:tblCellMar>
          <w:top w:w="28" w:type="dxa"/>
          <w:left w:w="28" w:type="dxa"/>
          <w:bottom w:w="28" w:type="dxa"/>
          <w:right w:w="28" w:type="dxa"/>
        </w:tblCellMar>
      </w:tblPr>
      <w:tblGrid>
        <w:gridCol w:w="1806"/>
        <w:gridCol w:w="146"/>
        <w:gridCol w:w="199"/>
        <w:gridCol w:w="717"/>
        <w:gridCol w:w="146"/>
        <w:gridCol w:w="146"/>
        <w:gridCol w:w="280"/>
        <w:gridCol w:w="801"/>
        <w:gridCol w:w="146"/>
        <w:gridCol w:w="146"/>
        <w:gridCol w:w="604"/>
        <w:gridCol w:w="927"/>
        <w:gridCol w:w="146"/>
        <w:gridCol w:w="146"/>
        <w:gridCol w:w="315"/>
        <w:gridCol w:w="1006"/>
        <w:gridCol w:w="181"/>
        <w:gridCol w:w="146"/>
        <w:gridCol w:w="361"/>
        <w:gridCol w:w="555"/>
        <w:gridCol w:w="181"/>
        <w:gridCol w:w="146"/>
        <w:gridCol w:w="569"/>
        <w:gridCol w:w="872"/>
        <w:gridCol w:w="146"/>
        <w:gridCol w:w="146"/>
        <w:gridCol w:w="393"/>
        <w:gridCol w:w="943"/>
        <w:gridCol w:w="391"/>
      </w:tblGrid>
      <w:tr>
        <w:trPr/>
        <w:tc>
          <w:tcPr>
            <w:tcW w:w="1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Treasury</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Deferred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br/>
              <w:t>Stockholders'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Deficit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as of March 31, 2025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4,252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27"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0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(4,108</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7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3"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144</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Issuance of common stock in connection with</w:t>
              <w:br/>
              <w:t>  at-the-market offering,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Stock-based compensation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Issuance of common stock under</w:t>
              <w:br/>
              <w:t>   equity plan awards,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(4,223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7"/>
        <w:gridCol w:w="146"/>
        <w:gridCol w:w="146"/>
        <w:gridCol w:w="526"/>
        <w:gridCol w:w="146"/>
        <w:gridCol w:w="146"/>
        <w:gridCol w:w="226"/>
        <w:gridCol w:w="646"/>
        <w:gridCol w:w="146"/>
        <w:gridCol w:w="146"/>
        <w:gridCol w:w="226"/>
        <w:gridCol w:w="346"/>
        <w:gridCol w:w="181"/>
        <w:gridCol w:w="146"/>
        <w:gridCol w:w="226"/>
        <w:gridCol w:w="721"/>
        <w:gridCol w:w="181"/>
        <w:gridCol w:w="146"/>
        <w:gridCol w:w="226"/>
        <w:gridCol w:w="346"/>
        <w:gridCol w:w="181"/>
        <w:gridCol w:w="146"/>
        <w:gridCol w:w="226"/>
        <w:gridCol w:w="346"/>
        <w:gridCol w:w="146"/>
        <w:gridCol w:w="146"/>
        <w:gridCol w:w="226"/>
        <w:gridCol w:w="541"/>
        <w:gridCol w:w="391"/>
      </w:tblGrid>
      <w:tr>
        <w:trPr/>
        <w:tc>
          <w:tcPr>
            <w:tcW w:w="2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37"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as of December 31, 2024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4,213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(3,957</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Issuance of common stock in connection with</w:t>
              <w:br/>
              <w:t>  at-the-market offering,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Stock-based compensation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Issuance of common stock under</w:t>
              <w:br/>
              <w:t>   equity plan awards,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compensation</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(266</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(266</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8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(4,223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sans-serif" w:hAnsi="sans-serif"/>
          <w:color w:val="000000"/>
          <w:sz w:val="20"/>
        </w:rPr>
      </w:pPr>
      <w:r>
        <w:rPr>
          <w:rFonts w:ascii="sans-serif" w:hAnsi="sans-serif"/>
          <w:color w:val="000000"/>
          <w:sz w:val="20"/>
        </w:rPr>
        <w:t>See accompanying notes.</w:t>
      </w:r>
    </w:p>
    <w:p>
      <w:pPr>
        <w:pStyle w:val="TextBody"/>
        <w:bidi w:val="0"/>
        <w:jc w:val="center"/>
        <w:rPr>
          <w:rFonts w:ascii="sans-serif" w:hAnsi="sans-serif"/>
          <w:color w:val="000000"/>
          <w:sz w:val="20"/>
        </w:rPr>
      </w:pPr>
      <w:r>
        <w:rPr>
          <w:rFonts w:ascii="sans-serif" w:hAnsi="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0"/>
        </w:rPr>
        <w:t>ULTRAGENYX PHARMACEUTICAL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condensed_statements_of_cash_flows"/>
      <w:bookmarkEnd w:id="9"/>
      <w:r>
        <w:rPr>
          <w:rFonts w:ascii="sans-serif" w:hAnsi="sans-serif"/>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rFonts w:ascii="sans-serif" w:hAnsi="sans-serif"/>
          <w:b/>
          <w:color w:val="000000"/>
          <w:sz w:val="20"/>
        </w:rPr>
      </w:pPr>
      <w:r>
        <w:rPr>
          <w:rFonts w:ascii="sans-serif" w:hAnsi="sans-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6987"/>
        <w:gridCol w:w="290"/>
        <w:gridCol w:w="695"/>
        <w:gridCol w:w="232"/>
        <w:gridCol w:w="187"/>
        <w:gridCol w:w="290"/>
        <w:gridCol w:w="695"/>
        <w:gridCol w:w="829"/>
      </w:tblGrid>
      <w:tr>
        <w:trPr/>
        <w:tc>
          <w:tcPr>
            <w:tcW w:w="69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87"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Operating activities:</w:t>
            </w:r>
          </w:p>
        </w:tc>
        <w:tc>
          <w:tcPr>
            <w:tcW w:w="98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(266</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987"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Adjustments to reconcile net loss to net cash used in operating activities:</w:t>
            </w:r>
          </w:p>
        </w:tc>
        <w:tc>
          <w:tcPr>
            <w:tcW w:w="98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Stock-based compensation</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w:t>
            </w:r>
          </w:p>
        </w:tc>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Amortization of discount on marketable securities, net</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829"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Depreciation and amortization</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Non-cash royalty revenue</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829"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Non-cash interest expense on liabilities for sales of future royalties</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829"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Changes in operating assets and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receivable</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829"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Inventory</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98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Prepaid expenses and other assets</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829"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payable, accrued, and other liabilities</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6987" w:type="dxa"/>
            <w:tcBorders/>
            <w:shd w:fill="CCEC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Net cash used in operating activities</w:t>
            </w:r>
          </w:p>
        </w:tc>
        <w:tc>
          <w:tcPr>
            <w:tcW w:w="290"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695"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(294</w:t>
            </w:r>
          </w:p>
        </w:tc>
        <w:tc>
          <w:tcPr>
            <w:tcW w:w="232"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695"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w:t>
            </w:r>
          </w:p>
        </w:tc>
        <w:tc>
          <w:tcPr>
            <w:tcW w:w="829"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Investing activities:</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Purchase of property, plant, and equipment</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829"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Purchase of marketable securities</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98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sale of marketable securities</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29"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maturities of marketable securities</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226</w:t>
            </w:r>
          </w:p>
        </w:tc>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Payments for intangible asset</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829"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87" w:type="dxa"/>
            <w:tcBorders/>
            <w:shd w:fill="CCEC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Net cash (used in) provided by investing activities</w:t>
            </w:r>
          </w:p>
        </w:tc>
        <w:tc>
          <w:tcPr>
            <w:tcW w:w="2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w:t>
            </w:r>
          </w:p>
        </w:tc>
        <w:tc>
          <w:tcPr>
            <w:tcW w:w="82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Financing activities:</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87"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the issuance of common stock in connection with at-the-market offering, net</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829"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Proceeds from the issuance of common stock under equity plans, net</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82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987" w:type="dxa"/>
            <w:tcBorders/>
            <w:shd w:fill="CCEC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Net cash provided by financing activities</w:t>
            </w:r>
          </w:p>
        </w:tc>
        <w:tc>
          <w:tcPr>
            <w:tcW w:w="290"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695"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32"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left"/>
              <w:rPr/>
            </w:pPr>
            <w:r>
              <w:rPr/>
              <w:t> </w:t>
            </w:r>
          </w:p>
        </w:tc>
        <w:tc>
          <w:tcPr>
            <w:tcW w:w="695" w:type="dxa"/>
            <w:tcBorders>
              <w:top w:val="single" w:sz="4" w:space="0" w:color="000000"/>
              <w:bottom w:val="single" w:sz="4" w:space="0" w:color="000000"/>
            </w:tcBorders>
            <w:shd w:fill="CCECFF" w:val="clear"/>
            <w:tcMar>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w:t>
            </w:r>
          </w:p>
        </w:tc>
        <w:tc>
          <w:tcPr>
            <w:tcW w:w="829" w:type="dxa"/>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exchange rate changes on cash</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87"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(decrease) increase in cash, cash equivalents and restricted cash</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(296</w:t>
            </w:r>
          </w:p>
        </w:tc>
        <w:tc>
          <w:tcPr>
            <w:tcW w:w="232"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82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8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at beginning of period</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436</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87"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cash equivalents and restricted cash at end of period</w:t>
            </w:r>
          </w:p>
        </w:tc>
        <w:tc>
          <w:tcPr>
            <w:tcW w:w="29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w:t>
            </w:r>
          </w:p>
        </w:tc>
        <w:tc>
          <w:tcPr>
            <w:tcW w:w="2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w:t>
            </w:r>
          </w:p>
        </w:tc>
        <w:tc>
          <w:tcPr>
            <w:tcW w:w="82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sz w:val="20"/>
        </w:rPr>
      </w:pPr>
      <w:r>
        <w:rPr>
          <w:rFonts w:ascii="sans-serif" w:hAnsi="sans-serif"/>
          <w:color w:val="000000"/>
          <w:sz w:val="20"/>
        </w:rPr>
        <w:t>See accompanying notes.</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0"/>
        </w:rPr>
        <w:t>ULTRAGENYX PHARMACEUTICAL INC.</w:t>
      </w:r>
      <w:r>
        <w:rPr>
          <w:rFonts w:ascii="Times New Roman" w:hAnsi="Times New Roman"/>
          <w:color w:val="000000"/>
          <w:sz w:val="20"/>
        </w:rPr>
        <w:t xml:space="preserve"> </w:t>
      </w:r>
    </w:p>
    <w:p>
      <w:pPr>
        <w:pStyle w:val="TextBody"/>
        <w:bidi w:val="0"/>
        <w:spacing w:before="90" w:after="283"/>
        <w:jc w:val="center"/>
        <w:rPr>
          <w:rFonts w:ascii="sans-serif" w:hAnsi="sans-serif"/>
          <w:b/>
          <w:color w:val="000000"/>
          <w:sz w:val="20"/>
        </w:rPr>
      </w:pPr>
      <w:bookmarkStart w:id="10" w:name="notes_to_condensed_financial_statements"/>
      <w:bookmarkEnd w:id="10"/>
      <w:r>
        <w:rPr>
          <w:rFonts w:ascii="sans-serif" w:hAnsi="sans-serif"/>
          <w:b/>
          <w:color w:val="000000"/>
          <w:sz w:val="20"/>
        </w:rPr>
        <w:t>Notes to Condensed Consolidated Financial Statements</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1. Organization</w:t>
      </w:r>
    </w:p>
    <w:p>
      <w:pPr>
        <w:pStyle w:val="TextBody"/>
        <w:bidi w:val="0"/>
        <w:spacing w:before="90" w:after="283"/>
        <w:jc w:val="left"/>
        <w:rPr>
          <w:rFonts w:ascii="sans-serif" w:hAnsi="sans-serif"/>
          <w:color w:val="000000"/>
          <w:sz w:val="20"/>
        </w:rPr>
      </w:pPr>
      <w:r>
        <w:rPr>
          <w:rFonts w:ascii="sans-serif" w:hAnsi="sans-serif"/>
          <w:color w:val="000000"/>
          <w:sz w:val="20"/>
        </w:rPr>
        <w:t>Ultragenyx Pharmaceutical Inc., or the Company, is a biopharmaceutical company incorporated in Delaware.</w:t>
      </w:r>
    </w:p>
    <w:p>
      <w:pPr>
        <w:pStyle w:val="TextBody"/>
        <w:bidi w:val="0"/>
        <w:spacing w:before="90" w:after="283"/>
        <w:jc w:val="left"/>
        <w:rPr>
          <w:rFonts w:ascii="Times New Roman" w:hAnsi="Times New Roman"/>
          <w:sz w:val="20"/>
        </w:rPr>
      </w:pPr>
      <w:r>
        <w:rPr>
          <w:rFonts w:ascii="sans-serif" w:hAnsi="sans-serif"/>
          <w:color w:val="000000"/>
          <w:sz w:val="20"/>
        </w:rPr>
        <w:t>The Company is focused on the identification, acquisition, development, and commercialization of novel products for the treatment of serious rare and ultra-rare genetic diseases. The Company operates as one</w:t>
      </w:r>
      <w:r>
        <w:rPr>
          <w:rFonts w:ascii="Times New Roman" w:hAnsi="Times New Roman"/>
          <w:color w:val="000000"/>
          <w:sz w:val="20"/>
        </w:rPr>
        <w:t xml:space="preserve"> </w:t>
      </w:r>
      <w:r>
        <w:rPr>
          <w:rFonts w:ascii="sans-serif" w:hAnsi="sans-serif"/>
          <w:color w:val="000000"/>
          <w:sz w:val="20"/>
        </w:rPr>
        <w:t>reportable segment and has four commercially approved products.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Crysvita® (burosumab) is approved in the United States, or U.S., the European Union, or EU, and certain other regions for the treatment of X-linked hypophosphatemia, or XLH, in adult and pediatric patients one year of age and older. Crysvita is also approved in the U.S. and certain other regions for the treatment of fibroblast growth factor 23, or FGF23-related hypophosphatemia in tumor-induced osteomalacia, or TIO, associated with phosphaturic mesenchymal tumors that cannot be curatively resected or localized in adults and pediatric patients 2 years of age and older.</w:t>
      </w:r>
    </w:p>
    <w:p>
      <w:pPr>
        <w:pStyle w:val="TextBody"/>
        <w:bidi w:val="0"/>
        <w:spacing w:before="90" w:after="283"/>
        <w:jc w:val="left"/>
        <w:rPr>
          <w:rFonts w:ascii="sans-serif" w:hAnsi="sans-serif"/>
          <w:color w:val="000000"/>
          <w:sz w:val="20"/>
        </w:rPr>
      </w:pPr>
      <w:r>
        <w:rPr>
          <w:rFonts w:ascii="sans-serif" w:hAnsi="sans-serif"/>
          <w:color w:val="000000"/>
          <w:sz w:val="20"/>
        </w:rPr>
        <w:t>Mepsevii® (vestronidase alfa) is approved in the U.S., the EU and certain other regions, as the first medicine for the treatment of children and adults with mucopolysaccharidosis VII, or MPS VII, also known as Sly syndrome.</w:t>
      </w:r>
    </w:p>
    <w:p>
      <w:pPr>
        <w:pStyle w:val="TextBody"/>
        <w:bidi w:val="0"/>
        <w:spacing w:before="90" w:after="283"/>
        <w:jc w:val="left"/>
        <w:rPr>
          <w:rFonts w:ascii="sans-serif" w:hAnsi="sans-serif"/>
          <w:color w:val="000000"/>
          <w:sz w:val="20"/>
        </w:rPr>
      </w:pPr>
      <w:r>
        <w:rPr>
          <w:rFonts w:ascii="sans-serif" w:hAnsi="sans-serif"/>
          <w:color w:val="000000"/>
          <w:sz w:val="20"/>
        </w:rPr>
        <w:t>Dojolvi® (triheptanoin) is approved in the U.S. and certain other regions for the treatment of pediatric and adult patients severely affected by long-chain fatty acid oxidation disorders, or LC-FAOD.</w:t>
      </w:r>
    </w:p>
    <w:p>
      <w:pPr>
        <w:pStyle w:val="TextBody"/>
        <w:bidi w:val="0"/>
        <w:spacing w:before="90" w:after="283"/>
        <w:jc w:val="left"/>
        <w:rPr>
          <w:rFonts w:ascii="sans-serif" w:hAnsi="sans-serif"/>
          <w:color w:val="000000"/>
          <w:sz w:val="20"/>
        </w:rPr>
      </w:pPr>
      <w:r>
        <w:rPr>
          <w:rFonts w:ascii="sans-serif" w:hAnsi="sans-serif"/>
          <w:color w:val="000000"/>
          <w:sz w:val="20"/>
        </w:rPr>
        <w:t>Evkeeza® (evinacumab) is approved in the U.S. and the European Economic Area, or EEA, and Japan for the treatment of homozygous familial hypercholesterolemia, or HoFH. The Company has exclusive rights to commercialize Evkeeza® (evinacumab) outside of the U.S.</w:t>
      </w:r>
    </w:p>
    <w:p>
      <w:pPr>
        <w:pStyle w:val="TextBody"/>
        <w:bidi w:val="0"/>
        <w:spacing w:before="90" w:after="283"/>
        <w:jc w:val="left"/>
        <w:rPr>
          <w:rFonts w:ascii="Times New Roman" w:hAnsi="Times New Roman"/>
          <w:sz w:val="20"/>
        </w:rPr>
      </w:pPr>
      <w:r>
        <w:rPr>
          <w:rFonts w:ascii="sans-serif" w:hAnsi="sans-serif"/>
          <w:color w:val="000000"/>
          <w:sz w:val="20"/>
        </w:rPr>
        <w:t>In addition to the approved products, the Company has the following ongoing clinical development programs: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DTX401 is an adeno-associated virus 8, or AAV8, gene therapy product candidate for the treatment of patients with glycogen storage disease type Ia, or GSDIa;</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UX111 (formerly ABO-102) is an adeno-associated virus 9, or AAV9, gene therapy product candidate for the treatment of patients with Sanfilippo syndrome type A, or MPS IIIA, a rare lysosomal storage disease;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GTX-102 is an antisense oligonucleotide, or ASO for the treatment of Angelman syndrome, a debilitating and rare neurogenetic disorder caused by loss-of-function of the maternally inherited allele of the UBE3A gene;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DTX301 is an AAV8 gene therapy product candidate in development for the treatment of patients with ornithine transcarbamylase, or OTC deficiency, the most common urea cycle disorder;</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UX701 is an AAV9 gene therapy designed to deliver stable expression of a truncated version of the ATP7B copper transporter following a single intravenous infusion to improve copper distribution and excretion from the body and reverse pathological findings of Wilson liver disease;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UX016 is a small-molecule prodrug of sialic acid, or SA, being evaluated as a substrate replacement therapy for GNE myopathy;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UX143 which is subject to the Company’s collaboration agreement with Mereo BioPharma 3, or Mereo, is a fully human monoclonal antibody that inhibits sclerostin, a protein that acts on a key bone-signaling pathway and inhibits the activity of bone-forming cells for the treatment of patients with Osteogenesis Imperfecta, or OI.</w:t>
      </w:r>
    </w:p>
    <w:p>
      <w:pPr>
        <w:pStyle w:val="TextBody"/>
        <w:bidi w:val="0"/>
        <w:spacing w:before="90" w:after="283"/>
        <w:jc w:val="left"/>
        <w:rPr>
          <w:rFonts w:ascii="Times New Roman" w:hAnsi="Times New Roman"/>
          <w:sz w:val="20"/>
        </w:rPr>
      </w:pPr>
      <w:r>
        <w:rPr>
          <w:rFonts w:ascii="sans-serif" w:hAnsi="sans-serif"/>
          <w:color w:val="000000"/>
          <w:sz w:val="20"/>
        </w:rPr>
        <w:t>The Company has sustained operating losses and expects such annual losses to continue in the near term. The Company</w:t>
      </w:r>
      <w:r>
        <w:rPr>
          <w:rFonts w:ascii="Times New Roman" w:hAnsi="Times New Roman"/>
          <w:color w:val="000000"/>
          <w:sz w:val="20"/>
        </w:rPr>
        <w:t>’</w:t>
      </w:r>
      <w:r>
        <w:rPr>
          <w:rFonts w:ascii="sans-serif" w:hAnsi="sans-serif"/>
          <w:color w:val="000000"/>
          <w:sz w:val="20"/>
        </w:rPr>
        <w:t>s ultimate success depends on the outcome of its research and development and commercialization activities. Through June 30, 2026, the Company has relied primarily on the sale of equity securities, revenues from commercial products, the sale of certain future royalties, and strategic collaboration arrangements to finance its operations. The Company may need to raise additional capital to fully implement its business plans through the issuance of equity, borrowings, or strategic alliances with partner companies. However, if such financing is not available at adequate levels, the Company would need to reevaluate its operating plans.</w:t>
      </w:r>
    </w:p>
    <w:p>
      <w:pPr>
        <w:pStyle w:val="TextBody"/>
        <w:bidi w:val="0"/>
        <w:jc w:val="center"/>
        <w:rPr>
          <w:rFonts w:ascii="sans-serif" w:hAnsi="sans-serif"/>
          <w:color w:val="000000"/>
          <w:sz w:val="20"/>
        </w:rPr>
      </w:pPr>
      <w:r>
        <w:rPr>
          <w:rFonts w:ascii="sans-serif" w:hAnsi="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sans-serif" w:hAnsi="sans-serif"/>
          <w:b/>
          <w:color w:val="000000"/>
          <w:sz w:val="20"/>
        </w:rPr>
        <w:t>2. Summary of Significant Accounting Policies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b/>
          <w:color w:val="000000"/>
          <w:sz w:val="20"/>
        </w:rPr>
        <w:t>Basis of Presentation</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The accompanying unaudited Condensed Consolidated Financial Statements include the accounts of the Company and its wholly-owned subsidiaries. The Company consolidates any variable interest entity, or VIE, for which it is the primary beneficiary. Certain reclassifications have been made to prior periods in the Condensed Consolidated Financial Statements and accompanying notes to conform with the current presentation.</w:t>
      </w:r>
    </w:p>
    <w:p>
      <w:pPr>
        <w:pStyle w:val="TextBody"/>
        <w:bidi w:val="0"/>
        <w:spacing w:before="90" w:after="283"/>
        <w:jc w:val="left"/>
        <w:rPr>
          <w:rFonts w:ascii="sans-serif" w:hAnsi="sans-serif"/>
          <w:color w:val="000000"/>
          <w:sz w:val="20"/>
        </w:rPr>
      </w:pPr>
      <w:r>
        <w:rPr>
          <w:rFonts w:ascii="sans-serif" w:hAnsi="sans-serif"/>
          <w:color w:val="000000"/>
          <w:sz w:val="20"/>
        </w:rPr>
        <w:t>The financial statements have been prepared in accordance with U.S. generally accepted accounting principles, or GAAP, for interim financial information and in accordance with the instructions to Form 10-Q and Rule 10-01 of Regulation S-X. Accordingly, they do not include all of the information and footnotes required by GAAP for complete financial statements. The unaudited interim Condensed Consolidated Financial Statements have been prepared on the same basis as the annual financial statements. In the opinion of management, the accompanying unaudited Condensed Consolidated Financial Statements reflect all adjustments (consisting only of normal recurring adjustments) considered necessary for a fair presentation. All intercompany accounts and transactions have been eliminated. These financial statements should be read in conjunction with the audited financial statements and notes thereto for the preceding fiscal year contained in the Company’s Annual Report on Form 10-K filed on February 18, 2026, or Annual Report, with the United States Securities and Exchange Commission, or the SEC.</w:t>
      </w:r>
    </w:p>
    <w:p>
      <w:pPr>
        <w:pStyle w:val="TextBody"/>
        <w:bidi w:val="0"/>
        <w:spacing w:before="90" w:after="283"/>
        <w:jc w:val="left"/>
        <w:rPr>
          <w:rFonts w:ascii="Times New Roman" w:hAnsi="Times New Roman"/>
          <w:sz w:val="20"/>
        </w:rPr>
      </w:pPr>
      <w:r>
        <w:rPr>
          <w:rFonts w:ascii="sans-serif" w:hAnsi="sans-serif"/>
          <w:color w:val="000000"/>
          <w:sz w:val="20"/>
        </w:rPr>
        <w:t>The results of operations for the three and six months ended June 30, 2026</w:t>
      </w:r>
      <w:r>
        <w:rPr>
          <w:rFonts w:ascii="Times New Roman" w:hAnsi="Times New Roman"/>
          <w:color w:val="000000"/>
          <w:sz w:val="20"/>
        </w:rPr>
        <w:t xml:space="preserve"> </w:t>
      </w:r>
      <w:r>
        <w:rPr>
          <w:rFonts w:ascii="sans-serif" w:hAnsi="sans-serif"/>
          <w:color w:val="000000"/>
          <w:sz w:val="20"/>
        </w:rPr>
        <w:t>are not necessarily indicative of the results to be expected for the year ending December 31, 2026. The Condensed Consolidated Balance Sheet as of December 31, 2025 has been derived from audited financial statements at that date, but does not include all of the information required by GAAP for complete financial statements.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sans-serif" w:hAnsi="sans-serif"/>
          <w:b/>
          <w:color w:val="000000"/>
          <w:sz w:val="20"/>
        </w:rPr>
        <w:t>Segment Reporting</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The Company operates as one</w:t>
      </w:r>
      <w:r>
        <w:rPr>
          <w:rFonts w:ascii="Times New Roman" w:hAnsi="Times New Roman"/>
          <w:color w:val="000000"/>
          <w:sz w:val="20"/>
        </w:rPr>
        <w:t xml:space="preserve"> </w:t>
      </w:r>
      <w:r>
        <w:rPr>
          <w:rFonts w:ascii="sans-serif" w:hAnsi="sans-serif"/>
          <w:color w:val="000000"/>
          <w:sz w:val="20"/>
        </w:rPr>
        <w:t>reportable segment relating to the research, development and commercialization of its products. The segment derives its current revenues from its four commercially approved products.</w:t>
      </w:r>
    </w:p>
    <w:p>
      <w:pPr>
        <w:pStyle w:val="TextBody"/>
        <w:bidi w:val="0"/>
        <w:spacing w:before="90" w:after="283"/>
        <w:jc w:val="left"/>
        <w:rPr>
          <w:rFonts w:ascii="sans-serif" w:hAnsi="sans-serif"/>
          <w:color w:val="000000"/>
          <w:sz w:val="20"/>
        </w:rPr>
      </w:pPr>
      <w:r>
        <w:rPr>
          <w:rFonts w:ascii="sans-serif" w:hAnsi="sans-serif"/>
          <w:color w:val="000000"/>
          <w:sz w:val="20"/>
        </w:rPr>
        <w:t>The Company’s Chief Operating Decision Maker, or CODM, is the Company's Chief Executive Officer. The CODM manages the Company’s operations on an integrated basis for the purpose of allocating resources. When evaluating the Company’s financial performance, the CODM regularly reviews total revenues and total expenses and makes decisions using this information on a consolidated basis.</w:t>
      </w:r>
    </w:p>
    <w:p>
      <w:pPr>
        <w:pStyle w:val="TextBody"/>
        <w:bidi w:val="0"/>
        <w:spacing w:before="270" w:after="283"/>
        <w:jc w:val="left"/>
        <w:rPr>
          <w:rFonts w:ascii="Times New Roman" w:hAnsi="Times New Roman"/>
          <w:sz w:val="20"/>
        </w:rPr>
      </w:pPr>
      <w:r>
        <w:rPr>
          <w:rFonts w:ascii="sans-serif" w:hAnsi="sans-serif"/>
          <w:b/>
          <w:color w:val="000000"/>
          <w:sz w:val="20"/>
        </w:rPr>
        <w:t>Use of Estimates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The accompanying Condensed Consolidated Financial Statements have been prepared in accordance with GAAP. The preparation of the Condensed Consolidated Financial Statements in conformity with GAAP requires management to make estimates and assumptions that affect the reported amounts of assets and liabilities, disclosure of contingent liabilities and the reported amounts of expenses in the Condensed Consolidated Financial Statements and the accompanying notes. On an ongoing basis, management evaluates its estimates, including those related to clinical trial accruals, fair value of assets and liabilities, income taxes, stock-based compensation, revenue recognition, and the liabilities for sales of future royalties. Management bases its estimates on historical experience and on various other market-specific and relevant assumptions that management believes to be reasonable under the circumstances. Actual results could differ from those estimates.</w:t>
      </w:r>
    </w:p>
    <w:p>
      <w:pPr>
        <w:pStyle w:val="TextBody"/>
        <w:bidi w:val="0"/>
        <w:spacing w:before="270" w:after="283"/>
        <w:jc w:val="left"/>
        <w:rPr>
          <w:rFonts w:ascii="sans-serif" w:hAnsi="sans-serif"/>
          <w:b/>
          <w:color w:val="000000"/>
          <w:sz w:val="20"/>
        </w:rPr>
      </w:pPr>
      <w:r>
        <w:rPr>
          <w:rFonts w:ascii="sans-serif" w:hAnsi="sans-serif"/>
          <w:b/>
          <w:color w:val="000000"/>
          <w:sz w:val="20"/>
        </w:rPr>
        <w:t>Cash, Cash Equivalents and Restricted Cash</w:t>
      </w:r>
    </w:p>
    <w:p>
      <w:pPr>
        <w:pStyle w:val="TextBody"/>
        <w:bidi w:val="0"/>
        <w:spacing w:before="90" w:after="283"/>
        <w:jc w:val="left"/>
        <w:rPr>
          <w:rFonts w:ascii="sans-serif" w:hAnsi="sans-serif"/>
          <w:color w:val="000000"/>
          <w:sz w:val="20"/>
        </w:rPr>
      </w:pPr>
      <w:r>
        <w:rPr>
          <w:rFonts w:ascii="sans-serif" w:hAnsi="sans-serif"/>
          <w:color w:val="000000"/>
          <w:sz w:val="20"/>
        </w:rPr>
        <w:t>Restricted cash primarily consists of money market accounts used as collateral for the Company’s obligations under its facility leases and to guarantee the fulfillment of certain sales orders to certain government-sponsored customers. The following table provides a reconciliation of cash, cash equivalents, and restricted cash reported within the Condensed Consolidated Balance Sheets that sum to the total of the same such amounts shown in the Condensed Consolidated Statement of Cash Flows (in millions):</w:t>
      </w:r>
    </w:p>
    <w:p>
      <w:pPr>
        <w:pStyle w:val="TextBody"/>
        <w:bidi w:val="0"/>
        <w:jc w:val="left"/>
        <w:rPr/>
      </w:pPr>
      <w:r>
        <w:rPr/>
        <w:t> </w:t>
      </w:r>
    </w:p>
    <w:tbl>
      <w:tblPr>
        <w:tblW w:w="7258" w:type="dxa"/>
        <w:jc w:val="left"/>
        <w:tblInd w:w="0" w:type="dxa"/>
        <w:tblLayout w:type="fixed"/>
        <w:tblCellMar>
          <w:top w:w="28" w:type="dxa"/>
          <w:left w:w="28" w:type="dxa"/>
          <w:bottom w:w="28" w:type="dxa"/>
          <w:right w:w="28" w:type="dxa"/>
        </w:tblCellMar>
      </w:tblPr>
      <w:tblGrid>
        <w:gridCol w:w="5191"/>
        <w:gridCol w:w="226"/>
        <w:gridCol w:w="466"/>
        <w:gridCol w:w="146"/>
        <w:gridCol w:w="146"/>
        <w:gridCol w:w="226"/>
        <w:gridCol w:w="466"/>
        <w:gridCol w:w="391"/>
      </w:tblGrid>
      <w:tr>
        <w:trPr/>
        <w:tc>
          <w:tcPr>
            <w:tcW w:w="51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and cash equivalents</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176</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 included in other current assets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Restricted cash included in other non-current assets</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 xml:space="preserve">Total cash, cash equivalents, and restricted cash </w:t>
              <w:br/>
              <w:t>    shown in the statements of cash flows</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sans-serif" w:hAnsi="sans-serif"/>
          <w:b/>
          <w:color w:val="000000"/>
          <w:sz w:val="20"/>
        </w:rPr>
      </w:pPr>
      <w:r>
        <w:rPr>
          <w:rFonts w:ascii="sans-serif" w:hAnsi="sans-serif"/>
          <w:b/>
          <w:color w:val="000000"/>
          <w:sz w:val="20"/>
        </w:rPr>
        <w:t>Credit Losses</w:t>
      </w:r>
    </w:p>
    <w:p>
      <w:pPr>
        <w:pStyle w:val="TextBody"/>
        <w:bidi w:val="0"/>
        <w:spacing w:before="90" w:after="283"/>
        <w:jc w:val="left"/>
        <w:rPr>
          <w:rFonts w:ascii="Times New Roman" w:hAnsi="Times New Roman"/>
          <w:sz w:val="20"/>
        </w:rPr>
      </w:pPr>
      <w:r>
        <w:rPr>
          <w:rFonts w:ascii="sans-serif" w:hAnsi="sans-serif"/>
          <w:color w:val="000000"/>
          <w:sz w:val="20"/>
        </w:rPr>
        <w:t>The Company is exposed to credit losses primarily through receivables from customers and collaborators and through its available-for-sale debt securities. For trade receivables and other financial instruments, the Company uses a forward-looking expected loss model that recognizes a current period charge for losses that are expected to be incurred over the life of the financial instrument.</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The Company’s expected loss allowance methodology for the receivables is developed using historical collection experience, current and future economic market conditions, a review of the current aging status and financial condition of the entities. Specific allowance amounts are established to record the appropriate allowance for customers that have a higher probability of default. Balances are written off when determined to be uncollectible. The Company’s expected loss allowance methodology for the debt securities is developed by reviewing the extent of the unrealized loss, the size, term, geographical location, and industry of the issuer, the issuers’ credit ratings and any changes in those ratings, as well as reviewing current and future economic market conditions and the issuers’ current status and financial condition. There were no</w:t>
      </w:r>
      <w:r>
        <w:rPr>
          <w:rFonts w:ascii="Times New Roman" w:hAnsi="Times New Roman"/>
          <w:color w:val="000000"/>
          <w:sz w:val="20"/>
        </w:rPr>
        <w:t xml:space="preserve"> </w:t>
      </w:r>
      <w:r>
        <w:rPr>
          <w:rFonts w:ascii="sans-serif" w:hAnsi="sans-serif"/>
          <w:color w:val="000000"/>
          <w:sz w:val="20"/>
        </w:rPr>
        <w:t>material credit losses recorded for receivables and available-for-sale debt securities which were attributable to credit risk as of June 30, 2026</w:t>
      </w:r>
      <w:r>
        <w:rPr>
          <w:rFonts w:ascii="Times New Roman" w:hAnsi="Times New Roman"/>
          <w:color w:val="000000"/>
          <w:sz w:val="20"/>
        </w:rPr>
        <w:t xml:space="preserve"> </w:t>
      </w:r>
      <w:r>
        <w:rPr>
          <w:rFonts w:ascii="sans-serif" w:hAnsi="sans-serif"/>
          <w:color w:val="000000"/>
          <w:sz w:val="20"/>
        </w:rPr>
        <w:t>and December 31, 2025.</w:t>
      </w:r>
    </w:p>
    <w:p>
      <w:pPr>
        <w:pStyle w:val="TextBody"/>
        <w:bidi w:val="0"/>
        <w:spacing w:before="270" w:after="283"/>
        <w:jc w:val="left"/>
        <w:rPr>
          <w:rFonts w:ascii="sans-serif" w:hAnsi="sans-serif"/>
          <w:b/>
          <w:color w:val="000000"/>
          <w:sz w:val="20"/>
        </w:rPr>
      </w:pPr>
      <w:r>
        <w:rPr>
          <w:rFonts w:ascii="sans-serif" w:hAnsi="sans-serif"/>
          <w:b/>
          <w:color w:val="000000"/>
          <w:sz w:val="20"/>
        </w:rPr>
        <w:t>Liabilities for Sales of Future Royalties</w:t>
      </w:r>
    </w:p>
    <w:p>
      <w:pPr>
        <w:pStyle w:val="TextBody"/>
        <w:bidi w:val="0"/>
        <w:spacing w:before="90" w:after="283"/>
        <w:jc w:val="left"/>
        <w:rPr>
          <w:rFonts w:ascii="sans-serif" w:hAnsi="sans-serif"/>
          <w:color w:val="000000"/>
          <w:sz w:val="20"/>
        </w:rPr>
      </w:pPr>
      <w:r>
        <w:rPr>
          <w:rFonts w:ascii="sans-serif" w:hAnsi="sans-serif"/>
          <w:color w:val="000000"/>
          <w:sz w:val="20"/>
        </w:rPr>
        <w:t>The Company sold the right to receive certain royalty payments from net sales of Crysvita in certain territories to RPI Finance Trust, or RPI, an affiliate of Royalty Pharma, and to OCM LS23 Holdings LP, an investment vehicle for Ontario Municipal Employees Retirement System, or OMERS, as further described in “Note 8. Liabilities for Sales of Future Royalties.” At inception, the Company recorded a liability based upon estimated future cash flows discounted at a market rate. The liability is amortized using the effective interest method over the estimated life of the applicable arrangement. To determine the amortization of the liability, the Company estimates the total amount of future royalty payments to be received by the Company and paid to RPI and OMERS. Any estimated royalty payments in excess of the initial liability are recorded as non-cash interest expense. Consequently, the Company estimates imputed interest on the unamortized portion of the liabilities and records interest expense based on the estimated term of the arrangements.</w:t>
      </w:r>
    </w:p>
    <w:p>
      <w:pPr>
        <w:pStyle w:val="TextBody"/>
        <w:bidi w:val="0"/>
        <w:spacing w:before="90" w:after="283"/>
        <w:jc w:val="left"/>
        <w:rPr>
          <w:rFonts w:ascii="sans-serif" w:hAnsi="sans-serif"/>
          <w:color w:val="000000"/>
          <w:sz w:val="20"/>
        </w:rPr>
      </w:pPr>
      <w:r>
        <w:rPr>
          <w:rFonts w:ascii="sans-serif" w:hAnsi="sans-serif"/>
          <w:color w:val="000000"/>
          <w:sz w:val="20"/>
        </w:rPr>
        <w:t>The Company periodically assesses the expected royalty payments using a combination of historical results, internal projections and forecasts from external sources. To the extent such payments are greater or less than the Company’s initial estimates or the timing of such payments is materially different than its original estimates, the Company employs the prospective method to adjust the amortization of the liabilities and the effective interest rate.</w:t>
      </w:r>
    </w:p>
    <w:p>
      <w:pPr>
        <w:pStyle w:val="TextBody"/>
        <w:bidi w:val="0"/>
        <w:spacing w:before="270" w:after="283"/>
        <w:jc w:val="left"/>
        <w:rPr>
          <w:rFonts w:ascii="sans-serif" w:hAnsi="sans-serif"/>
          <w:b/>
          <w:color w:val="000000"/>
          <w:sz w:val="20"/>
        </w:rPr>
      </w:pPr>
      <w:r>
        <w:rPr>
          <w:rFonts w:ascii="sans-serif" w:hAnsi="sans-serif"/>
          <w:b/>
          <w:color w:val="000000"/>
          <w:sz w:val="20"/>
        </w:rPr>
        <w:t>Revenue Recognition</w:t>
      </w:r>
    </w:p>
    <w:p>
      <w:pPr>
        <w:pStyle w:val="TextBody"/>
        <w:bidi w:val="0"/>
        <w:spacing w:before="90" w:after="283"/>
        <w:jc w:val="left"/>
        <w:rPr>
          <w:rFonts w:ascii="sans-serif" w:hAnsi="sans-serif"/>
          <w:i/>
          <w:color w:val="000000"/>
          <w:sz w:val="20"/>
        </w:rPr>
      </w:pPr>
      <w:r>
        <w:rPr>
          <w:rFonts w:ascii="sans-serif" w:hAnsi="sans-serif"/>
          <w:i/>
          <w:color w:val="000000"/>
          <w:sz w:val="20"/>
        </w:rPr>
        <w:t>Product Sales</w:t>
      </w:r>
    </w:p>
    <w:p>
      <w:pPr>
        <w:pStyle w:val="TextBody"/>
        <w:bidi w:val="0"/>
        <w:spacing w:before="90" w:after="283"/>
        <w:jc w:val="left"/>
        <w:rPr>
          <w:rFonts w:ascii="Times New Roman" w:hAnsi="Times New Roman"/>
          <w:sz w:val="20"/>
        </w:rPr>
      </w:pPr>
      <w:r>
        <w:rPr>
          <w:rFonts w:ascii="sans-serif" w:hAnsi="sans-serif"/>
          <w:color w:val="000000"/>
          <w:sz w:val="20"/>
        </w:rPr>
        <w:t xml:space="preserve">The Company sells its approved products through a limited number of distributors. Under Accounting Standards Codification, or ASC, 606, </w:t>
      </w:r>
      <w:r>
        <w:rPr>
          <w:rFonts w:ascii="sans-serif" w:hAnsi="sans-serif"/>
          <w:i/>
          <w:color w:val="000000"/>
          <w:sz w:val="20"/>
        </w:rPr>
        <w:t>Revenue from Contracts with Customers</w:t>
      </w:r>
      <w:r>
        <w:rPr>
          <w:rFonts w:ascii="sans-serif" w:hAnsi="sans-serif"/>
          <w:color w:val="000000"/>
          <w:sz w:val="20"/>
        </w:rPr>
        <w:t>, revenue from product sales is recognized at the point in time when control is transferred to these distributors. The Company also recognizes revenue from sales of certain products on a “named patient” basis, which are allowed in certain countries prior to the commercial approval of the product. Prior to recognizing revenue, the Company makes estimates of the transaction price, including any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Product sales are recorded net of estimated government-mandated rebates and chargebacks, estimated product returns, and other deductions.</w:t>
      </w:r>
    </w:p>
    <w:p>
      <w:pPr>
        <w:pStyle w:val="TextBody"/>
        <w:bidi w:val="0"/>
        <w:spacing w:before="90" w:after="283"/>
        <w:jc w:val="left"/>
        <w:rPr>
          <w:rFonts w:ascii="sans-serif" w:hAnsi="sans-serif"/>
          <w:color w:val="000000"/>
          <w:sz w:val="20"/>
        </w:rPr>
      </w:pPr>
      <w:r>
        <w:rPr>
          <w:rFonts w:ascii="sans-serif" w:hAnsi="sans-serif"/>
          <w:color w:val="000000"/>
          <w:sz w:val="20"/>
        </w:rPr>
        <w:t>Provisions for returns and other adjustments are provided for in the period the related revenue is recorded, as estimated by management. These reserves are based on estimates of the amounts earned or to be claimed on the related sales and are reviewed periodically and adjusted as necessary. The Company’s estimates of government mandated rebates, chargebacks, estimated product returns, and other deductions depend on the identification of key customer contract terms and conditions, as well as estimates of sales volumes to different classes of payors. If actual results vary, the Company may need to adjust these estimates, which could have a material effect on earnings in the period of the adjustment.</w:t>
      </w:r>
    </w:p>
    <w:p>
      <w:pPr>
        <w:pStyle w:val="TextBody"/>
        <w:bidi w:val="0"/>
        <w:spacing w:before="270" w:after="283"/>
        <w:jc w:val="left"/>
        <w:rPr>
          <w:rFonts w:ascii="sans-serif" w:hAnsi="sans-serif"/>
          <w:i/>
          <w:color w:val="000000"/>
          <w:sz w:val="20"/>
        </w:rPr>
      </w:pPr>
      <w:r>
        <w:rPr>
          <w:rFonts w:ascii="sans-serif" w:hAnsi="sans-serif"/>
          <w:i/>
          <w:color w:val="000000"/>
          <w:sz w:val="20"/>
        </w:rPr>
        <w:t>Collaboration, License, and Royalty Revenue</w:t>
      </w:r>
    </w:p>
    <w:p>
      <w:pPr>
        <w:pStyle w:val="TextBody"/>
        <w:bidi w:val="0"/>
        <w:spacing w:before="90" w:after="283"/>
        <w:jc w:val="left"/>
        <w:rPr>
          <w:rFonts w:ascii="Times New Roman" w:hAnsi="Times New Roman"/>
          <w:sz w:val="20"/>
        </w:rPr>
      </w:pPr>
      <w:r>
        <w:rPr>
          <w:rFonts w:ascii="sans-serif" w:hAnsi="sans-serif"/>
          <w:color w:val="000000"/>
          <w:sz w:val="20"/>
        </w:rPr>
        <w:t xml:space="preserve">The Company has certain license and collaboration agreements that are within the scope of ASC 808, </w:t>
      </w:r>
      <w:r>
        <w:rPr>
          <w:rFonts w:ascii="sans-serif" w:hAnsi="sans-serif"/>
          <w:i/>
          <w:color w:val="000000"/>
          <w:sz w:val="20"/>
        </w:rPr>
        <w:t>Collaborative Agreements</w:t>
      </w:r>
      <w:r>
        <w:rPr>
          <w:rFonts w:ascii="sans-serif" w:hAnsi="sans-serif"/>
          <w:color w:val="000000"/>
          <w:sz w:val="20"/>
        </w:rPr>
        <w:t>, which provides guidance on the presentation and disclosure of collaborative arrangements. Generally, the classification of the transactions under the collaborative arrangements is determined based on the nature of contractual terms of the arrangement, along with the nature of the operations of the participants. The Company records its share of collaboration revenue, net of transfer pricing related to net sales in the period in which such sales occur, if the Company is considered as an agent in the</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arrangement. The Company is considered an agent when the collaboration partner controls the product before transfer to the customers and has the ability to direct the use of and obtain substantially all of the remaining benefits from the product. We generally classify funding received related to research and development services and commercialization costs as a reduction of research and development expenses and selling, general and administrative expenses, respectively, in the Condensed Consolidated Statements of Operations, because the provision of such services for collaborative partners are not considered to be part of the Company’s ongoing major or central operations.</w:t>
      </w:r>
    </w:p>
    <w:p>
      <w:pPr>
        <w:pStyle w:val="TextBody"/>
        <w:bidi w:val="0"/>
        <w:spacing w:before="90" w:after="283"/>
        <w:jc w:val="left"/>
        <w:rPr>
          <w:rFonts w:ascii="sans-serif" w:hAnsi="sans-serif"/>
          <w:color w:val="000000"/>
          <w:sz w:val="20"/>
        </w:rPr>
      </w:pPr>
      <w:r>
        <w:rPr>
          <w:rFonts w:ascii="sans-serif" w:hAnsi="sans-serif"/>
          <w:color w:val="000000"/>
          <w:sz w:val="20"/>
        </w:rPr>
        <w:t>The Company utilizes certain information from its collaboration partners to record collaboration revenue, including revenue from the sale of the product, associated reserves on revenue, and costs incurred for development and sales activities. For the periods covered in the financial statements presented, there have been no material changes to prior period estimates of revenues and expenses. The Company also records royalty revenues under certain of the Company’s license or collaboration agreements in exchange for the license of intellectual property.</w:t>
      </w:r>
    </w:p>
    <w:p>
      <w:pPr>
        <w:pStyle w:val="TextBody"/>
        <w:bidi w:val="0"/>
        <w:spacing w:before="90" w:after="283"/>
        <w:jc w:val="left"/>
        <w:rPr>
          <w:rFonts w:ascii="sans-serif" w:hAnsi="sans-serif"/>
          <w:color w:val="000000"/>
          <w:sz w:val="20"/>
        </w:rPr>
      </w:pPr>
      <w:r>
        <w:rPr>
          <w:rFonts w:ascii="sans-serif" w:hAnsi="sans-serif"/>
          <w:color w:val="000000"/>
          <w:sz w:val="20"/>
        </w:rPr>
        <w:t>As described in “Note 8. Liabilities for Sales of Future Royalties”, for certain royalty payments from net sales of Crysvita in applicable territories that were sold to RPI and OMERS, the Company records the non-cash royalty revenue on a prospective basis in the Condensed Consolidated Statements of Operations over the term of the applicable arrangement.</w:t>
      </w:r>
    </w:p>
    <w:p>
      <w:pPr>
        <w:pStyle w:val="TextBody"/>
        <w:bidi w:val="0"/>
        <w:spacing w:before="90" w:after="283"/>
        <w:jc w:val="left"/>
        <w:rPr>
          <w:rFonts w:ascii="Times New Roman" w:hAnsi="Times New Roman"/>
          <w:sz w:val="20"/>
        </w:rPr>
      </w:pPr>
      <w:r>
        <w:rPr>
          <w:rFonts w:ascii="sans-serif" w:hAnsi="sans-serif"/>
          <w:color w:val="000000"/>
          <w:sz w:val="20"/>
        </w:rPr>
        <w:t xml:space="preserve">The terms of the Company’s collaboration and license agreements may contain multiple performance obligations, which may include licenses and research and development activities. The Company evaluates these agreements under ASC 606, </w:t>
      </w:r>
      <w:r>
        <w:rPr>
          <w:rFonts w:ascii="sans-serif" w:hAnsi="sans-serif"/>
          <w:i/>
          <w:color w:val="000000"/>
          <w:sz w:val="20"/>
        </w:rPr>
        <w:t>Revenue from Contracts with Customers</w:t>
      </w:r>
      <w:r>
        <w:rPr>
          <w:rFonts w:ascii="sans-serif" w:hAnsi="sans-serif"/>
          <w:color w:val="000000"/>
          <w:sz w:val="20"/>
        </w:rPr>
        <w:t>, to determine the distinct performance obligations. The Company analogizes to ASC 606 for the accounting for distinct performance obligations for which there is a customer relationship. Prior to recognizing revenue, the Company makes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Total consideration may include nonrefundable upfront license fees, payments for research and development activities, reimbursement of certain third-party costs, payments based upon the achievement of specified milestones, and royalty payments based on product sales derived from the collaboration.</w:t>
      </w:r>
    </w:p>
    <w:p>
      <w:pPr>
        <w:pStyle w:val="TextBody"/>
        <w:bidi w:val="0"/>
        <w:spacing w:before="90" w:after="283"/>
        <w:jc w:val="left"/>
        <w:rPr>
          <w:rFonts w:ascii="sans-serif" w:hAnsi="sans-serif"/>
          <w:color w:val="000000"/>
          <w:sz w:val="20"/>
        </w:rPr>
      </w:pPr>
      <w:r>
        <w:rPr>
          <w:rFonts w:ascii="sans-serif" w:hAnsi="sans-serif"/>
          <w:color w:val="000000"/>
          <w:sz w:val="20"/>
        </w:rPr>
        <w:t>If there are multiple distinct performance obligations, the Company allocates the transaction price to each distinct performance obligation based on its relative standalone selling price. The standalone selling price is generally determined based on the prices charged to customers or using expected cost-plus margin. The Company estimates the efforts needed to complete the performance obligations and recognizes revenue by measuring the progress towards complete satisfaction of the performance obligations using input measures.</w:t>
      </w:r>
    </w:p>
    <w:p>
      <w:pPr>
        <w:pStyle w:val="TextBody"/>
        <w:bidi w:val="0"/>
        <w:spacing w:before="270" w:after="283"/>
        <w:jc w:val="left"/>
        <w:rPr>
          <w:rFonts w:ascii="sans-serif" w:hAnsi="sans-serif"/>
          <w:b/>
          <w:color w:val="000000"/>
          <w:sz w:val="20"/>
        </w:rPr>
      </w:pPr>
      <w:r>
        <w:rPr>
          <w:rFonts w:ascii="sans-serif" w:hAnsi="sans-serif"/>
          <w:b/>
          <w:color w:val="000000"/>
          <w:sz w:val="20"/>
        </w:rPr>
        <w:t>Restructuring</w:t>
      </w:r>
    </w:p>
    <w:p>
      <w:pPr>
        <w:pStyle w:val="TextBody"/>
        <w:bidi w:val="0"/>
        <w:spacing w:before="90" w:after="283"/>
        <w:jc w:val="left"/>
        <w:rPr>
          <w:rFonts w:ascii="sans-serif" w:hAnsi="sans-serif"/>
          <w:color w:val="000000"/>
          <w:sz w:val="20"/>
        </w:rPr>
      </w:pPr>
      <w:r>
        <w:rPr>
          <w:rFonts w:ascii="sans-serif" w:hAnsi="sans-serif"/>
          <w:color w:val="000000"/>
          <w:sz w:val="20"/>
        </w:rPr>
        <w:t>Restructuring expense consists primarily of costs associated with exit or disposal activities, including contract terminations, employee terminations, and severance costs. For employee terminations accounted for as ongoing benefit arrangements, the Company recognizes a liability for termination benefits when it is probable that the benefits will be paid and the amounts are reasonably estimable. Contract termination costs and other costs associated with exit or disposal activities are recognized when it is probable that the costs will be incurred, i.e., upon contract termination or when the Company ceases using the rights conveyed by the contract and the amounts are reasonably estimable.</w:t>
      </w:r>
    </w:p>
    <w:p>
      <w:pPr>
        <w:pStyle w:val="TextBody"/>
        <w:bidi w:val="0"/>
        <w:spacing w:before="90" w:after="283"/>
        <w:jc w:val="left"/>
        <w:rPr>
          <w:rFonts w:ascii="sans-serif" w:hAnsi="sans-serif"/>
          <w:color w:val="000000"/>
          <w:sz w:val="20"/>
        </w:rPr>
      </w:pPr>
      <w:r>
        <w:rPr>
          <w:rFonts w:ascii="sans-serif" w:hAnsi="sans-serif"/>
          <w:color w:val="000000"/>
          <w:sz w:val="20"/>
        </w:rPr>
        <w:t>These costs are recorded within operating expenses in the Condensed Consolidated Statements of Operations and the related restructuring liabilities are included in accounts payable and accrued liabilities in the Condensed Consolidated Balance Sheets.</w:t>
      </w:r>
    </w:p>
    <w:p>
      <w:pPr>
        <w:pStyle w:val="TextBody"/>
        <w:bidi w:val="0"/>
        <w:spacing w:before="270" w:after="283"/>
        <w:jc w:val="left"/>
        <w:rPr>
          <w:rFonts w:ascii="sans-serif" w:hAnsi="sans-serif"/>
          <w:b/>
          <w:color w:val="000000"/>
          <w:sz w:val="20"/>
        </w:rPr>
      </w:pPr>
      <w:r>
        <w:rPr>
          <w:rFonts w:ascii="sans-serif" w:hAnsi="sans-serif"/>
          <w:b/>
          <w:color w:val="000000"/>
          <w:sz w:val="20"/>
        </w:rPr>
        <w:t>Recent Accounting Pronouncements</w:t>
      </w:r>
    </w:p>
    <w:p>
      <w:pPr>
        <w:pStyle w:val="TextBody"/>
        <w:bidi w:val="0"/>
        <w:spacing w:before="90" w:after="283"/>
        <w:jc w:val="left"/>
        <w:rPr>
          <w:rFonts w:ascii="Times New Roman" w:hAnsi="Times New Roman"/>
          <w:sz w:val="20"/>
        </w:rPr>
      </w:pPr>
      <w:r>
        <w:rPr>
          <w:rFonts w:ascii="sans-serif" w:hAnsi="sans-serif"/>
          <w:color w:val="000000"/>
          <w:sz w:val="20"/>
        </w:rPr>
        <w:t xml:space="preserve">In November 2024, the FASB issued ASU 2024-03, </w:t>
      </w:r>
      <w:r>
        <w:rPr>
          <w:rFonts w:ascii="sans-serif" w:hAnsi="sans-serif"/>
          <w:i/>
          <w:color w:val="000000"/>
          <w:sz w:val="20"/>
        </w:rPr>
        <w:t>Income Statement-Reporting Comprehensive Income-Expense Disaggregation Disclosures (Subtopic 220-40): Disaggregation of Income Statement Expenses</w:t>
      </w:r>
      <w:r>
        <w:rPr>
          <w:rFonts w:ascii="sans-serif" w:hAnsi="sans-serif"/>
          <w:color w:val="000000"/>
          <w:sz w:val="20"/>
        </w:rPr>
        <w:t>,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jc w:val="center"/>
        <w:rPr>
          <w:rFonts w:ascii="sans-serif" w:hAnsi="sans-serif"/>
          <w:color w:val="000000"/>
          <w:sz w:val="20"/>
        </w:rPr>
      </w:pPr>
      <w:r>
        <w:rPr>
          <w:rFonts w:ascii="sans-serif" w:hAnsi="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sans-serif" w:hAnsi="sans-serif"/>
          <w:b/>
          <w:color w:val="000000"/>
          <w:sz w:val="20"/>
        </w:rPr>
        <w:t>3. Financial Instruments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Certain financial assets and liabilities are recorded at fair value. The carrying amount of certain financial instruments, including cash and cash equivalents, accounts receivable, accounts payable and accrued liabilities, approximate fair value due to their relatively short maturities. The carrying amounts of liabilities for the sales of future royalties also approximate their fair value. 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authoritative guidance on fair value measurements establishes a three-tier fair value hierarchy for disclosure of fair value measurements as follows: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i/>
          <w:color w:val="000000"/>
          <w:sz w:val="20"/>
        </w:rPr>
        <w:t>Level 1</w:t>
      </w:r>
      <w:r>
        <w:rPr>
          <w:rFonts w:ascii="Times New Roman" w:hAnsi="Times New Roman"/>
          <w:color w:val="000000"/>
          <w:sz w:val="20"/>
        </w:rPr>
        <w:t>—</w:t>
      </w:r>
      <w:r>
        <w:rPr>
          <w:rFonts w:ascii="sans-serif" w:hAnsi="sans-serif"/>
          <w:color w:val="000000"/>
          <w:sz w:val="20"/>
        </w:rPr>
        <w:t>Inputs are unadjusted, quoted prices in active markets for identical assets or liabilities at the measurement date;</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i/>
          <w:color w:val="000000"/>
          <w:sz w:val="20"/>
        </w:rPr>
        <w:t>Level 2</w:t>
      </w:r>
      <w:r>
        <w:rPr>
          <w:rFonts w:ascii="Times New Roman" w:hAnsi="Times New Roman"/>
          <w:color w:val="000000"/>
          <w:sz w:val="20"/>
        </w:rPr>
        <w:t>—</w:t>
      </w:r>
      <w:r>
        <w:rPr>
          <w:rFonts w:ascii="sans-serif" w:hAnsi="sans-serif"/>
          <w:color w:val="000000"/>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i/>
          <w:color w:val="000000"/>
          <w:sz w:val="20"/>
        </w:rPr>
        <w:t>Level 3</w:t>
      </w:r>
      <w:r>
        <w:rPr>
          <w:rFonts w:ascii="Times New Roman" w:hAnsi="Times New Roman"/>
          <w:color w:val="000000"/>
          <w:sz w:val="20"/>
        </w:rPr>
        <w:t>—</w:t>
      </w:r>
      <w:r>
        <w:rPr>
          <w:rFonts w:ascii="sans-serif" w:hAnsi="sans-serif"/>
          <w:color w:val="000000"/>
          <w:sz w:val="20"/>
        </w:rPr>
        <w:t>Unobservable inputs that are significant to the measurement of the fair value of the assets or liabilities that are supported by little or no market data.</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The Company determines the fair value of its equity investment in Solid Biosciences Inc., or Solid, by using the quoted market prices, which are Level 1 fair value measurements.</w:t>
      </w:r>
      <w:r>
        <w:rPr>
          <w:rFonts w:ascii="Times New Roman" w:hAnsi="Times New Roman"/>
          <w:color w:val="000000"/>
          <w:sz w:val="20"/>
        </w:rPr>
        <w:t xml:space="preserve"> </w:t>
      </w:r>
    </w:p>
    <w:p>
      <w:pPr>
        <w:pStyle w:val="TextBody"/>
        <w:bidi w:val="0"/>
        <w:spacing w:before="90" w:after="240"/>
        <w:jc w:val="left"/>
        <w:rPr>
          <w:rFonts w:ascii="sans-serif" w:hAnsi="sans-serif"/>
          <w:color w:val="000000"/>
          <w:sz w:val="20"/>
        </w:rPr>
      </w:pPr>
      <w:r>
        <w:rPr>
          <w:rFonts w:ascii="sans-serif" w:hAnsi="sans-serif"/>
          <w:color w:val="000000"/>
          <w:sz w:val="20"/>
        </w:rPr>
        <w:t>The following tables set forth the fair value of the Company’s financial assets and liabilities remeasured on a recurring basis based on the three-tier fair value hierarchy (in millions):</w:t>
      </w:r>
    </w:p>
    <w:tbl>
      <w:tblPr>
        <w:tblW w:w="9545" w:type="dxa"/>
        <w:jc w:val="left"/>
        <w:tblInd w:w="0" w:type="dxa"/>
        <w:tblLayout w:type="fixed"/>
        <w:tblCellMar>
          <w:top w:w="28" w:type="dxa"/>
          <w:left w:w="28" w:type="dxa"/>
          <w:bottom w:w="28" w:type="dxa"/>
          <w:right w:w="28" w:type="dxa"/>
        </w:tblCellMar>
      </w:tblPr>
      <w:tblGrid>
        <w:gridCol w:w="5091"/>
        <w:gridCol w:w="301"/>
        <w:gridCol w:w="464"/>
        <w:gridCol w:w="146"/>
        <w:gridCol w:w="146"/>
        <w:gridCol w:w="250"/>
        <w:gridCol w:w="515"/>
        <w:gridCol w:w="146"/>
        <w:gridCol w:w="146"/>
        <w:gridCol w:w="301"/>
        <w:gridCol w:w="464"/>
        <w:gridCol w:w="146"/>
        <w:gridCol w:w="146"/>
        <w:gridCol w:w="226"/>
        <w:gridCol w:w="466"/>
        <w:gridCol w:w="591"/>
      </w:tblGrid>
      <w:tr>
        <w:trPr/>
        <w:tc>
          <w:tcPr>
            <w:tcW w:w="50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Financial Assets:</w:t>
            </w:r>
          </w:p>
        </w:tc>
        <w:tc>
          <w:tcPr>
            <w:tcW w:w="76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Money market funds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Corporate bonds</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w:t>
            </w:r>
          </w:p>
        </w:tc>
        <w:tc>
          <w:tcPr>
            <w:tcW w:w="5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Commercial paper</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U.S. Government Treasury and agency securities</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5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Investment in Solid common stock</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compensation assets</w:t>
            </w:r>
          </w:p>
        </w:tc>
        <w:tc>
          <w:tcPr>
            <w:tcW w:w="3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5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financial assets</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91"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Financial Liabilities:</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compensation liabilities</w:t>
            </w:r>
          </w:p>
        </w:tc>
        <w:tc>
          <w:tcPr>
            <w:tcW w:w="30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5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545" w:type="dxa"/>
        <w:jc w:val="left"/>
        <w:tblInd w:w="0" w:type="dxa"/>
        <w:tblLayout w:type="fixed"/>
        <w:tblCellMar>
          <w:top w:w="28" w:type="dxa"/>
          <w:left w:w="28" w:type="dxa"/>
          <w:bottom w:w="28" w:type="dxa"/>
          <w:right w:w="28" w:type="dxa"/>
        </w:tblCellMar>
      </w:tblPr>
      <w:tblGrid>
        <w:gridCol w:w="5091"/>
        <w:gridCol w:w="250"/>
        <w:gridCol w:w="515"/>
        <w:gridCol w:w="146"/>
        <w:gridCol w:w="146"/>
        <w:gridCol w:w="250"/>
        <w:gridCol w:w="515"/>
        <w:gridCol w:w="146"/>
        <w:gridCol w:w="146"/>
        <w:gridCol w:w="301"/>
        <w:gridCol w:w="464"/>
        <w:gridCol w:w="146"/>
        <w:gridCol w:w="146"/>
        <w:gridCol w:w="226"/>
        <w:gridCol w:w="466"/>
        <w:gridCol w:w="591"/>
      </w:tblGrid>
      <w:tr>
        <w:trPr/>
        <w:tc>
          <w:tcPr>
            <w:tcW w:w="50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Financial Assets:</w:t>
            </w:r>
          </w:p>
        </w:tc>
        <w:tc>
          <w:tcPr>
            <w:tcW w:w="76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Money market funds</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Time deposits</w:t>
            </w:r>
          </w:p>
        </w:tc>
        <w:tc>
          <w:tcPr>
            <w:tcW w:w="2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5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Corporate bonds</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Commercial paper</w:t>
            </w:r>
          </w:p>
        </w:tc>
        <w:tc>
          <w:tcPr>
            <w:tcW w:w="2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5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U.S. Government Treasury and agency securities</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Investment in Solid common stock</w:t>
            </w:r>
          </w:p>
        </w:tc>
        <w:tc>
          <w:tcPr>
            <w:tcW w:w="2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5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compensation assets</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91"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financial assets</w:t>
            </w:r>
          </w:p>
        </w:tc>
        <w:tc>
          <w:tcPr>
            <w:tcW w:w="25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335</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687</w:t>
            </w:r>
          </w:p>
        </w:tc>
        <w:tc>
          <w:tcPr>
            <w:tcW w:w="591" w:type="dxa"/>
            <w:tcBorders>
              <w:bottom w:val="double" w:sz="6" w:space="0" w:color="000000"/>
            </w:tcBorders>
            <w:shd w:fill="CCEC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9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Financial Liabilities:</w:t>
            </w:r>
          </w:p>
        </w:tc>
        <w:tc>
          <w:tcPr>
            <w:tcW w:w="76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65"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compensation liabilities</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sans-serif" w:hAnsi="sans-serif"/>
          <w:b/>
          <w:color w:val="000000"/>
          <w:sz w:val="20"/>
        </w:rPr>
        <w:t>4. Balance Sheet Components</w:t>
      </w:r>
      <w:r>
        <w:rPr>
          <w:rFonts w:ascii="Times New Roman" w:hAnsi="Times New Roman"/>
          <w:color w:val="000000"/>
          <w:sz w:val="20"/>
        </w:rPr>
        <w:t xml:space="preserve"> </w:t>
      </w:r>
    </w:p>
    <w:p>
      <w:pPr>
        <w:pStyle w:val="TextBody"/>
        <w:bidi w:val="0"/>
        <w:spacing w:before="90" w:after="283"/>
        <w:jc w:val="left"/>
        <w:rPr>
          <w:rFonts w:ascii="sans-serif" w:hAnsi="sans-serif"/>
          <w:b/>
          <w:color w:val="000000"/>
          <w:sz w:val="20"/>
        </w:rPr>
      </w:pPr>
      <w:r>
        <w:rPr>
          <w:rFonts w:ascii="sans-serif" w:hAnsi="sans-serif"/>
          <w:b/>
          <w:color w:val="000000"/>
          <w:sz w:val="20"/>
        </w:rPr>
        <w:t>Cash Equivalents and Marketable Securities</w:t>
      </w:r>
    </w:p>
    <w:p>
      <w:pPr>
        <w:pStyle w:val="TextBody"/>
        <w:bidi w:val="0"/>
        <w:spacing w:before="90" w:after="283"/>
        <w:jc w:val="left"/>
        <w:rPr>
          <w:rFonts w:ascii="sans-serif" w:hAnsi="sans-serif"/>
          <w:color w:val="000000"/>
          <w:sz w:val="20"/>
        </w:rPr>
      </w:pPr>
      <w:r>
        <w:rPr>
          <w:rFonts w:ascii="sans-serif" w:hAnsi="sans-serif"/>
          <w:color w:val="000000"/>
          <w:sz w:val="20"/>
        </w:rPr>
        <w:t>The fair values of cash equivalents and marketable securities classified as available-for-sale securities consist of the following (in millions):</w:t>
      </w:r>
    </w:p>
    <w:p>
      <w:pPr>
        <w:pStyle w:val="TextBody"/>
        <w:bidi w:val="0"/>
        <w:jc w:val="left"/>
        <w:rPr/>
      </w:pPr>
      <w:r>
        <w:rPr/>
        <w:t> </w:t>
      </w:r>
    </w:p>
    <w:tbl>
      <w:tblPr>
        <w:tblW w:w="9953" w:type="dxa"/>
        <w:jc w:val="left"/>
        <w:tblInd w:w="0" w:type="dxa"/>
        <w:tblLayout w:type="fixed"/>
        <w:tblCellMar>
          <w:top w:w="28" w:type="dxa"/>
          <w:left w:w="28" w:type="dxa"/>
          <w:bottom w:w="28" w:type="dxa"/>
          <w:right w:w="28" w:type="dxa"/>
        </w:tblCellMar>
      </w:tblPr>
      <w:tblGrid>
        <w:gridCol w:w="4891"/>
        <w:gridCol w:w="146"/>
        <w:gridCol w:w="343"/>
        <w:gridCol w:w="708"/>
        <w:gridCol w:w="146"/>
        <w:gridCol w:w="146"/>
        <w:gridCol w:w="264"/>
        <w:gridCol w:w="405"/>
        <w:gridCol w:w="170"/>
        <w:gridCol w:w="170"/>
        <w:gridCol w:w="296"/>
        <w:gridCol w:w="455"/>
        <w:gridCol w:w="181"/>
        <w:gridCol w:w="146"/>
        <w:gridCol w:w="357"/>
        <w:gridCol w:w="738"/>
        <w:gridCol w:w="39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1"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Gross Unrealized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Gains</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Losses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xml:space="preserve">Estimated </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Money market funds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Commercial paper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 Government Treasury and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4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371</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118" w:type="dxa"/>
        <w:jc w:val="left"/>
        <w:tblInd w:w="0" w:type="dxa"/>
        <w:tblLayout w:type="fixed"/>
        <w:tblCellMar>
          <w:top w:w="28" w:type="dxa"/>
          <w:left w:w="28" w:type="dxa"/>
          <w:bottom w:w="28" w:type="dxa"/>
          <w:right w:w="28" w:type="dxa"/>
        </w:tblCellMar>
      </w:tblPr>
      <w:tblGrid>
        <w:gridCol w:w="4891"/>
        <w:gridCol w:w="346"/>
        <w:gridCol w:w="343"/>
        <w:gridCol w:w="708"/>
        <w:gridCol w:w="146"/>
        <w:gridCol w:w="146"/>
        <w:gridCol w:w="264"/>
        <w:gridCol w:w="405"/>
        <w:gridCol w:w="170"/>
        <w:gridCol w:w="170"/>
        <w:gridCol w:w="296"/>
        <w:gridCol w:w="455"/>
        <w:gridCol w:w="146"/>
        <w:gridCol w:w="146"/>
        <w:gridCol w:w="357"/>
        <w:gridCol w:w="738"/>
        <w:gridCol w:w="391"/>
      </w:tblGrid>
      <w:tr>
        <w:trPr/>
        <w:tc>
          <w:tcPr>
            <w:tcW w:w="48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6"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Gross Unrealized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Gains</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xml:space="preserve">Estimated </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Money market funds</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Time deposits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Corporate bonds</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263</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Commercial paper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U.S. Government Treasury and agency securities</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90" w:after="283"/>
        <w:jc w:val="left"/>
        <w:rPr>
          <w:rFonts w:ascii="sans-serif" w:hAnsi="sans-serif"/>
          <w:color w:val="000000"/>
          <w:sz w:val="20"/>
        </w:rPr>
      </w:pPr>
      <w:r>
        <w:rPr>
          <w:rFonts w:ascii="sans-serif" w:hAnsi="sans-serif"/>
          <w:color w:val="000000"/>
          <w:sz w:val="20"/>
        </w:rPr>
        <w:t>At June 30, 2026, the remaining contractual maturities of available-for-sale securities were less than three years. The cost of securities sold is based on the specific-identification method. There have been no significant realized gains or losses on available-for-sale securities for the periods presented. All marketable securities with unrealized losses at June 30, 2026 have been in a loss position for less than 12 months or the loss is not material and is temporary in nature.</w:t>
      </w:r>
    </w:p>
    <w:p>
      <w:pPr>
        <w:pStyle w:val="TextBody"/>
        <w:bidi w:val="0"/>
        <w:spacing w:before="270" w:after="283"/>
        <w:jc w:val="left"/>
        <w:rPr>
          <w:rFonts w:ascii="Times New Roman" w:hAnsi="Times New Roman"/>
          <w:sz w:val="20"/>
        </w:rPr>
      </w:pPr>
      <w:r>
        <w:rPr>
          <w:rFonts w:ascii="sans-serif" w:hAnsi="sans-serif"/>
          <w:b/>
          <w:color w:val="000000"/>
          <w:sz w:val="20"/>
        </w:rPr>
        <w:t>Inventory</w:t>
      </w:r>
      <w:r>
        <w:rPr>
          <w:rFonts w:ascii="Times New Roman" w:hAnsi="Times New Roman"/>
          <w:color w:val="000000"/>
          <w:sz w:val="20"/>
        </w:rPr>
        <w:t xml:space="preserve"> </w:t>
      </w:r>
    </w:p>
    <w:p>
      <w:pPr>
        <w:pStyle w:val="TextBody"/>
        <w:bidi w:val="0"/>
        <w:spacing w:before="90" w:after="240"/>
        <w:jc w:val="left"/>
        <w:rPr>
          <w:rFonts w:ascii="sans-serif" w:hAnsi="sans-serif"/>
          <w:color w:val="000000"/>
          <w:sz w:val="20"/>
        </w:rPr>
      </w:pPr>
      <w:r>
        <w:rPr>
          <w:rFonts w:ascii="sans-serif" w:hAnsi="sans-serif"/>
          <w:color w:val="000000"/>
          <w:sz w:val="20"/>
        </w:rPr>
        <w:t>Inventory consists of the following (in millions):</w:t>
      </w:r>
    </w:p>
    <w:tbl>
      <w:tblPr>
        <w:tblW w:w="4885" w:type="dxa"/>
        <w:jc w:val="left"/>
        <w:tblInd w:w="0" w:type="dxa"/>
        <w:tblLayout w:type="fixed"/>
        <w:tblCellMar>
          <w:top w:w="28" w:type="dxa"/>
          <w:left w:w="28" w:type="dxa"/>
          <w:bottom w:w="28" w:type="dxa"/>
          <w:right w:w="28" w:type="dxa"/>
        </w:tblCellMar>
      </w:tblPr>
      <w:tblGrid>
        <w:gridCol w:w="1806"/>
        <w:gridCol w:w="146"/>
        <w:gridCol w:w="344"/>
        <w:gridCol w:w="526"/>
        <w:gridCol w:w="146"/>
        <w:gridCol w:w="146"/>
        <w:gridCol w:w="545"/>
        <w:gridCol w:w="835"/>
        <w:gridCol w:w="391"/>
      </w:tblGrid>
      <w:tr>
        <w:trPr/>
        <w:tc>
          <w:tcPr>
            <w:tcW w:w="1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Work-in-process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inventory</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70" w:after="283"/>
        <w:jc w:val="left"/>
        <w:rPr>
          <w:rFonts w:ascii="Times New Roman" w:hAnsi="Times New Roman"/>
          <w:sz w:val="20"/>
        </w:rPr>
      </w:pPr>
      <w:r>
        <w:rPr>
          <w:rFonts w:ascii="sans-serif" w:hAnsi="sans-serif"/>
          <w:b/>
          <w:color w:val="000000"/>
          <w:sz w:val="20"/>
        </w:rPr>
        <w:t>Accrued Liabilities</w:t>
      </w:r>
      <w:r>
        <w:rPr>
          <w:rFonts w:ascii="Times New Roman" w:hAnsi="Times New Roman"/>
          <w:color w:val="000000"/>
          <w:sz w:val="20"/>
        </w:rPr>
        <w:t xml:space="preserve"> </w:t>
      </w:r>
    </w:p>
    <w:p>
      <w:pPr>
        <w:pStyle w:val="TextBody"/>
        <w:bidi w:val="0"/>
        <w:spacing w:before="90" w:after="240"/>
        <w:jc w:val="left"/>
        <w:rPr>
          <w:rFonts w:ascii="sans-serif" w:hAnsi="sans-serif"/>
          <w:color w:val="000000"/>
          <w:sz w:val="20"/>
        </w:rPr>
      </w:pPr>
      <w:r>
        <w:rPr>
          <w:rFonts w:ascii="sans-serif" w:hAnsi="sans-serif"/>
          <w:color w:val="000000"/>
          <w:sz w:val="20"/>
        </w:rPr>
        <w:t>Accrued liabilities consist of the following (in millions):</w:t>
      </w:r>
    </w:p>
    <w:tbl>
      <w:tblPr>
        <w:tblW w:w="7060" w:type="dxa"/>
        <w:jc w:val="left"/>
        <w:tblInd w:w="0" w:type="dxa"/>
        <w:tblLayout w:type="fixed"/>
        <w:tblCellMar>
          <w:top w:w="28" w:type="dxa"/>
          <w:left w:w="28" w:type="dxa"/>
          <w:bottom w:w="28" w:type="dxa"/>
          <w:right w:w="28" w:type="dxa"/>
        </w:tblCellMar>
      </w:tblPr>
      <w:tblGrid>
        <w:gridCol w:w="3781"/>
        <w:gridCol w:w="346"/>
        <w:gridCol w:w="284"/>
        <w:gridCol w:w="586"/>
        <w:gridCol w:w="146"/>
        <w:gridCol w:w="146"/>
        <w:gridCol w:w="450"/>
        <w:gridCol w:w="930"/>
        <w:gridCol w:w="391"/>
      </w:tblGrid>
      <w:tr>
        <w:trPr/>
        <w:tc>
          <w:tcPr>
            <w:tcW w:w="3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clinical study expenses</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5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Payroll and related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 related reserves</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Manufacturing and related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5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accrued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sans-serif" w:hAnsi="sans-serif"/>
          <w:b/>
          <w:color w:val="000000"/>
          <w:sz w:val="20"/>
        </w:rPr>
      </w:pPr>
      <w:r>
        <w:rPr>
          <w:rFonts w:ascii="sans-serif" w:hAnsi="sans-serif"/>
          <w:b/>
          <w:color w:val="000000"/>
          <w:sz w:val="20"/>
        </w:rPr>
        <w:t>5. Revenue</w:t>
      </w:r>
    </w:p>
    <w:p>
      <w:pPr>
        <w:pStyle w:val="TextBody"/>
        <w:bidi w:val="0"/>
        <w:spacing w:before="90" w:after="240"/>
        <w:jc w:val="left"/>
        <w:rPr>
          <w:rFonts w:ascii="sans-serif" w:hAnsi="sans-serif"/>
          <w:color w:val="000000"/>
          <w:sz w:val="20"/>
        </w:rPr>
      </w:pPr>
      <w:r>
        <w:rPr>
          <w:rFonts w:ascii="sans-serif" w:hAnsi="sans-serif"/>
          <w:color w:val="000000"/>
          <w:sz w:val="20"/>
        </w:rPr>
        <w:t>The following table disaggregates total revenues from external customers by product sales and royalty revenue (in millions):</w:t>
      </w:r>
    </w:p>
    <w:tbl>
      <w:tblPr>
        <w:tblW w:w="7107" w:type="dxa"/>
        <w:jc w:val="left"/>
        <w:tblInd w:w="0" w:type="dxa"/>
        <w:tblLayout w:type="fixed"/>
        <w:tblCellMar>
          <w:top w:w="28" w:type="dxa"/>
          <w:left w:w="28" w:type="dxa"/>
          <w:bottom w:w="28" w:type="dxa"/>
          <w:right w:w="28" w:type="dxa"/>
        </w:tblCellMar>
      </w:tblPr>
      <w:tblGrid>
        <w:gridCol w:w="2536"/>
        <w:gridCol w:w="275"/>
        <w:gridCol w:w="567"/>
        <w:gridCol w:w="177"/>
        <w:gridCol w:w="177"/>
        <w:gridCol w:w="275"/>
        <w:gridCol w:w="567"/>
        <w:gridCol w:w="146"/>
        <w:gridCol w:w="242"/>
        <w:gridCol w:w="500"/>
        <w:gridCol w:w="156"/>
        <w:gridCol w:w="156"/>
        <w:gridCol w:w="242"/>
        <w:gridCol w:w="500"/>
        <w:gridCol w:w="591"/>
      </w:tblGrid>
      <w:tr>
        <w:trPr/>
        <w:tc>
          <w:tcPr>
            <w:tcW w:w="25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Product sales:</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42"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42"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Crysvita</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Dojolvi</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5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Evkeeza</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Mepsevii</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7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5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5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product sales</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3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Crysvita royalty revenue</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w:t>
            </w:r>
          </w:p>
        </w:tc>
        <w:tc>
          <w:tcPr>
            <w:tcW w:w="17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15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5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revenues</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70" w:after="240"/>
        <w:jc w:val="left"/>
        <w:rPr>
          <w:rFonts w:ascii="sans-serif" w:hAnsi="sans-serif"/>
          <w:color w:val="000000"/>
          <w:sz w:val="20"/>
        </w:rPr>
      </w:pPr>
      <w:r>
        <w:rPr>
          <w:rFonts w:ascii="sans-serif" w:hAnsi="sans-serif"/>
          <w:color w:val="000000"/>
          <w:sz w:val="20"/>
        </w:rPr>
        <w:t>The following table disaggregates total revenues based on geographic location (in millions):</w:t>
      </w:r>
    </w:p>
    <w:tbl>
      <w:tblPr>
        <w:tblW w:w="7722" w:type="dxa"/>
        <w:jc w:val="left"/>
        <w:tblInd w:w="0" w:type="dxa"/>
        <w:tblLayout w:type="fixed"/>
        <w:tblCellMar>
          <w:top w:w="28" w:type="dxa"/>
          <w:left w:w="28" w:type="dxa"/>
          <w:bottom w:w="28" w:type="dxa"/>
          <w:right w:w="28" w:type="dxa"/>
        </w:tblCellMar>
      </w:tblPr>
      <w:tblGrid>
        <w:gridCol w:w="3151"/>
        <w:gridCol w:w="275"/>
        <w:gridCol w:w="567"/>
        <w:gridCol w:w="177"/>
        <w:gridCol w:w="177"/>
        <w:gridCol w:w="275"/>
        <w:gridCol w:w="567"/>
        <w:gridCol w:w="146"/>
        <w:gridCol w:w="242"/>
        <w:gridCol w:w="500"/>
        <w:gridCol w:w="156"/>
        <w:gridCol w:w="156"/>
        <w:gridCol w:w="242"/>
        <w:gridCol w:w="500"/>
        <w:gridCol w:w="591"/>
      </w:tblGrid>
      <w:tr>
        <w:trPr/>
        <w:tc>
          <w:tcPr>
            <w:tcW w:w="31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North America</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7"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7"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161</w:t>
            </w:r>
          </w:p>
        </w:tc>
        <w:tc>
          <w:tcPr>
            <w:tcW w:w="5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Latin America</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5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Asia-Pacific</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1"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revenues</w:t>
            </w:r>
          </w:p>
        </w:tc>
        <w:tc>
          <w:tcPr>
            <w:tcW w:w="2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w:t>
            </w:r>
          </w:p>
        </w:tc>
        <w:tc>
          <w:tcPr>
            <w:tcW w:w="17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w:t>
            </w:r>
          </w:p>
        </w:tc>
        <w:tc>
          <w:tcPr>
            <w:tcW w:w="15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w:t>
            </w:r>
          </w:p>
        </w:tc>
        <w:tc>
          <w:tcPr>
            <w:tcW w:w="5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90" w:after="283"/>
        <w:jc w:val="left"/>
        <w:rPr>
          <w:rFonts w:ascii="Times New Roman" w:hAnsi="Times New Roman"/>
          <w:sz w:val="20"/>
        </w:rPr>
      </w:pPr>
      <w:r>
        <w:rPr>
          <w:rFonts w:ascii="sans-serif" w:hAnsi="sans-serif"/>
          <w:color w:val="000000"/>
          <w:sz w:val="20"/>
        </w:rPr>
        <w:t>The Company’s largest accounts receivable balance was from a collaboration partner and accounted for 47% and 62% of the total accounts receivable balance as of June 30, 2026</w:t>
      </w:r>
      <w:r>
        <w:rPr>
          <w:rFonts w:ascii="Times New Roman" w:hAnsi="Times New Roman"/>
          <w:color w:val="000000"/>
          <w:sz w:val="20"/>
        </w:rPr>
        <w:t xml:space="preserve"> </w:t>
      </w:r>
      <w:r>
        <w:rPr>
          <w:rFonts w:ascii="sans-serif" w:hAnsi="sans-serif"/>
          <w:color w:val="000000"/>
          <w:sz w:val="20"/>
        </w:rPr>
        <w:t>and December 31, 2025, respectively. Two other customers accounted for 11% and 10% of the total accounts receivable balance as of June 30, 2026</w:t>
      </w:r>
      <w:r>
        <w:rPr>
          <w:rFonts w:ascii="Times New Roman" w:hAnsi="Times New Roman"/>
          <w:color w:val="000000"/>
          <w:sz w:val="20"/>
        </w:rPr>
        <w:t xml:space="preserve"> </w:t>
      </w:r>
      <w:r>
        <w:rPr>
          <w:rFonts w:ascii="sans-serif" w:hAnsi="sans-serif"/>
          <w:color w:val="000000"/>
          <w:sz w:val="20"/>
        </w:rPr>
        <w:t>and 4% and 2% of the total accounts receivable balance as of December 31, 2025, respectively.</w:t>
      </w:r>
    </w:p>
    <w:p>
      <w:pPr>
        <w:pStyle w:val="TextBody"/>
        <w:bidi w:val="0"/>
        <w:spacing w:before="270" w:after="283"/>
        <w:jc w:val="left"/>
        <w:rPr>
          <w:rFonts w:ascii="sans-serif" w:hAnsi="sans-serif"/>
          <w:b/>
          <w:color w:val="000000"/>
          <w:sz w:val="20"/>
        </w:rPr>
      </w:pPr>
      <w:r>
        <w:rPr>
          <w:rFonts w:ascii="sans-serif" w:hAnsi="sans-serif"/>
          <w:b/>
          <w:color w:val="000000"/>
          <w:sz w:val="20"/>
        </w:rPr>
        <w:t>6. Investment in Amlogenyx Inc.</w:t>
      </w:r>
    </w:p>
    <w:p>
      <w:pPr>
        <w:pStyle w:val="TextBody"/>
        <w:bidi w:val="0"/>
        <w:spacing w:before="90" w:after="283"/>
        <w:jc w:val="left"/>
        <w:rPr>
          <w:rFonts w:ascii="Times New Roman" w:hAnsi="Times New Roman"/>
          <w:sz w:val="20"/>
        </w:rPr>
      </w:pPr>
      <w:r>
        <w:rPr>
          <w:rFonts w:ascii="sans-serif" w:hAnsi="sans-serif"/>
          <w:color w:val="000000"/>
          <w:sz w:val="20"/>
        </w:rPr>
        <w:t>In July 2024, the Company contributed certain intellectual property rights to Amlogenyx Inc., or Amlogenyx, a subsidiary of the Company, and received 9.0</w:t>
      </w:r>
      <w:r>
        <w:rPr>
          <w:rFonts w:ascii="Times New Roman" w:hAnsi="Times New Roman"/>
          <w:color w:val="000000"/>
          <w:sz w:val="20"/>
        </w:rPr>
        <w:t xml:space="preserve"> </w:t>
      </w:r>
      <w:r>
        <w:rPr>
          <w:rFonts w:ascii="sans-serif" w:hAnsi="sans-serif"/>
          <w:color w:val="000000"/>
          <w:sz w:val="20"/>
        </w:rPr>
        <w:t>million shares of common stock of Amlogenyx. A third-party investor along with one of its affiliated entities, and the Company each contributed $7</w:t>
      </w:r>
      <w:r>
        <w:rPr>
          <w:rFonts w:ascii="Times New Roman" w:hAnsi="Times New Roman"/>
          <w:color w:val="000000"/>
          <w:sz w:val="20"/>
        </w:rPr>
        <w:t xml:space="preserve"> </w:t>
      </w:r>
      <w:r>
        <w:rPr>
          <w:rFonts w:ascii="sans-serif" w:hAnsi="sans-serif"/>
          <w:color w:val="000000"/>
          <w:sz w:val="20"/>
        </w:rPr>
        <w:t>million to Amlogenyx and in exchange, each received approximately 1.6</w:t>
      </w:r>
      <w:r>
        <w:rPr>
          <w:rFonts w:ascii="Times New Roman" w:hAnsi="Times New Roman"/>
          <w:color w:val="000000"/>
          <w:sz w:val="20"/>
        </w:rPr>
        <w:t xml:space="preserve"> </w:t>
      </w:r>
      <w:r>
        <w:rPr>
          <w:rFonts w:ascii="sans-serif" w:hAnsi="sans-serif"/>
          <w:color w:val="000000"/>
          <w:sz w:val="20"/>
        </w:rPr>
        <w:t>million shares of series seed preferred stock of Amlogenyx. The purpose of Amlogenyx is to pursue the application of the Company’s novel adeno-associated virus, or AAV, gene therapy to treat beta-amyloid disorders and related neurodegenerative diseases.</w:t>
      </w:r>
    </w:p>
    <w:p>
      <w:pPr>
        <w:pStyle w:val="TextBody"/>
        <w:bidi w:val="0"/>
        <w:spacing w:before="90" w:after="283"/>
        <w:jc w:val="left"/>
        <w:rPr>
          <w:rFonts w:ascii="Times New Roman" w:hAnsi="Times New Roman"/>
          <w:sz w:val="20"/>
        </w:rPr>
      </w:pPr>
      <w:r>
        <w:rPr>
          <w:rFonts w:ascii="sans-serif" w:hAnsi="sans-serif"/>
          <w:color w:val="000000"/>
          <w:sz w:val="20"/>
        </w:rPr>
        <w:t>Amlogenyx was determined to be a VIE and the Company is the primary beneficiary as it has the power to direct the activities that would most significantly impact the economic performance of Amlogenyx, including the performance of R&amp;D activities relating to its sole product candidate. As the primary beneficiary, the Company has consolidated the financial position, results of operations and cash flows of Amlogenyx in its financial statements and all intercompany balances have been eliminated in consolidation. Upon initial consolidation, the non-controlling interest of the third-party investor was recorded at its estimated fair value of $7</w:t>
      </w:r>
      <w:r>
        <w:rPr>
          <w:rFonts w:ascii="Times New Roman" w:hAnsi="Times New Roman"/>
          <w:color w:val="000000"/>
          <w:sz w:val="20"/>
        </w:rPr>
        <w:t xml:space="preserve"> </w:t>
      </w:r>
      <w:r>
        <w:rPr>
          <w:rFonts w:ascii="sans-serif" w:hAnsi="sans-serif"/>
          <w:color w:val="000000"/>
          <w:sz w:val="20"/>
        </w:rPr>
        <w:t>million, which is equal to their original investment.</w:t>
      </w:r>
    </w:p>
    <w:p>
      <w:pPr>
        <w:pStyle w:val="TextBody"/>
        <w:bidi w:val="0"/>
        <w:spacing w:before="90" w:after="283"/>
        <w:jc w:val="left"/>
        <w:rPr>
          <w:rFonts w:ascii="Times New Roman" w:hAnsi="Times New Roman"/>
          <w:sz w:val="20"/>
        </w:rPr>
      </w:pPr>
      <w:r>
        <w:rPr>
          <w:rFonts w:ascii="sans-serif" w:hAnsi="sans-serif"/>
          <w:color w:val="000000"/>
          <w:sz w:val="20"/>
        </w:rPr>
        <w:t>As of June 30, 2026</w:t>
      </w:r>
      <w:r>
        <w:rPr>
          <w:rFonts w:ascii="Times New Roman" w:hAnsi="Times New Roman"/>
          <w:color w:val="000000"/>
          <w:sz w:val="20"/>
        </w:rPr>
        <w:t xml:space="preserve"> </w:t>
      </w:r>
      <w:r>
        <w:rPr>
          <w:rFonts w:ascii="sans-serif" w:hAnsi="sans-serif"/>
          <w:color w:val="000000"/>
          <w:sz w:val="20"/>
        </w:rPr>
        <w:t>and December 31, 2025, the Condensed Consolidated Balance Sheets included Amlogenyx assets of a nominal amount and $5</w:t>
      </w:r>
      <w:r>
        <w:rPr>
          <w:rFonts w:ascii="Times New Roman" w:hAnsi="Times New Roman"/>
          <w:color w:val="000000"/>
          <w:sz w:val="20"/>
        </w:rPr>
        <w:t xml:space="preserve"> </w:t>
      </w:r>
      <w:r>
        <w:rPr>
          <w:rFonts w:ascii="sans-serif" w:hAnsi="sans-serif"/>
          <w:color w:val="000000"/>
          <w:sz w:val="20"/>
        </w:rPr>
        <w:t>million, respectively. The assets primarily consisted of cash and cash equivalents which may only be used to settle obligations of Amlogenyx.</w:t>
      </w:r>
    </w:p>
    <w:p>
      <w:pPr>
        <w:pStyle w:val="TextBody"/>
        <w:bidi w:val="0"/>
        <w:spacing w:before="90" w:after="283"/>
        <w:jc w:val="left"/>
        <w:rPr>
          <w:rFonts w:ascii="Times New Roman" w:hAnsi="Times New Roman"/>
          <w:sz w:val="20"/>
        </w:rPr>
      </w:pPr>
      <w:r>
        <w:rPr>
          <w:rFonts w:ascii="sans-serif" w:hAnsi="sans-serif"/>
          <w:color w:val="000000"/>
          <w:sz w:val="20"/>
        </w:rPr>
        <w:t>Noncontrolling interest related to the third-party investment in Amlogenyx is reported on the Condensed Consolidated Balance Sheets in mezzanine equity.</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Changes in the carrying value of noncontrolling interest for the six months ended June 30, 2026 are as follows (in millions):</w:t>
      </w:r>
    </w:p>
    <w:p>
      <w:pPr>
        <w:pStyle w:val="TextBody"/>
        <w:bidi w:val="0"/>
        <w:jc w:val="center"/>
        <w:rPr>
          <w:rFonts w:ascii="sans-serif" w:hAnsi="sans-serif"/>
          <w:color w:val="000000"/>
          <w:sz w:val="20"/>
        </w:rPr>
      </w:pPr>
      <w:r>
        <w:rPr>
          <w:rFonts w:ascii="sans-serif" w:hAnsi="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342" w:type="dxa"/>
        <w:jc w:val="left"/>
        <w:tblInd w:w="0" w:type="dxa"/>
        <w:tblLayout w:type="fixed"/>
        <w:tblCellMar>
          <w:top w:w="28" w:type="dxa"/>
          <w:left w:w="28" w:type="dxa"/>
          <w:bottom w:w="28" w:type="dxa"/>
          <w:right w:w="28" w:type="dxa"/>
        </w:tblCellMar>
      </w:tblPr>
      <w:tblGrid>
        <w:gridCol w:w="2756"/>
        <w:gridCol w:w="905"/>
        <w:gridCol w:w="1390"/>
        <w:gridCol w:w="291"/>
      </w:tblGrid>
      <w:tr>
        <w:trPr/>
        <w:tc>
          <w:tcPr>
            <w:tcW w:w="275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Noncontrolling Interest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 of December 31, 2024</w:t>
            </w:r>
          </w:p>
        </w:tc>
        <w:tc>
          <w:tcPr>
            <w:tcW w:w="90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9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Changes and adjustments</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 of December 31, 2025</w:t>
            </w:r>
          </w:p>
        </w:tc>
        <w:tc>
          <w:tcPr>
            <w:tcW w:w="90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9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Changes and adjustments</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 of June 30, 2026</w:t>
            </w:r>
          </w:p>
        </w:tc>
        <w:tc>
          <w:tcPr>
            <w:tcW w:w="90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9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70" w:after="283"/>
        <w:jc w:val="left"/>
        <w:rPr>
          <w:rFonts w:ascii="Times New Roman" w:hAnsi="Times New Roman"/>
          <w:sz w:val="20"/>
        </w:rPr>
      </w:pPr>
      <w:r>
        <w:rPr>
          <w:rFonts w:ascii="sans-serif" w:hAnsi="sans-serif"/>
          <w:b/>
          <w:color w:val="000000"/>
          <w:sz w:val="20"/>
        </w:rPr>
        <w:t>7. License and Research Agreements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b/>
          <w:color w:val="000000"/>
          <w:sz w:val="20"/>
        </w:rPr>
        <w:t>Kyowa Kirin Co., Ltd.</w:t>
      </w:r>
      <w:r>
        <w:rPr>
          <w:rFonts w:ascii="Times New Roman" w:hAnsi="Times New Roman"/>
          <w:color w:val="000000"/>
          <w:sz w:val="20"/>
        </w:rPr>
        <w:t xml:space="preserve"> </w:t>
      </w:r>
    </w:p>
    <w:p>
      <w:pPr>
        <w:pStyle w:val="TextBody"/>
        <w:bidi w:val="0"/>
        <w:spacing w:before="80" w:after="283"/>
        <w:jc w:val="left"/>
        <w:rPr>
          <w:rFonts w:ascii="sans-serif" w:hAnsi="sans-serif"/>
          <w:color w:val="000000"/>
          <w:sz w:val="20"/>
        </w:rPr>
      </w:pPr>
      <w:r>
        <w:rPr>
          <w:rFonts w:ascii="sans-serif" w:hAnsi="sans-serif"/>
          <w:color w:val="000000"/>
          <w:sz w:val="20"/>
        </w:rPr>
        <w:t>In August 2013, the Company entered into a collaboration and license agreement with Kyowa Kirin Co., Ltd., or KKC. Under the terms of this collaboration and license agreement, as amended, the Company and KKC collaborate on the development and commercialization of Crysvita in the field of orphan diseases in the U.S. and Canada, or the North American Territory, and in the European Union, United Kingdom, and Switzerland, or the European Territory, and the Company has the right to develop and commercialize such products in the field of orphan diseases in Mexico and Central and South America, or Latin America.</w:t>
      </w:r>
    </w:p>
    <w:p>
      <w:pPr>
        <w:pStyle w:val="TextBody"/>
        <w:bidi w:val="0"/>
        <w:spacing w:before="90" w:after="283"/>
        <w:jc w:val="left"/>
        <w:rPr>
          <w:rFonts w:ascii="sans-serif" w:hAnsi="sans-serif"/>
          <w:color w:val="000000"/>
          <w:sz w:val="20"/>
        </w:rPr>
      </w:pPr>
      <w:r>
        <w:rPr>
          <w:rFonts w:ascii="sans-serif" w:hAnsi="sans-serif"/>
          <w:color w:val="000000"/>
          <w:sz w:val="20"/>
        </w:rPr>
        <w:t>The collaboration and license agreements are within the scope of ASC 808, which provides guidance on the presentation and disclosure of collaborative arrangements.</w:t>
      </w:r>
    </w:p>
    <w:p>
      <w:pPr>
        <w:pStyle w:val="TextBody"/>
        <w:bidi w:val="0"/>
        <w:spacing w:before="270" w:after="283"/>
        <w:jc w:val="left"/>
        <w:rPr>
          <w:rFonts w:ascii="sans-serif" w:hAnsi="sans-serif"/>
          <w:i/>
          <w:color w:val="000000"/>
          <w:sz w:val="20"/>
        </w:rPr>
      </w:pPr>
      <w:r>
        <w:rPr>
          <w:rFonts w:ascii="sans-serif" w:hAnsi="sans-serif"/>
          <w:i/>
          <w:color w:val="000000"/>
          <w:sz w:val="20"/>
        </w:rPr>
        <w:t>Product Sales Revenue for Latin America and Türkiye</w:t>
      </w:r>
    </w:p>
    <w:p>
      <w:pPr>
        <w:pStyle w:val="TextBody"/>
        <w:bidi w:val="0"/>
        <w:spacing w:before="90" w:after="283"/>
        <w:jc w:val="left"/>
        <w:rPr>
          <w:rFonts w:ascii="sans-serif" w:hAnsi="sans-serif"/>
          <w:color w:val="000000"/>
          <w:sz w:val="20"/>
        </w:rPr>
      </w:pPr>
      <w:r>
        <w:rPr>
          <w:rFonts w:ascii="sans-serif" w:hAnsi="sans-serif"/>
          <w:color w:val="000000"/>
          <w:sz w:val="20"/>
        </w:rPr>
        <w:t>The Company is responsible for commercializing Crysvita in Latin America and Türkiye. The Company is considered the principal in these territories as the Company controls the product before it is transferred to the customer. Accordingly, the Company records revenue on a gross basis for the sale of Crysvita once the product is delivered and the risk and title of the product is transferred to the distributor. In Türkiye, KKC has the option to assume responsibility for commercialization efforts.</w:t>
      </w:r>
    </w:p>
    <w:p>
      <w:pPr>
        <w:pStyle w:val="TextBody"/>
        <w:bidi w:val="0"/>
        <w:spacing w:before="270" w:after="283"/>
        <w:jc w:val="left"/>
        <w:rPr>
          <w:rFonts w:ascii="sans-serif" w:hAnsi="sans-serif"/>
          <w:i/>
          <w:color w:val="000000"/>
          <w:sz w:val="20"/>
        </w:rPr>
      </w:pPr>
      <w:r>
        <w:rPr>
          <w:rFonts w:ascii="sans-serif" w:hAnsi="sans-serif"/>
          <w:i/>
          <w:color w:val="000000"/>
          <w:sz w:val="20"/>
        </w:rPr>
        <w:t>Transfer Price and Royalties on Product Sales Revenue</w:t>
      </w:r>
    </w:p>
    <w:p>
      <w:pPr>
        <w:pStyle w:val="TextBody"/>
        <w:bidi w:val="0"/>
        <w:spacing w:before="90" w:after="283"/>
        <w:jc w:val="left"/>
        <w:rPr>
          <w:rFonts w:ascii="sans-serif" w:hAnsi="sans-serif"/>
          <w:color w:val="000000"/>
          <w:sz w:val="20"/>
        </w:rPr>
      </w:pPr>
      <w:r>
        <w:rPr>
          <w:rFonts w:ascii="sans-serif" w:hAnsi="sans-serif"/>
          <w:color w:val="000000"/>
          <w:sz w:val="20"/>
        </w:rPr>
        <w:t>Under the collaboration agreement, KKC manufactures and supplies Crysvita, which is purchased by the Company for sales in Latin America and Türkiye. KKC charges the Company a transfer price of 30% of net sales for supply of product to Latin America. The Company also pays to KKC a low single-digit royalty on net sales in Latin America.</w:t>
      </w:r>
    </w:p>
    <w:p>
      <w:pPr>
        <w:pStyle w:val="TextBody"/>
        <w:bidi w:val="0"/>
        <w:spacing w:before="270" w:after="283"/>
        <w:jc w:val="left"/>
        <w:rPr>
          <w:rFonts w:ascii="sans-serif" w:hAnsi="sans-serif"/>
          <w:i/>
          <w:color w:val="000000"/>
          <w:sz w:val="20"/>
        </w:rPr>
      </w:pPr>
      <w:r>
        <w:rPr>
          <w:rFonts w:ascii="sans-serif" w:hAnsi="sans-serif"/>
          <w:i/>
          <w:color w:val="000000"/>
          <w:sz w:val="20"/>
        </w:rPr>
        <w:t>Royalty Revenue for Sales in the North American Territory</w:t>
      </w:r>
    </w:p>
    <w:p>
      <w:pPr>
        <w:pStyle w:val="TextBody"/>
        <w:bidi w:val="0"/>
        <w:spacing w:before="90" w:after="283"/>
        <w:jc w:val="left"/>
        <w:rPr>
          <w:rFonts w:ascii="Times New Roman" w:hAnsi="Times New Roman"/>
          <w:sz w:val="20"/>
        </w:rPr>
      </w:pPr>
      <w:r>
        <w:rPr>
          <w:rFonts w:ascii="sans-serif" w:hAnsi="sans-serif"/>
          <w:color w:val="000000"/>
          <w:sz w:val="20"/>
        </w:rPr>
        <w:t>KKC has commercialization responsibilities for Crysvita in the North American Territory. The Company is entitled to receive a tiered double-digit revenue share from the mid-20% range up to a maximum rate of 30%, which is recorded as</w:t>
      </w:r>
      <w:r>
        <w:rPr>
          <w:rFonts w:ascii="Times New Roman" w:hAnsi="Times New Roman"/>
          <w:color w:val="000000"/>
          <w:sz w:val="20"/>
        </w:rPr>
        <w:t xml:space="preserve"> </w:t>
      </w:r>
      <w:r>
        <w:rPr>
          <w:rFonts w:ascii="sans-serif" w:hAnsi="sans-serif"/>
          <w:color w:val="000000"/>
          <w:sz w:val="20"/>
        </w:rPr>
        <w:t>royalty revenue as the underlying sales occur.</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In July 2022, the Company sold to OMERS its right to receive 30% of the future royalty payments beginning in April 2023, that are due to the Company based on net sales of Crysvita in the U.S. and Canada, subject to a cap. In November 2025, the Company sold to OMERS its right to an additional 25% of the future royalty payments, beginning in January 2028, that are due to the Company based on net sales of Crysvita in the U.S. and Canada, subject to a cap. These agreements are further described in “Note 8. Liabilities for Sales of Future Royalties.”</w:t>
      </w:r>
      <w:r>
        <w:rPr>
          <w:rFonts w:ascii="Times New Roman" w:hAnsi="Times New Roman"/>
          <w:color w:val="000000"/>
          <w:sz w:val="20"/>
        </w:rPr>
        <w:t xml:space="preserve"> </w:t>
      </w:r>
    </w:p>
    <w:p>
      <w:pPr>
        <w:pStyle w:val="TextBody"/>
        <w:bidi w:val="0"/>
        <w:spacing w:before="270" w:after="283"/>
        <w:jc w:val="left"/>
        <w:rPr>
          <w:rFonts w:ascii="sans-serif" w:hAnsi="sans-serif"/>
          <w:i/>
          <w:color w:val="000000"/>
          <w:sz w:val="20"/>
        </w:rPr>
      </w:pPr>
      <w:r>
        <w:rPr>
          <w:rFonts w:ascii="sans-serif" w:hAnsi="sans-serif"/>
          <w:i/>
          <w:color w:val="000000"/>
          <w:sz w:val="20"/>
        </w:rPr>
        <w:t>Royalty Revenue for Sales in the European Territory</w:t>
      </w:r>
    </w:p>
    <w:p>
      <w:pPr>
        <w:pStyle w:val="TextBody"/>
        <w:bidi w:val="0"/>
        <w:spacing w:before="90" w:after="160"/>
        <w:jc w:val="left"/>
        <w:rPr>
          <w:rFonts w:ascii="sans-serif" w:hAnsi="sans-serif"/>
          <w:color w:val="000000"/>
          <w:sz w:val="20"/>
        </w:rPr>
      </w:pPr>
      <w:r>
        <w:rPr>
          <w:rFonts w:ascii="sans-serif" w:hAnsi="sans-serif"/>
          <w:color w:val="000000"/>
          <w:sz w:val="20"/>
        </w:rPr>
        <w:t>KKC has commercial responsibility for Crysvita in the European Territory. The Company is entitled to receive royalties of up to 10% of net sales in the European Territory, which are recorded as royalty revenue as the underlying sales occur. In December 2019, the Company sold its right to receive these royalty payments to Royalty Pharma, effective January 1, 2020, as further described in “Note 8. Liabilities for Sales of Future Royalties.”</w:t>
      </w:r>
    </w:p>
    <w:p>
      <w:pPr>
        <w:pStyle w:val="TextBody"/>
        <w:bidi w:val="0"/>
        <w:spacing w:before="0" w:after="240"/>
        <w:jc w:val="left"/>
        <w:rPr>
          <w:rFonts w:ascii="sans-serif" w:hAnsi="sans-serif"/>
          <w:color w:val="000000"/>
          <w:sz w:val="20"/>
        </w:rPr>
      </w:pPr>
      <w:r>
        <w:rPr>
          <w:rFonts w:ascii="sans-serif" w:hAnsi="sans-serif"/>
          <w:color w:val="000000"/>
          <w:sz w:val="20"/>
        </w:rPr>
        <w:t>Total Crysvita revenue was as follows (in millions):</w:t>
      </w:r>
    </w:p>
    <w:p>
      <w:pPr>
        <w:pStyle w:val="TextBody"/>
        <w:bidi w:val="0"/>
        <w:jc w:val="center"/>
        <w:rPr>
          <w:rFonts w:ascii="sans-serif" w:hAnsi="sans-serif"/>
          <w:color w:val="000000"/>
          <w:sz w:val="20"/>
        </w:rPr>
      </w:pPr>
      <w:r>
        <w:rPr>
          <w:rFonts w:ascii="sans-serif" w:hAnsi="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46"/>
        <w:gridCol w:w="362"/>
        <w:gridCol w:w="748"/>
        <w:gridCol w:w="234"/>
        <w:gridCol w:w="234"/>
        <w:gridCol w:w="362"/>
        <w:gridCol w:w="748"/>
        <w:gridCol w:w="146"/>
        <w:gridCol w:w="146"/>
        <w:gridCol w:w="335"/>
        <w:gridCol w:w="691"/>
        <w:gridCol w:w="216"/>
        <w:gridCol w:w="216"/>
        <w:gridCol w:w="335"/>
        <w:gridCol w:w="691"/>
        <w:gridCol w:w="495"/>
      </w:tblGrid>
      <w:tr>
        <w:trPr/>
        <w:tc>
          <w:tcPr>
            <w:tcW w:w="42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Product sales</w:t>
            </w:r>
          </w:p>
        </w:tc>
        <w:tc>
          <w:tcPr>
            <w:tcW w:w="362"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2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49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Revenue in North American Territory:</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Royalty revenue</w:t>
            </w:r>
          </w:p>
        </w:tc>
        <w:tc>
          <w:tcPr>
            <w:tcW w:w="3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2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w:t>
            </w:r>
          </w:p>
        </w:tc>
        <w:tc>
          <w:tcPr>
            <w:tcW w:w="495"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Non-cash royalty revenue</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revenue in North American Territory</w:t>
            </w:r>
          </w:p>
        </w:tc>
        <w:tc>
          <w:tcPr>
            <w:tcW w:w="3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w:t>
            </w:r>
          </w:p>
        </w:tc>
        <w:tc>
          <w:tcPr>
            <w:tcW w:w="21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w:t>
            </w:r>
          </w:p>
        </w:tc>
        <w:tc>
          <w:tcPr>
            <w:tcW w:w="49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Non-cash royalty revenue in European Territory</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4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Total Crysvita revenue</w:t>
            </w:r>
          </w:p>
        </w:tc>
        <w:tc>
          <w:tcPr>
            <w:tcW w:w="36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w:t>
            </w:r>
          </w:p>
        </w:tc>
        <w:tc>
          <w:tcPr>
            <w:tcW w:w="23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249</w:t>
            </w:r>
          </w:p>
        </w:tc>
        <w:tc>
          <w:tcPr>
            <w:tcW w:w="21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224</w:t>
            </w:r>
          </w:p>
        </w:tc>
        <w:tc>
          <w:tcPr>
            <w:tcW w:w="49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70" w:after="283"/>
        <w:jc w:val="left"/>
        <w:rPr>
          <w:rFonts w:ascii="sans-serif" w:hAnsi="sans-serif"/>
          <w:i/>
          <w:color w:val="000000"/>
          <w:sz w:val="20"/>
        </w:rPr>
      </w:pPr>
      <w:r>
        <w:rPr>
          <w:rFonts w:ascii="sans-serif" w:hAnsi="sans-serif"/>
          <w:i/>
          <w:color w:val="000000"/>
          <w:sz w:val="20"/>
        </w:rPr>
        <w:t>Collaboration Cost Sharing and Payments</w:t>
      </w:r>
    </w:p>
    <w:p>
      <w:pPr>
        <w:pStyle w:val="TextBody"/>
        <w:bidi w:val="0"/>
        <w:spacing w:before="90" w:after="240"/>
        <w:jc w:val="left"/>
        <w:rPr>
          <w:rFonts w:ascii="sans-serif" w:hAnsi="sans-serif"/>
          <w:color w:val="000000"/>
          <w:sz w:val="20"/>
        </w:rPr>
      </w:pPr>
      <w:r>
        <w:rPr>
          <w:rFonts w:ascii="sans-serif" w:hAnsi="sans-serif"/>
          <w:color w:val="000000"/>
          <w:sz w:val="20"/>
        </w:rPr>
        <w:t>Under the collaboration agreement, KKC and the Company share certain development and commercialization costs, and as a result, the Company was reimbursed for these costs and operating expenses were reduced. KKC also receives a transfer price and royalty on net product sales revenue which is recorded in cost of sales. These amounts were recognized in the Company’s Condensed Consolidated Statements of Operations in connection with the collaboration agreement with KKC as follows (in millions):</w:t>
      </w:r>
    </w:p>
    <w:tbl>
      <w:tblPr>
        <w:tblW w:w="8685" w:type="dxa"/>
        <w:jc w:val="left"/>
        <w:tblInd w:w="0" w:type="dxa"/>
        <w:tblLayout w:type="fixed"/>
        <w:tblCellMar>
          <w:top w:w="28" w:type="dxa"/>
          <w:left w:w="28" w:type="dxa"/>
          <w:bottom w:w="28" w:type="dxa"/>
          <w:right w:w="28" w:type="dxa"/>
        </w:tblCellMar>
      </w:tblPr>
      <w:tblGrid>
        <w:gridCol w:w="2791"/>
        <w:gridCol w:w="440"/>
        <w:gridCol w:w="674"/>
        <w:gridCol w:w="352"/>
        <w:gridCol w:w="284"/>
        <w:gridCol w:w="440"/>
        <w:gridCol w:w="674"/>
        <w:gridCol w:w="181"/>
        <w:gridCol w:w="403"/>
        <w:gridCol w:w="617"/>
        <w:gridCol w:w="323"/>
        <w:gridCol w:w="260"/>
        <w:gridCol w:w="403"/>
        <w:gridCol w:w="617"/>
        <w:gridCol w:w="226"/>
      </w:tblGrid>
      <w:tr>
        <w:trPr/>
        <w:tc>
          <w:tcPr>
            <w:tcW w:w="279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w:t>
            </w:r>
          </w:p>
        </w:tc>
        <w:tc>
          <w:tcPr>
            <w:tcW w:w="44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52"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sales</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70" w:after="283"/>
        <w:jc w:val="left"/>
        <w:rPr>
          <w:rFonts w:ascii="sans-serif" w:hAnsi="sans-serif"/>
          <w:i/>
          <w:color w:val="000000"/>
          <w:sz w:val="20"/>
        </w:rPr>
      </w:pPr>
      <w:r>
        <w:rPr>
          <w:rFonts w:ascii="sans-serif" w:hAnsi="sans-serif"/>
          <w:i/>
          <w:color w:val="000000"/>
          <w:sz w:val="20"/>
        </w:rPr>
        <w:t>Collaboration Receivable and Payable</w:t>
      </w:r>
    </w:p>
    <w:p>
      <w:pPr>
        <w:pStyle w:val="TextBody"/>
        <w:bidi w:val="0"/>
        <w:spacing w:before="90" w:after="283"/>
        <w:jc w:val="left"/>
        <w:rPr>
          <w:rFonts w:ascii="Times New Roman" w:hAnsi="Times New Roman"/>
          <w:sz w:val="20"/>
        </w:rPr>
      </w:pPr>
      <w:r>
        <w:rPr>
          <w:rFonts w:ascii="sans-serif" w:hAnsi="sans-serif"/>
          <w:color w:val="000000"/>
          <w:sz w:val="20"/>
        </w:rPr>
        <w:t>The Company had accounts receivable from KKC in the amount of $94</w:t>
      </w:r>
      <w:r>
        <w:rPr>
          <w:rFonts w:ascii="Times New Roman" w:hAnsi="Times New Roman"/>
          <w:color w:val="000000"/>
          <w:sz w:val="20"/>
        </w:rPr>
        <w:t xml:space="preserve"> </w:t>
      </w:r>
      <w:r>
        <w:rPr>
          <w:rFonts w:ascii="sans-serif" w:hAnsi="sans-serif"/>
          <w:color w:val="000000"/>
          <w:sz w:val="20"/>
        </w:rPr>
        <w:t>million and $98</w:t>
      </w:r>
      <w:r>
        <w:rPr>
          <w:rFonts w:ascii="Times New Roman" w:hAnsi="Times New Roman"/>
          <w:color w:val="000000"/>
          <w:sz w:val="20"/>
        </w:rPr>
        <w:t xml:space="preserve"> </w:t>
      </w:r>
      <w:r>
        <w:rPr>
          <w:rFonts w:ascii="sans-serif" w:hAnsi="sans-serif"/>
          <w:color w:val="000000"/>
          <w:sz w:val="20"/>
        </w:rPr>
        <w:t>million from royalties, other receivables of $1</w:t>
      </w:r>
      <w:r>
        <w:rPr>
          <w:rFonts w:ascii="Times New Roman" w:hAnsi="Times New Roman"/>
          <w:color w:val="000000"/>
          <w:sz w:val="20"/>
        </w:rPr>
        <w:t xml:space="preserve"> </w:t>
      </w:r>
      <w:r>
        <w:rPr>
          <w:rFonts w:ascii="sans-serif" w:hAnsi="sans-serif"/>
          <w:color w:val="000000"/>
          <w:sz w:val="20"/>
        </w:rPr>
        <w:t>million and $1</w:t>
      </w:r>
      <w:r>
        <w:rPr>
          <w:rFonts w:ascii="Times New Roman" w:hAnsi="Times New Roman"/>
          <w:color w:val="000000"/>
          <w:sz w:val="20"/>
        </w:rPr>
        <w:t xml:space="preserve"> </w:t>
      </w:r>
      <w:r>
        <w:rPr>
          <w:rFonts w:ascii="sans-serif" w:hAnsi="sans-serif"/>
          <w:color w:val="000000"/>
          <w:sz w:val="20"/>
        </w:rPr>
        <w:t>million recorded in other current assets, and accrued liabilities of $16</w:t>
      </w:r>
      <w:r>
        <w:rPr>
          <w:rFonts w:ascii="Times New Roman" w:hAnsi="Times New Roman"/>
          <w:color w:val="000000"/>
          <w:sz w:val="20"/>
        </w:rPr>
        <w:t xml:space="preserve"> </w:t>
      </w:r>
      <w:r>
        <w:rPr>
          <w:rFonts w:ascii="sans-serif" w:hAnsi="sans-serif"/>
          <w:color w:val="000000"/>
          <w:sz w:val="20"/>
        </w:rPr>
        <w:t>million and $12</w:t>
      </w:r>
      <w:r>
        <w:rPr>
          <w:rFonts w:ascii="Times New Roman" w:hAnsi="Times New Roman"/>
          <w:color w:val="000000"/>
          <w:sz w:val="20"/>
        </w:rPr>
        <w:t xml:space="preserve"> </w:t>
      </w:r>
      <w:r>
        <w:rPr>
          <w:rFonts w:ascii="sans-serif" w:hAnsi="sans-serif"/>
          <w:color w:val="000000"/>
          <w:sz w:val="20"/>
        </w:rPr>
        <w:t>million from amounts owed for transfer price and royalties as well as commercial and development activity reimbursements, as of June 30, 2026 and December 31, 2025, respectively.</w:t>
      </w:r>
    </w:p>
    <w:p>
      <w:pPr>
        <w:pStyle w:val="TextBody"/>
        <w:bidi w:val="0"/>
        <w:spacing w:before="270" w:after="283"/>
        <w:jc w:val="left"/>
        <w:rPr>
          <w:rFonts w:ascii="sans-serif" w:hAnsi="sans-serif"/>
          <w:b/>
          <w:color w:val="000000"/>
          <w:sz w:val="20"/>
        </w:rPr>
      </w:pPr>
      <w:r>
        <w:rPr>
          <w:rFonts w:ascii="sans-serif" w:hAnsi="sans-serif"/>
          <w:b/>
          <w:color w:val="000000"/>
          <w:sz w:val="20"/>
        </w:rPr>
        <w:t>Regeneron</w:t>
      </w:r>
    </w:p>
    <w:p>
      <w:pPr>
        <w:pStyle w:val="TextBody"/>
        <w:bidi w:val="0"/>
        <w:spacing w:before="80" w:after="283"/>
        <w:jc w:val="left"/>
        <w:rPr>
          <w:rFonts w:ascii="Times New Roman" w:hAnsi="Times New Roman"/>
          <w:sz w:val="20"/>
        </w:rPr>
      </w:pPr>
      <w:r>
        <w:rPr>
          <w:rFonts w:ascii="sans-serif" w:hAnsi="sans-serif"/>
          <w:color w:val="000000"/>
          <w:sz w:val="20"/>
        </w:rPr>
        <w:t>In January 2022, the Company entered into a collaboration with Regeneron to commercialize Evkeeza for HoFH outside of the U.S. Pursuant to the terms of the agreement, the Company received the rights to develop, commercialize and distribute the product for HoFH in countries outside of the U.S. The Company paid Regeneron a $30</w:t>
      </w:r>
      <w:r>
        <w:rPr>
          <w:rFonts w:ascii="Times New Roman" w:hAnsi="Times New Roman"/>
          <w:color w:val="000000"/>
          <w:sz w:val="20"/>
        </w:rPr>
        <w:t xml:space="preserve"> </w:t>
      </w:r>
      <w:r>
        <w:rPr>
          <w:rFonts w:ascii="sans-serif" w:hAnsi="sans-serif"/>
          <w:color w:val="000000"/>
          <w:sz w:val="20"/>
        </w:rPr>
        <w:t>million upfront payment. As of June 30, 2026, the Company has recognized an aggregate of $33</w:t>
      </w:r>
      <w:r>
        <w:rPr>
          <w:rFonts w:ascii="Times New Roman" w:hAnsi="Times New Roman"/>
          <w:color w:val="000000"/>
          <w:sz w:val="20"/>
        </w:rPr>
        <w:t xml:space="preserve"> </w:t>
      </w:r>
      <w:r>
        <w:rPr>
          <w:rFonts w:ascii="sans-serif" w:hAnsi="sans-serif"/>
          <w:color w:val="000000"/>
          <w:sz w:val="20"/>
        </w:rPr>
        <w:t>million for regulatory and sales milestones under the agreement. As these payments are for the Company’s use of intellectual property for Evkeeza for HoFH, they were recorded as intangible assets.</w:t>
      </w:r>
      <w:r>
        <w:rPr>
          <w:rFonts w:ascii="Times New Roman" w:hAnsi="Times New Roman"/>
          <w:color w:val="000000"/>
          <w:sz w:val="20"/>
        </w:rPr>
        <w:t xml:space="preserve"> </w:t>
      </w:r>
      <w:r>
        <w:rPr>
          <w:rFonts w:ascii="sans-serif" w:hAnsi="sans-serif"/>
          <w:color w:val="000000"/>
          <w:sz w:val="20"/>
        </w:rPr>
        <w:t>The Company is required to pay up to an aggregate of $31</w:t>
      </w:r>
      <w:r>
        <w:rPr>
          <w:rFonts w:ascii="Times New Roman" w:hAnsi="Times New Roman"/>
          <w:color w:val="000000"/>
          <w:sz w:val="20"/>
        </w:rPr>
        <w:t xml:space="preserve"> </w:t>
      </w:r>
      <w:r>
        <w:rPr>
          <w:rFonts w:ascii="sans-serif" w:hAnsi="sans-serif"/>
          <w:color w:val="000000"/>
          <w:sz w:val="20"/>
        </w:rPr>
        <w:t>million in the future contingent upon the achievement of certain regulatory and sales milestones. The Company may share in certain costs for global trials led by Regeneron. Additionally, the Company pays Regeneron a product purchase price and royalties on certain revenues.</w:t>
      </w:r>
    </w:p>
    <w:p>
      <w:pPr>
        <w:pStyle w:val="TextBody"/>
        <w:bidi w:val="0"/>
        <w:spacing w:before="90" w:after="283"/>
        <w:jc w:val="left"/>
        <w:rPr>
          <w:rFonts w:ascii="Times New Roman" w:hAnsi="Times New Roman"/>
          <w:sz w:val="20"/>
        </w:rPr>
      </w:pPr>
      <w:r>
        <w:rPr>
          <w:rFonts w:ascii="sans-serif" w:hAnsi="sans-serif"/>
          <w:color w:val="000000"/>
          <w:sz w:val="20"/>
        </w:rPr>
        <w:t>The collaboration agreement is within the scope of ASC 808 which provides guidance on the presentation and disclosure of collaborative arrangements. As the Company is the principal in sales transactions with the customer, the Company recognizes product sales and cost of sales in the period the related sales occur and the related revenue recognition criteria are met.</w:t>
      </w:r>
      <w:r>
        <w:rPr>
          <w:rFonts w:ascii="Times New Roman" w:hAnsi="Times New Roman"/>
          <w:color w:val="000000"/>
          <w:sz w:val="20"/>
        </w:rPr>
        <w:t xml:space="preserve"> </w:t>
      </w:r>
    </w:p>
    <w:p>
      <w:pPr>
        <w:pStyle w:val="TextBody"/>
        <w:bidi w:val="0"/>
        <w:spacing w:before="90" w:after="240"/>
        <w:jc w:val="left"/>
        <w:rPr>
          <w:rFonts w:ascii="sans-serif" w:hAnsi="sans-serif"/>
          <w:color w:val="000000"/>
          <w:sz w:val="20"/>
        </w:rPr>
      </w:pPr>
      <w:r>
        <w:rPr>
          <w:rFonts w:ascii="sans-serif" w:hAnsi="sans-serif"/>
          <w:color w:val="000000"/>
          <w:sz w:val="20"/>
        </w:rPr>
        <w:t>Under the collaboration agreement, Regeneron supplies the product and charges the Company a product purchase price from the low 20% range up to 40% on net sales, which is recognized as cost of sales in the Company’s Condensed Consolidated Statement of Operations. The Company also shares certain development and commercialization costs. Amounts recognized in connection with the collaboration agreement with Regeneron were recognized in the Company’s Condensed Consolidated Statements of Operations as follows (in millions):</w:t>
      </w:r>
    </w:p>
    <w:tbl>
      <w:tblPr>
        <w:tblW w:w="7202" w:type="dxa"/>
        <w:jc w:val="left"/>
        <w:tblInd w:w="0" w:type="dxa"/>
        <w:tblLayout w:type="fixed"/>
        <w:tblCellMar>
          <w:top w:w="28" w:type="dxa"/>
          <w:left w:w="28" w:type="dxa"/>
          <w:bottom w:w="28" w:type="dxa"/>
          <w:right w:w="28" w:type="dxa"/>
        </w:tblCellMar>
      </w:tblPr>
      <w:tblGrid>
        <w:gridCol w:w="1381"/>
        <w:gridCol w:w="541"/>
        <w:gridCol w:w="541"/>
        <w:gridCol w:w="349"/>
        <w:gridCol w:w="349"/>
        <w:gridCol w:w="541"/>
        <w:gridCol w:w="541"/>
        <w:gridCol w:w="146"/>
        <w:gridCol w:w="450"/>
        <w:gridCol w:w="690"/>
        <w:gridCol w:w="291"/>
        <w:gridCol w:w="291"/>
        <w:gridCol w:w="450"/>
        <w:gridCol w:w="450"/>
        <w:gridCol w:w="191"/>
      </w:tblGrid>
      <w:tr>
        <w:trPr/>
        <w:tc>
          <w:tcPr>
            <w:tcW w:w="13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sales</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3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45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90" w:after="283"/>
        <w:jc w:val="left"/>
        <w:rPr>
          <w:rFonts w:ascii="Times New Roman" w:hAnsi="Times New Roman"/>
          <w:sz w:val="20"/>
        </w:rPr>
      </w:pPr>
      <w:r>
        <w:rPr>
          <w:rFonts w:ascii="sans-serif" w:hAnsi="sans-serif"/>
          <w:color w:val="000000"/>
          <w:sz w:val="20"/>
        </w:rPr>
        <w:t>The Company had collaboration payables for this arrangement included in accrued liabilities on the Condensed Consolidated Balance Sheets of $5</w:t>
      </w:r>
      <w:r>
        <w:rPr>
          <w:rFonts w:ascii="Times New Roman" w:hAnsi="Times New Roman"/>
          <w:color w:val="000000"/>
          <w:sz w:val="20"/>
        </w:rPr>
        <w:t xml:space="preserve"> </w:t>
      </w:r>
      <w:r>
        <w:rPr>
          <w:rFonts w:ascii="sans-serif" w:hAnsi="sans-serif"/>
          <w:color w:val="000000"/>
          <w:sz w:val="20"/>
        </w:rPr>
        <w:t>million and $9</w:t>
      </w:r>
      <w:r>
        <w:rPr>
          <w:rFonts w:ascii="Times New Roman" w:hAnsi="Times New Roman"/>
          <w:color w:val="000000"/>
          <w:sz w:val="20"/>
        </w:rPr>
        <w:t xml:space="preserve"> </w:t>
      </w:r>
      <w:r>
        <w:rPr>
          <w:rFonts w:ascii="sans-serif" w:hAnsi="sans-serif"/>
          <w:color w:val="000000"/>
          <w:sz w:val="20"/>
        </w:rPr>
        <w:t>million as of June 30, 2026 and December 31, 2025, respectively.</w:t>
      </w:r>
    </w:p>
    <w:p>
      <w:pPr>
        <w:pStyle w:val="TextBody"/>
        <w:bidi w:val="0"/>
        <w:jc w:val="center"/>
        <w:rPr>
          <w:rFonts w:ascii="sans-serif" w:hAnsi="sans-serif"/>
          <w:color w:val="000000"/>
          <w:sz w:val="20"/>
        </w:rPr>
      </w:pPr>
      <w:r>
        <w:rPr>
          <w:rFonts w:ascii="sans-serif" w:hAnsi="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sans-serif" w:hAnsi="sans-serif"/>
          <w:b/>
          <w:color w:val="000000"/>
          <w:sz w:val="20"/>
        </w:rPr>
      </w:pPr>
      <w:r>
        <w:rPr>
          <w:rFonts w:ascii="sans-serif" w:hAnsi="sans-serif"/>
          <w:b/>
          <w:color w:val="000000"/>
          <w:sz w:val="20"/>
        </w:rPr>
        <w:t>GeneTx Biotherapeutics LLC</w:t>
      </w:r>
    </w:p>
    <w:p>
      <w:pPr>
        <w:pStyle w:val="TextBody"/>
        <w:bidi w:val="0"/>
        <w:spacing w:before="90" w:after="283"/>
        <w:jc w:val="left"/>
        <w:rPr>
          <w:rFonts w:ascii="Times New Roman" w:hAnsi="Times New Roman"/>
          <w:sz w:val="20"/>
        </w:rPr>
      </w:pPr>
      <w:r>
        <w:rPr>
          <w:rFonts w:ascii="sans-serif" w:hAnsi="sans-serif"/>
          <w:color w:val="000000"/>
          <w:sz w:val="20"/>
        </w:rPr>
        <w:t>In August 2019, the Company entered into a Program Agreement and a Unitholder Option Agreement with GeneTx Biotherapeutics LLC, or GeneTx, as subsequently amended, or the Option Agreement, to collaborate on the development of GeneTx’s GTX-102, an ASO for the treatment of Angelman syndrome. In July 2022, the Company exercised its option to acquire GeneTx, pursuant to the terms of the Option Agreement. During the year ended December 31, 2024, the Company achieved a $30</w:t>
      </w:r>
      <w:r>
        <w:rPr>
          <w:rFonts w:ascii="Times New Roman" w:hAnsi="Times New Roman"/>
          <w:color w:val="000000"/>
          <w:sz w:val="20"/>
        </w:rPr>
        <w:t xml:space="preserve"> </w:t>
      </w:r>
      <w:r>
        <w:rPr>
          <w:rFonts w:ascii="sans-serif" w:hAnsi="sans-serif"/>
          <w:color w:val="000000"/>
          <w:sz w:val="20"/>
        </w:rPr>
        <w:t xml:space="preserve">million regulatory milestone upon the initiation of the Phase 3 </w:t>
      </w:r>
      <w:r>
        <w:rPr>
          <w:rFonts w:ascii="sans-serif" w:hAnsi="sans-serif"/>
          <w:i/>
          <w:color w:val="000000"/>
          <w:sz w:val="20"/>
        </w:rPr>
        <w:t>Aspire</w:t>
      </w:r>
      <w:r>
        <w:rPr>
          <w:rFonts w:ascii="Times New Roman" w:hAnsi="Times New Roman"/>
          <w:color w:val="000000"/>
          <w:sz w:val="20"/>
        </w:rPr>
        <w:t xml:space="preserve"> </w:t>
      </w:r>
      <w:r>
        <w:rPr>
          <w:rFonts w:ascii="sans-serif" w:hAnsi="sans-serif"/>
          <w:color w:val="000000"/>
          <w:sz w:val="20"/>
        </w:rPr>
        <w:t>clinical study for GTX-102. The Company is obligated to pay up to $85</w:t>
      </w:r>
      <w:r>
        <w:rPr>
          <w:rFonts w:ascii="Times New Roman" w:hAnsi="Times New Roman"/>
          <w:color w:val="000000"/>
          <w:sz w:val="20"/>
        </w:rPr>
        <w:t xml:space="preserve"> </w:t>
      </w:r>
      <w:r>
        <w:rPr>
          <w:rFonts w:ascii="sans-serif" w:hAnsi="sans-serif"/>
          <w:color w:val="000000"/>
          <w:sz w:val="20"/>
        </w:rPr>
        <w:t>million in additional regulatory approval milestones for the achievement of U.S. and EU product approvals, and up to $75</w:t>
      </w:r>
      <w:r>
        <w:rPr>
          <w:rFonts w:ascii="Times New Roman" w:hAnsi="Times New Roman"/>
          <w:color w:val="000000"/>
          <w:sz w:val="20"/>
        </w:rPr>
        <w:t xml:space="preserve"> </w:t>
      </w:r>
      <w:r>
        <w:rPr>
          <w:rFonts w:ascii="sans-serif" w:hAnsi="sans-serif"/>
          <w:color w:val="000000"/>
          <w:sz w:val="20"/>
        </w:rPr>
        <w:t>million in commercial milestone payments based on annual worldwide net product sales, contingent upon the achievement of the milestones. The Company will also pay tiered mid- to high single-digit percentage royalties based on licensed product annual net sales. If the Company receives and resells an FDA priority review voucher, or PRV, in connection with a new drug application approval, GeneTx unitholders are entitled to receive a portion of proceeds from the sale or a cash payment from the Company if the Company chooses to retain the PRV.</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As part of the Company's acquisition of GeneTx, the Company assumed a License Agreement with Texas A&amp;M University, or TAMU. The Company recognized an aggregate of $1</w:t>
      </w:r>
      <w:r>
        <w:rPr>
          <w:rFonts w:ascii="Times New Roman" w:hAnsi="Times New Roman"/>
          <w:color w:val="000000"/>
          <w:sz w:val="20"/>
        </w:rPr>
        <w:t xml:space="preserve"> </w:t>
      </w:r>
      <w:r>
        <w:rPr>
          <w:rFonts w:ascii="sans-serif" w:hAnsi="sans-serif"/>
          <w:color w:val="000000"/>
          <w:sz w:val="20"/>
        </w:rPr>
        <w:t>million for clinical milestones under the TAMU agreement, and has future obligations up to $23</w:t>
      </w:r>
      <w:r>
        <w:rPr>
          <w:rFonts w:ascii="Times New Roman" w:hAnsi="Times New Roman"/>
          <w:color w:val="000000"/>
          <w:sz w:val="20"/>
        </w:rPr>
        <w:t xml:space="preserve"> </w:t>
      </w:r>
      <w:r>
        <w:rPr>
          <w:rFonts w:ascii="sans-serif" w:hAnsi="sans-serif"/>
          <w:color w:val="000000"/>
          <w:sz w:val="20"/>
        </w:rPr>
        <w:t>million for various milestones and a nominal annual license fee that may increase up to a maximum of $2</w:t>
      </w:r>
      <w:r>
        <w:rPr>
          <w:rFonts w:ascii="Times New Roman" w:hAnsi="Times New Roman"/>
          <w:color w:val="000000"/>
          <w:sz w:val="20"/>
        </w:rPr>
        <w:t xml:space="preserve"> </w:t>
      </w:r>
      <w:r>
        <w:rPr>
          <w:rFonts w:ascii="sans-serif" w:hAnsi="sans-serif"/>
          <w:color w:val="000000"/>
          <w:sz w:val="20"/>
        </w:rPr>
        <w:t>million. The Company will also pay mid-single-digit percentage royalties based on licensed product annual net sales.</w:t>
      </w:r>
    </w:p>
    <w:p>
      <w:pPr>
        <w:pStyle w:val="TextBody"/>
        <w:bidi w:val="0"/>
        <w:spacing w:before="80" w:after="283"/>
        <w:jc w:val="left"/>
        <w:rPr>
          <w:rFonts w:ascii="Times New Roman" w:hAnsi="Times New Roman"/>
          <w:sz w:val="20"/>
        </w:rPr>
      </w:pPr>
      <w:r>
        <w:rPr>
          <w:rFonts w:ascii="sans-serif" w:hAnsi="sans-serif"/>
          <w:color w:val="000000"/>
          <w:sz w:val="20"/>
        </w:rPr>
        <w:t>Prior to the achievement of certain development and regulatory milestones, amounts paid towards the milestones are classified as in-process research and development expense, as the acquired in-process research and development intangible asset has not yet reached technological feasibility and has no alternative future use.</w:t>
      </w:r>
      <w:r>
        <w:rPr>
          <w:rFonts w:ascii="Times New Roman" w:hAnsi="Times New Roman"/>
          <w:color w:val="000000"/>
          <w:sz w:val="20"/>
        </w:rPr>
        <w:t xml:space="preserve"> </w:t>
      </w:r>
    </w:p>
    <w:p>
      <w:pPr>
        <w:pStyle w:val="TextBody"/>
        <w:bidi w:val="0"/>
        <w:spacing w:before="270" w:after="283"/>
        <w:jc w:val="left"/>
        <w:rPr>
          <w:rFonts w:ascii="sans-serif" w:hAnsi="sans-serif"/>
          <w:b/>
          <w:color w:val="000000"/>
          <w:sz w:val="20"/>
        </w:rPr>
      </w:pPr>
      <w:r>
        <w:rPr>
          <w:rFonts w:ascii="sans-serif" w:hAnsi="sans-serif"/>
          <w:b/>
          <w:color w:val="000000"/>
          <w:sz w:val="20"/>
        </w:rPr>
        <w:t>Mereo</w:t>
      </w:r>
    </w:p>
    <w:p>
      <w:pPr>
        <w:pStyle w:val="TextBody"/>
        <w:bidi w:val="0"/>
        <w:spacing w:before="90" w:after="283"/>
        <w:jc w:val="left"/>
        <w:rPr>
          <w:rFonts w:ascii="Times New Roman" w:hAnsi="Times New Roman"/>
          <w:sz w:val="20"/>
        </w:rPr>
      </w:pPr>
      <w:r>
        <w:rPr>
          <w:rFonts w:ascii="sans-serif" w:hAnsi="sans-serif"/>
          <w:color w:val="000000"/>
          <w:sz w:val="20"/>
        </w:rPr>
        <w:t>In December 2020, the Company entered into a License and Collaboration Agreement with Mereo to collaborate on the development of setrusumab and made a payment of $50</w:t>
      </w:r>
      <w:r>
        <w:rPr>
          <w:rFonts w:ascii="Times New Roman" w:hAnsi="Times New Roman"/>
          <w:color w:val="000000"/>
          <w:sz w:val="20"/>
        </w:rPr>
        <w:t xml:space="preserve"> </w:t>
      </w:r>
      <w:r>
        <w:rPr>
          <w:rFonts w:ascii="sans-serif" w:hAnsi="sans-serif"/>
          <w:color w:val="000000"/>
          <w:sz w:val="20"/>
        </w:rPr>
        <w:t>million to Mereo on closing of the transaction. As of June 30, 2026, the Company has recognized an aggregate of $9</w:t>
      </w:r>
      <w:r>
        <w:rPr>
          <w:rFonts w:ascii="Times New Roman" w:hAnsi="Times New Roman"/>
          <w:color w:val="000000"/>
          <w:sz w:val="20"/>
        </w:rPr>
        <w:t xml:space="preserve"> </w:t>
      </w:r>
      <w:r>
        <w:rPr>
          <w:rFonts w:ascii="sans-serif" w:hAnsi="sans-serif"/>
          <w:color w:val="000000"/>
          <w:sz w:val="20"/>
        </w:rPr>
        <w:t>million for regulatory milestones achieved.</w:t>
      </w:r>
    </w:p>
    <w:p>
      <w:pPr>
        <w:pStyle w:val="TextBody"/>
        <w:bidi w:val="0"/>
        <w:spacing w:before="90" w:after="283"/>
        <w:jc w:val="left"/>
        <w:rPr>
          <w:rFonts w:ascii="sans-serif" w:hAnsi="sans-serif"/>
          <w:color w:val="000000"/>
          <w:sz w:val="20"/>
        </w:rPr>
      </w:pPr>
      <w:r>
        <w:rPr>
          <w:rFonts w:ascii="sans-serif" w:hAnsi="sans-serif"/>
          <w:color w:val="000000"/>
          <w:sz w:val="20"/>
        </w:rPr>
        <w:t>In December 2024, the Company entered into a manufacturing and supply agreement with Mereo where it is responsible for the supply of setrusumab to Mereo in the Mereo territory. Mereo is responsible for reimbursing us for a portion of the manufacturing process development costs as well as future commercial supply costs.</w:t>
      </w:r>
    </w:p>
    <w:p>
      <w:pPr>
        <w:pStyle w:val="TextBody"/>
        <w:bidi w:val="0"/>
        <w:spacing w:before="90" w:after="283"/>
        <w:jc w:val="left"/>
        <w:rPr>
          <w:rFonts w:ascii="sans-serif" w:hAnsi="sans-serif"/>
          <w:color w:val="000000"/>
          <w:sz w:val="20"/>
        </w:rPr>
      </w:pPr>
      <w:r>
        <w:rPr>
          <w:rFonts w:ascii="sans-serif" w:hAnsi="sans-serif"/>
          <w:color w:val="000000"/>
          <w:sz w:val="20"/>
        </w:rPr>
        <w:t>Although Mereo is a VIE, the Company is not the primary beneficiary as it does not have the power to direct the activities that would most significantly impact the economic performance of Mereo. Prior to the achievement of certain development milestones, all consideration paid to Mereo represents rights to potential future benefits associated with Mereo’s in-process research and development activities, which have not reached technological feasibility and have no alternative future use.</w:t>
      </w:r>
    </w:p>
    <w:p>
      <w:pPr>
        <w:pStyle w:val="TextBody"/>
        <w:bidi w:val="0"/>
        <w:spacing w:before="90" w:after="283"/>
        <w:jc w:val="left"/>
        <w:rPr>
          <w:rFonts w:ascii="Times New Roman" w:hAnsi="Times New Roman"/>
          <w:sz w:val="20"/>
        </w:rPr>
      </w:pPr>
      <w:r>
        <w:rPr>
          <w:rFonts w:ascii="sans-serif" w:hAnsi="sans-serif"/>
          <w:color w:val="000000"/>
          <w:sz w:val="20"/>
        </w:rPr>
        <w:t>The Company recorded offsets to research and development expense under this arrangement of a nominal amount and $2</w:t>
      </w:r>
      <w:r>
        <w:rPr>
          <w:rFonts w:ascii="Times New Roman" w:hAnsi="Times New Roman"/>
          <w:color w:val="000000"/>
          <w:sz w:val="20"/>
        </w:rPr>
        <w:t xml:space="preserve"> </w:t>
      </w:r>
      <w:r>
        <w:rPr>
          <w:rFonts w:ascii="sans-serif" w:hAnsi="sans-serif"/>
          <w:color w:val="000000"/>
          <w:sz w:val="20"/>
        </w:rPr>
        <w:t>million for the three and six months ended June 30, 2026, respectively, and $2</w:t>
      </w:r>
      <w:r>
        <w:rPr>
          <w:rFonts w:ascii="Times New Roman" w:hAnsi="Times New Roman"/>
          <w:color w:val="000000"/>
          <w:sz w:val="20"/>
        </w:rPr>
        <w:t xml:space="preserve"> </w:t>
      </w:r>
      <w:r>
        <w:rPr>
          <w:rFonts w:ascii="sans-serif" w:hAnsi="sans-serif"/>
          <w:color w:val="000000"/>
          <w:sz w:val="20"/>
        </w:rPr>
        <w:t>million and $2</w:t>
      </w:r>
      <w:r>
        <w:rPr>
          <w:rFonts w:ascii="Times New Roman" w:hAnsi="Times New Roman"/>
          <w:color w:val="000000"/>
          <w:sz w:val="20"/>
        </w:rPr>
        <w:t xml:space="preserve"> </w:t>
      </w:r>
      <w:r>
        <w:rPr>
          <w:rFonts w:ascii="sans-serif" w:hAnsi="sans-serif"/>
          <w:color w:val="000000"/>
          <w:sz w:val="20"/>
        </w:rPr>
        <w:t>million for the three and six months ended June 30, 2025, respectively.</w:t>
      </w:r>
    </w:p>
    <w:p>
      <w:pPr>
        <w:pStyle w:val="TextBody"/>
        <w:bidi w:val="0"/>
        <w:spacing w:before="90" w:after="283"/>
        <w:jc w:val="left"/>
        <w:rPr>
          <w:rFonts w:ascii="Times New Roman" w:hAnsi="Times New Roman"/>
          <w:sz w:val="20"/>
        </w:rPr>
      </w:pPr>
      <w:r>
        <w:rPr>
          <w:rFonts w:ascii="sans-serif" w:hAnsi="sans-serif"/>
          <w:color w:val="000000"/>
          <w:sz w:val="20"/>
        </w:rPr>
        <w:t>The Company had receivables from Mereo in a nominal amount and $1</w:t>
      </w:r>
      <w:r>
        <w:rPr>
          <w:rFonts w:ascii="Times New Roman" w:hAnsi="Times New Roman"/>
          <w:color w:val="000000"/>
          <w:sz w:val="20"/>
        </w:rPr>
        <w:t xml:space="preserve"> </w:t>
      </w:r>
      <w:r>
        <w:rPr>
          <w:rFonts w:ascii="sans-serif" w:hAnsi="sans-serif"/>
          <w:color w:val="000000"/>
          <w:sz w:val="20"/>
        </w:rPr>
        <w:t>million recorded in other current assets as of June 30, 2026 and December 31, 2025, respectively.</w:t>
      </w:r>
    </w:p>
    <w:p>
      <w:pPr>
        <w:pStyle w:val="TextBody"/>
        <w:bidi w:val="0"/>
        <w:spacing w:before="270" w:after="283"/>
        <w:jc w:val="left"/>
        <w:rPr>
          <w:rFonts w:ascii="sans-serif" w:hAnsi="sans-serif"/>
          <w:b/>
          <w:color w:val="000000"/>
          <w:sz w:val="20"/>
        </w:rPr>
      </w:pPr>
      <w:r>
        <w:rPr>
          <w:rFonts w:ascii="sans-serif" w:hAnsi="sans-serif"/>
          <w:b/>
          <w:color w:val="000000"/>
          <w:sz w:val="20"/>
        </w:rPr>
        <w:t>Other Arrangements</w:t>
      </w:r>
    </w:p>
    <w:p>
      <w:pPr>
        <w:pStyle w:val="TextBody"/>
        <w:bidi w:val="0"/>
        <w:spacing w:before="90" w:after="283"/>
        <w:jc w:val="left"/>
        <w:rPr>
          <w:rFonts w:ascii="Times New Roman" w:hAnsi="Times New Roman"/>
          <w:sz w:val="20"/>
        </w:rPr>
      </w:pPr>
      <w:r>
        <w:rPr>
          <w:rFonts w:ascii="sans-serif" w:hAnsi="sans-serif"/>
          <w:color w:val="000000"/>
          <w:sz w:val="20"/>
        </w:rPr>
        <w:t>The Company has also entered into several collaborations and/or licensing arrangements in prior periods. Except as disclosed above, there have been no material changes in these arrangements during the three and six months ended June 30, 2026 as compared to those disclosed in "Note 8. License and Research Agreements" to the Consolidated Financial Statements in the Annual Report.</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Under the financial terms of these arrangements, the Company may be required to make payments upon achievement of developmental, regulatory, and commercial milestones, which could be significant. Future milestone payments, if any, will be reflected in the financial statements upon the occurrence of the contingent event. In addition, the Company may be required to pay royalties on future sales if products related to these arrangements are commercialized. The payment of these amounts, however, is contingent upon the occurrence of various future events, which have a high degree of uncertainty.</w:t>
      </w:r>
    </w:p>
    <w:p>
      <w:pPr>
        <w:pStyle w:val="TextBody"/>
        <w:bidi w:val="0"/>
        <w:jc w:val="left"/>
        <w:rPr/>
      </w:pPr>
      <w:r>
        <w:rPr/>
        <w:t> </w:t>
      </w:r>
    </w:p>
    <w:p>
      <w:pPr>
        <w:pStyle w:val="TextBody"/>
        <w:bidi w:val="0"/>
        <w:spacing w:before="270" w:after="283"/>
        <w:jc w:val="left"/>
        <w:rPr>
          <w:rFonts w:ascii="sans-serif" w:hAnsi="sans-serif"/>
          <w:b/>
          <w:color w:val="000000"/>
          <w:sz w:val="20"/>
        </w:rPr>
      </w:pPr>
      <w:r>
        <w:rPr>
          <w:rFonts w:ascii="sans-serif" w:hAnsi="sans-serif"/>
          <w:b/>
          <w:color w:val="000000"/>
          <w:sz w:val="20"/>
        </w:rPr>
        <w:t>8. Liabilities for Sales of Future Royalties</w:t>
      </w:r>
    </w:p>
    <w:p>
      <w:pPr>
        <w:pStyle w:val="TextBody"/>
        <w:bidi w:val="0"/>
        <w:spacing w:before="90" w:after="283"/>
        <w:jc w:val="left"/>
        <w:rPr>
          <w:rFonts w:ascii="Times New Roman" w:hAnsi="Times New Roman"/>
          <w:sz w:val="20"/>
        </w:rPr>
      </w:pPr>
      <w:r>
        <w:rPr>
          <w:rFonts w:ascii="sans-serif" w:hAnsi="sans-serif"/>
          <w:color w:val="000000"/>
          <w:sz w:val="20"/>
        </w:rPr>
        <w:t>The Company has entered into certain royalty purchase agreements pursuant to which it sold interests in certain future royalty payments arising from net sales of Crysvita in specified territories upon payment of the specified consideration. The</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agreements will automatically terminate and the payments or royalties will cease once the aggregate payments as specified in the agreement, or the CAP, are reached.</w:t>
      </w:r>
    </w:p>
    <w:p>
      <w:pPr>
        <w:pStyle w:val="TextBody"/>
        <w:bidi w:val="0"/>
        <w:spacing w:before="90" w:after="240"/>
        <w:jc w:val="left"/>
        <w:rPr>
          <w:rFonts w:ascii="sans-serif" w:hAnsi="sans-serif"/>
          <w:color w:val="000000"/>
          <w:sz w:val="20"/>
        </w:rPr>
      </w:pPr>
      <w:r>
        <w:rPr>
          <w:rFonts w:ascii="sans-serif" w:hAnsi="sans-serif"/>
          <w:color w:val="000000"/>
          <w:sz w:val="20"/>
        </w:rPr>
        <w:t>The following table summarizes the key terms and activity to date for these arrangements (in millions except percentages):</w:t>
      </w:r>
    </w:p>
    <w:tbl>
      <w:tblPr>
        <w:tblW w:w="10205" w:type="dxa"/>
        <w:jc w:val="left"/>
        <w:tblInd w:w="0" w:type="dxa"/>
        <w:tblLayout w:type="fixed"/>
        <w:tblCellMar>
          <w:top w:w="28" w:type="dxa"/>
          <w:left w:w="28" w:type="dxa"/>
          <w:bottom w:w="28" w:type="dxa"/>
          <w:right w:w="28" w:type="dxa"/>
        </w:tblCellMar>
      </w:tblPr>
      <w:tblGrid>
        <w:gridCol w:w="3046"/>
        <w:gridCol w:w="1697"/>
        <w:gridCol w:w="1689"/>
        <w:gridCol w:w="3773"/>
      </w:tblGrid>
      <w:tr>
        <w:trPr/>
        <w:tc>
          <w:tcPr>
            <w:tcW w:w="304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3773" w:type="dxa"/>
            <w:tcBorders/>
            <w:vAlign w:val="center"/>
          </w:tcPr>
          <w:p>
            <w:pPr>
              <w:pStyle w:val="TableContents"/>
              <w:bidi w:val="0"/>
              <w:spacing w:before="0" w:after="283"/>
              <w:jc w:val="left"/>
              <w:rPr>
                <w:sz w:val="4"/>
                <w:szCs w:val="4"/>
              </w:rPr>
            </w:pPr>
            <w:r>
              <w:rPr>
                <w:sz w:val="4"/>
                <w:szCs w:val="4"/>
              </w:rPr>
            </w:r>
          </w:p>
        </w:tc>
      </w:tr>
      <w:tr>
        <w:trPr/>
        <w:tc>
          <w:tcPr>
            <w:tcW w:w="30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Item</w:t>
            </w:r>
          </w:p>
        </w:tc>
        <w:tc>
          <w:tcPr>
            <w:tcW w:w="16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 OMERS Agreement</w:t>
            </w:r>
          </w:p>
        </w:tc>
        <w:tc>
          <w:tcPr>
            <w:tcW w:w="16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2022 OMERS Agreement</w:t>
            </w:r>
          </w:p>
        </w:tc>
        <w:tc>
          <w:tcPr>
            <w:tcW w:w="377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2019 RPI Agreement</w:t>
            </w:r>
          </w:p>
        </w:tc>
      </w:tr>
      <w:tr>
        <w:trPr/>
        <w:tc>
          <w:tcPr>
            <w:tcW w:w="304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Agreement counterparty</w:t>
            </w:r>
          </w:p>
        </w:tc>
        <w:tc>
          <w:tcPr>
            <w:tcW w:w="1697"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OMERS</w:t>
            </w:r>
          </w:p>
        </w:tc>
        <w:tc>
          <w:tcPr>
            <w:tcW w:w="1689"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OMERS</w:t>
            </w:r>
          </w:p>
        </w:tc>
        <w:tc>
          <w:tcPr>
            <w:tcW w:w="3773"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RPI</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Contract execution date</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November 2025</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July 2022</w:t>
            </w:r>
          </w:p>
        </w:tc>
        <w:tc>
          <w:tcPr>
            <w:tcW w:w="377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December 2019</w:t>
            </w:r>
          </w:p>
        </w:tc>
      </w:tr>
      <w:tr>
        <w:trPr/>
        <w:tc>
          <w:tcPr>
            <w:tcW w:w="304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Upfront payment to Company</w:t>
            </w:r>
          </w:p>
        </w:tc>
        <w:tc>
          <w:tcPr>
            <w:tcW w:w="1697"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$400</w:t>
            </w:r>
          </w:p>
        </w:tc>
        <w:tc>
          <w:tcPr>
            <w:tcW w:w="1689"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$500</w:t>
            </w:r>
          </w:p>
        </w:tc>
        <w:tc>
          <w:tcPr>
            <w:tcW w:w="3773"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$320</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Transaction costs</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$9</w:t>
            </w:r>
          </w:p>
        </w:tc>
        <w:tc>
          <w:tcPr>
            <w:tcW w:w="377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w:t>
            </w:r>
          </w:p>
        </w:tc>
      </w:tr>
      <w:tr>
        <w:trPr/>
        <w:tc>
          <w:tcPr>
            <w:tcW w:w="304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Territories</w:t>
            </w:r>
          </w:p>
        </w:tc>
        <w:tc>
          <w:tcPr>
            <w:tcW w:w="1697"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U.S. and Canada</w:t>
            </w:r>
          </w:p>
        </w:tc>
        <w:tc>
          <w:tcPr>
            <w:tcW w:w="1689"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U.S. and Canada</w:t>
            </w:r>
          </w:p>
        </w:tc>
        <w:tc>
          <w:tcPr>
            <w:tcW w:w="3773"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EU, U.K., and Switzerland</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Percentage of royalties sold</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25%*</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30%</w:t>
            </w:r>
          </w:p>
        </w:tc>
        <w:tc>
          <w:tcPr>
            <w:tcW w:w="377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100%</w:t>
            </w:r>
          </w:p>
        </w:tc>
      </w:tr>
      <w:tr>
        <w:trPr/>
        <w:tc>
          <w:tcPr>
            <w:tcW w:w="304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Royalty start date</w:t>
            </w:r>
          </w:p>
        </w:tc>
        <w:tc>
          <w:tcPr>
            <w:tcW w:w="1697"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January 1, 2028</w:t>
            </w:r>
          </w:p>
        </w:tc>
        <w:tc>
          <w:tcPr>
            <w:tcW w:w="1689"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April 1, 2023</w:t>
            </w:r>
          </w:p>
        </w:tc>
        <w:tc>
          <w:tcPr>
            <w:tcW w:w="3773"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January 1, 2020</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CAP</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$620</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$725</w:t>
            </w:r>
          </w:p>
        </w:tc>
        <w:tc>
          <w:tcPr>
            <w:tcW w:w="37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color w:val="000000"/>
                <w:sz w:val="20"/>
              </w:rPr>
              <w:t>$608</w:t>
            </w:r>
            <w:r>
              <w:rPr>
                <w:rFonts w:ascii="Times New Roman" w:hAnsi="Times New Roman"/>
                <w:color w:val="000000"/>
                <w:sz w:val="20"/>
              </w:rPr>
              <w:t> </w:t>
            </w:r>
            <w:r>
              <w:rPr>
                <w:rFonts w:ascii="sans-serif" w:hAnsi="sans-serif"/>
                <w:color w:val="000000"/>
                <w:sz w:val="20"/>
              </w:rPr>
              <w:t>prior to Dec 31, 2030 or until aggregate payments reach $800</w:t>
            </w:r>
          </w:p>
        </w:tc>
      </w:tr>
      <w:tr>
        <w:trPr/>
        <w:tc>
          <w:tcPr>
            <w:tcW w:w="304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Royalties earned from inception to June 30, 2026</w:t>
            </w:r>
          </w:p>
        </w:tc>
        <w:tc>
          <w:tcPr>
            <w:tcW w:w="1697" w:type="dxa"/>
            <w:tcBorders/>
            <w:shd w:fill="CCEC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color w:val="000000"/>
                <w:sz w:val="20"/>
              </w:rPr>
              <w:t>$</w:t>
            </w:r>
            <w:r>
              <w:rPr>
                <w:rFonts w:ascii="Times New Roman" w:hAnsi="Times New Roman"/>
                <w:color w:val="000000"/>
                <w:sz w:val="20"/>
              </w:rPr>
              <w:t>—</w:t>
            </w:r>
          </w:p>
        </w:tc>
        <w:tc>
          <w:tcPr>
            <w:tcW w:w="1689"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$246</w:t>
            </w:r>
          </w:p>
        </w:tc>
        <w:tc>
          <w:tcPr>
            <w:tcW w:w="3773"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$144</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Effective annual interest rate (as of June 30, 2026)</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9.2%</w:t>
            </w:r>
          </w:p>
        </w:tc>
        <w:tc>
          <w:tcPr>
            <w:tcW w:w="1689"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7.3%</w:t>
            </w:r>
          </w:p>
        </w:tc>
        <w:tc>
          <w:tcPr>
            <w:tcW w:w="377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5.5%</w:t>
            </w:r>
          </w:p>
        </w:tc>
      </w:tr>
      <w:tr>
        <w:trPr/>
        <w:tc>
          <w:tcPr>
            <w:tcW w:w="10205" w:type="dxa"/>
            <w:gridSpan w:val="4"/>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6"/>
              </w:rPr>
              <w:t>* In addition, OMERS will continue to receive 30% of Crysvita net sales in the U.S. and Canada following the achievement of $725</w:t>
            </w:r>
            <w:r>
              <w:rPr>
                <w:rFonts w:ascii="Times New Roman" w:hAnsi="Times New Roman"/>
                <w:color w:val="000000"/>
                <w:sz w:val="20"/>
              </w:rPr>
              <w:t> </w:t>
            </w:r>
            <w:r>
              <w:rPr>
                <w:rFonts w:ascii="sans-serif" w:hAnsi="sans-serif"/>
                <w:color w:val="000000"/>
                <w:sz w:val="16"/>
              </w:rPr>
              <w:t>million in aggregate payments under the 2022 OMERS Agreement.</w:t>
            </w:r>
          </w:p>
        </w:tc>
      </w:tr>
    </w:tbl>
    <w:p>
      <w:pPr>
        <w:pStyle w:val="TextBody"/>
        <w:bidi w:val="0"/>
        <w:spacing w:before="90" w:after="283"/>
        <w:jc w:val="left"/>
        <w:rPr>
          <w:rFonts w:ascii="Times New Roman" w:hAnsi="Times New Roman"/>
          <w:sz w:val="20"/>
        </w:rPr>
      </w:pPr>
      <w:r>
        <w:rPr>
          <w:rFonts w:ascii="sans-serif" w:hAnsi="sans-serif"/>
          <w:color w:val="000000"/>
          <w:sz w:val="20"/>
        </w:rPr>
        <w:t>Under the 2025 OMERS agreement, OMERS granted the Company an option to repurchase the entire purchased interest, that expires in November 2027, for 1.35 times the purchase price, or $540 million.</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Proceeds from these transactions, net of transaction costs, were recorded as liabilities for sales of future royalties on the Consolidated Balance Sheets. The Company records the royalty revenue arising from the net sales of Crysvita in the applicable territories as royalty revenue in the Consolidated Statements of Operations over the term of the arrangements.</w:t>
      </w:r>
    </w:p>
    <w:p>
      <w:pPr>
        <w:pStyle w:val="TextBody"/>
        <w:bidi w:val="0"/>
        <w:spacing w:before="90" w:after="283"/>
        <w:jc w:val="left"/>
        <w:rPr>
          <w:rFonts w:ascii="sans-serif" w:hAnsi="sans-serif"/>
          <w:color w:val="000000"/>
          <w:sz w:val="20"/>
        </w:rPr>
      </w:pPr>
      <w:r>
        <w:rPr>
          <w:rFonts w:ascii="sans-serif" w:hAnsi="sans-serif"/>
          <w:color w:val="000000"/>
          <w:sz w:val="20"/>
        </w:rPr>
        <w:t>There are a number of factors that could materially affect the amount and timing of royalty payments from KKC in the applicable territories, most of which are not within the Company’s control. Such factors include, but are not limited to, the success of KKC’s sales and promotion of Crysvita, changing standards of care, macroeconomic and inflationary pressures, the introduction of competing products, pricing for reimbursement in various territories, manufacturing or other delays, intellectual property matters, adverse events that result in governmental health authority imposed restrictions on the use of Crysvita, significant changes in foreign exchange rates as the royalty payments are made in U.S. dollars, or USD, while significant portions of the underlying sales of Crysvita are made in currencies other than USD, and other events or circumstances that could result in reduced royalty payments from sales of Crysvita, all of which would result in a reduction of royalty revenue and the non-cash interest expense over the life of the arrangement. Conversely, if sales of Crysvita in the relevant territories are more than expected, the royalty revenue and the non-cash interest expense recorded by the Company would be greater over the term of the arrangements.</w:t>
      </w:r>
    </w:p>
    <w:p>
      <w:pPr>
        <w:pStyle w:val="TextBody"/>
        <w:bidi w:val="0"/>
        <w:spacing w:before="90" w:after="240"/>
        <w:jc w:val="left"/>
        <w:rPr>
          <w:rFonts w:ascii="Times New Roman" w:hAnsi="Times New Roman"/>
          <w:sz w:val="20"/>
        </w:rPr>
      </w:pPr>
      <w:r>
        <w:rPr>
          <w:rFonts w:ascii="sans-serif" w:hAnsi="sans-serif"/>
          <w:color w:val="000000"/>
          <w:sz w:val="20"/>
        </w:rPr>
        <w:t>The following table shows the activity within the liability account (in millions):</w:t>
      </w:r>
      <w:r>
        <w:rPr>
          <w:rFonts w:ascii="Times New Roman" w:hAnsi="Times New Roman"/>
          <w:color w:val="000000"/>
          <w:sz w:val="20"/>
        </w:rPr>
        <w:t xml:space="preserve"> </w:t>
      </w:r>
    </w:p>
    <w:tbl>
      <w:tblPr>
        <w:tblW w:w="9593" w:type="dxa"/>
        <w:jc w:val="left"/>
        <w:tblInd w:w="0" w:type="dxa"/>
        <w:tblLayout w:type="fixed"/>
        <w:tblCellMar>
          <w:top w:w="28" w:type="dxa"/>
          <w:left w:w="28" w:type="dxa"/>
          <w:bottom w:w="28" w:type="dxa"/>
          <w:right w:w="28" w:type="dxa"/>
        </w:tblCellMar>
      </w:tblPr>
      <w:tblGrid>
        <w:gridCol w:w="4216"/>
        <w:gridCol w:w="426"/>
        <w:gridCol w:w="879"/>
        <w:gridCol w:w="158"/>
        <w:gridCol w:w="426"/>
        <w:gridCol w:w="879"/>
        <w:gridCol w:w="196"/>
        <w:gridCol w:w="309"/>
        <w:gridCol w:w="636"/>
        <w:gridCol w:w="196"/>
        <w:gridCol w:w="245"/>
        <w:gridCol w:w="701"/>
        <w:gridCol w:w="326"/>
      </w:tblGrid>
      <w:tr>
        <w:trPr/>
        <w:tc>
          <w:tcPr>
            <w:tcW w:w="421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Liabilities for Sales of Future Royalties</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OMERS 2025</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OMERS 2022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RPI 2019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December 31, 2024</w:t>
            </w:r>
          </w:p>
        </w:tc>
        <w:tc>
          <w:tcPr>
            <w:tcW w:w="4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79"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79"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495</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375</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870</w:t>
            </w:r>
          </w:p>
        </w:tc>
        <w:tc>
          <w:tcPr>
            <w:tcW w:w="3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proceeds from sale of future royalties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392</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Royalty revenue</w:t>
            </w:r>
          </w:p>
        </w:tc>
        <w:tc>
          <w:tcPr>
            <w:tcW w:w="4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0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w:t>
            </w:r>
          </w:p>
        </w:tc>
        <w:tc>
          <w:tcPr>
            <w:tcW w:w="32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Non-cash interest expense</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December 31, 2025</w:t>
            </w:r>
          </w:p>
        </w:tc>
        <w:tc>
          <w:tcPr>
            <w:tcW w:w="4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398</w:t>
            </w:r>
          </w:p>
        </w:tc>
        <w:tc>
          <w:tcPr>
            <w:tcW w:w="1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452</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366</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1,216</w:t>
            </w:r>
          </w:p>
        </w:tc>
        <w:tc>
          <w:tcPr>
            <w:tcW w:w="32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Royalty revenue</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42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Non-cash interest expense</w:t>
            </w:r>
          </w:p>
        </w:tc>
        <w:tc>
          <w:tcPr>
            <w:tcW w:w="4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5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3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June 30, 2026</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416</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1,202</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70" w:after="283"/>
        <w:jc w:val="left"/>
        <w:rPr>
          <w:rFonts w:ascii="sans-serif" w:hAnsi="sans-serif"/>
          <w:b/>
          <w:color w:val="000000"/>
          <w:sz w:val="20"/>
        </w:rPr>
      </w:pPr>
      <w:r>
        <w:rPr>
          <w:rFonts w:ascii="sans-serif" w:hAnsi="sans-serif"/>
          <w:b/>
          <w:color w:val="000000"/>
          <w:sz w:val="20"/>
        </w:rPr>
        <w:t>9. Stock-Based Awards</w:t>
      </w:r>
    </w:p>
    <w:p>
      <w:pPr>
        <w:pStyle w:val="TextBody"/>
        <w:bidi w:val="0"/>
        <w:spacing w:before="90" w:after="283"/>
        <w:jc w:val="left"/>
        <w:rPr>
          <w:rFonts w:ascii="Times New Roman" w:hAnsi="Times New Roman"/>
          <w:sz w:val="20"/>
        </w:rPr>
      </w:pPr>
      <w:r>
        <w:rPr>
          <w:rFonts w:ascii="sans-serif" w:hAnsi="sans-serif"/>
          <w:color w:val="000000"/>
          <w:sz w:val="20"/>
        </w:rPr>
        <w:t>As of June 30, 2026, there were 6.5</w:t>
      </w:r>
      <w:r>
        <w:rPr>
          <w:rFonts w:ascii="Times New Roman" w:hAnsi="Times New Roman"/>
          <w:color w:val="000000"/>
          <w:sz w:val="20"/>
        </w:rPr>
        <w:t xml:space="preserve"> </w:t>
      </w:r>
      <w:r>
        <w:rPr>
          <w:rFonts w:ascii="sans-serif" w:hAnsi="sans-serif"/>
          <w:color w:val="000000"/>
          <w:sz w:val="20"/>
        </w:rPr>
        <w:t>million shares available under the 2023 Incentive Plan, 6.1</w:t>
      </w:r>
      <w:r>
        <w:rPr>
          <w:rFonts w:ascii="Times New Roman" w:hAnsi="Times New Roman"/>
          <w:color w:val="000000"/>
          <w:sz w:val="20"/>
        </w:rPr>
        <w:t xml:space="preserve"> </w:t>
      </w:r>
      <w:r>
        <w:rPr>
          <w:rFonts w:ascii="sans-serif" w:hAnsi="sans-serif"/>
          <w:color w:val="000000"/>
          <w:sz w:val="20"/>
        </w:rPr>
        <w:t>million shares available under the Amended &amp; Restated 2014 Employee Stock Purchase Plan, and 0.6</w:t>
      </w:r>
      <w:r>
        <w:rPr>
          <w:rFonts w:ascii="Times New Roman" w:hAnsi="Times New Roman"/>
          <w:color w:val="000000"/>
          <w:sz w:val="20"/>
        </w:rPr>
        <w:t xml:space="preserve"> </w:t>
      </w:r>
      <w:r>
        <w:rPr>
          <w:rFonts w:ascii="sans-serif" w:hAnsi="sans-serif"/>
          <w:color w:val="000000"/>
          <w:sz w:val="20"/>
        </w:rPr>
        <w:t>million shares available under the Employment Inducement Plan for the future issuance of equity awards.</w:t>
      </w:r>
    </w:p>
    <w:p>
      <w:pPr>
        <w:pStyle w:val="TextBody"/>
        <w:bidi w:val="0"/>
        <w:spacing w:before="90" w:after="240"/>
        <w:jc w:val="left"/>
        <w:rPr>
          <w:rFonts w:ascii="sans-serif" w:hAnsi="sans-serif"/>
          <w:color w:val="000000"/>
          <w:sz w:val="20"/>
        </w:rPr>
      </w:pPr>
      <w:r>
        <w:rPr>
          <w:rFonts w:ascii="sans-serif" w:hAnsi="sans-serif"/>
          <w:color w:val="000000"/>
          <w:sz w:val="20"/>
        </w:rPr>
        <w:t>The table below sets forth the stock-based compensation expense for the periods presented (in millions):</w:t>
      </w:r>
    </w:p>
    <w:tbl>
      <w:tblPr>
        <w:tblW w:w="8879" w:type="dxa"/>
        <w:jc w:val="left"/>
        <w:tblInd w:w="0" w:type="dxa"/>
        <w:tblLayout w:type="fixed"/>
        <w:tblCellMar>
          <w:top w:w="28" w:type="dxa"/>
          <w:left w:w="28" w:type="dxa"/>
          <w:bottom w:w="28" w:type="dxa"/>
          <w:right w:w="28" w:type="dxa"/>
        </w:tblCellMar>
      </w:tblPr>
      <w:tblGrid>
        <w:gridCol w:w="4386"/>
        <w:gridCol w:w="330"/>
        <w:gridCol w:w="506"/>
        <w:gridCol w:w="213"/>
        <w:gridCol w:w="213"/>
        <w:gridCol w:w="330"/>
        <w:gridCol w:w="506"/>
        <w:gridCol w:w="146"/>
        <w:gridCol w:w="292"/>
        <w:gridCol w:w="448"/>
        <w:gridCol w:w="189"/>
        <w:gridCol w:w="189"/>
        <w:gridCol w:w="292"/>
        <w:gridCol w:w="448"/>
        <w:gridCol w:w="391"/>
      </w:tblGrid>
      <w:tr>
        <w:trPr/>
        <w:tc>
          <w:tcPr>
            <w:tcW w:w="438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sales</w:t>
            </w:r>
          </w:p>
        </w:tc>
        <w:tc>
          <w:tcPr>
            <w:tcW w:w="33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general and administrative</w:t>
            </w:r>
          </w:p>
        </w:tc>
        <w:tc>
          <w:tcPr>
            <w:tcW w:w="33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21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8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stock-based compensation expense</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70" w:after="283"/>
        <w:jc w:val="left"/>
        <w:rPr>
          <w:rFonts w:ascii="sans-serif" w:hAnsi="sans-serif"/>
          <w:b/>
          <w:color w:val="000000"/>
          <w:sz w:val="20"/>
        </w:rPr>
      </w:pPr>
      <w:r>
        <w:rPr>
          <w:rFonts w:ascii="sans-serif" w:hAnsi="sans-serif"/>
          <w:b/>
          <w:color w:val="000000"/>
          <w:sz w:val="20"/>
        </w:rPr>
        <w:t>10. Net Loss Per Share</w:t>
      </w:r>
    </w:p>
    <w:p>
      <w:pPr>
        <w:pStyle w:val="TextBody"/>
        <w:bidi w:val="0"/>
        <w:spacing w:before="90" w:after="283"/>
        <w:jc w:val="left"/>
        <w:rPr>
          <w:rFonts w:ascii="sans-serif" w:hAnsi="sans-serif"/>
          <w:color w:val="000000"/>
          <w:sz w:val="20"/>
        </w:rPr>
      </w:pPr>
      <w:r>
        <w:rPr>
          <w:rFonts w:ascii="sans-serif" w:hAnsi="sans-serif"/>
          <w:color w:val="000000"/>
          <w:sz w:val="20"/>
        </w:rPr>
        <w:t>Basic net loss per share has been computed by dividing the net loss by the weighted-average number of shares of common stock outstanding, pre-funded warrants, and treasury stock for deferred compensation obligations required to be settled in shares of common stock. Diluted net loss per share is calculated by dividing net loss by the weighted-average number of shares of common stock outstanding, pre-funded warrants, and treasury stock for deferred compensation obligations required to be settled in shares of common stock, and potential dilutive securities outstanding during the period.</w:t>
      </w:r>
    </w:p>
    <w:p>
      <w:pPr>
        <w:pStyle w:val="TextBody"/>
        <w:bidi w:val="0"/>
        <w:spacing w:before="90" w:after="240"/>
        <w:jc w:val="left"/>
        <w:rPr>
          <w:rFonts w:ascii="sans-serif" w:hAnsi="sans-serif"/>
          <w:color w:val="000000"/>
          <w:sz w:val="20"/>
        </w:rPr>
      </w:pPr>
      <w:r>
        <w:rPr>
          <w:rFonts w:ascii="sans-serif" w:hAnsi="sans-serif"/>
          <w:color w:val="000000"/>
          <w:sz w:val="20"/>
        </w:rPr>
        <w:t>The following weighted-average outstanding common stock equivalents were excluded from the computation of diluted net loss per share for the periods presented because including them would have been antidilutive:</w:t>
      </w:r>
    </w:p>
    <w:tbl>
      <w:tblPr>
        <w:tblW w:w="9621" w:type="dxa"/>
        <w:jc w:val="left"/>
        <w:tblInd w:w="0" w:type="dxa"/>
        <w:tblLayout w:type="fixed"/>
        <w:tblCellMar>
          <w:top w:w="28" w:type="dxa"/>
          <w:left w:w="28" w:type="dxa"/>
          <w:bottom w:w="28" w:type="dxa"/>
          <w:right w:w="28" w:type="dxa"/>
        </w:tblCellMar>
      </w:tblPr>
      <w:tblGrid>
        <w:gridCol w:w="5326"/>
        <w:gridCol w:w="187"/>
        <w:gridCol w:w="675"/>
        <w:gridCol w:w="187"/>
        <w:gridCol w:w="187"/>
        <w:gridCol w:w="187"/>
        <w:gridCol w:w="675"/>
        <w:gridCol w:w="146"/>
        <w:gridCol w:w="166"/>
        <w:gridCol w:w="598"/>
        <w:gridCol w:w="166"/>
        <w:gridCol w:w="166"/>
        <w:gridCol w:w="166"/>
        <w:gridCol w:w="598"/>
        <w:gridCol w:w="191"/>
      </w:tblGrid>
      <w:tr>
        <w:trPr/>
        <w:tc>
          <w:tcPr>
            <w:tcW w:w="53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Options to purchase common stock, </w:t>
              <w:br/>
              <w:t>    restricted stock units, and performance stock units</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70" w:after="283"/>
        <w:jc w:val="left"/>
        <w:rPr>
          <w:rFonts w:ascii="sans-serif" w:hAnsi="sans-serif"/>
          <w:b/>
          <w:color w:val="000000"/>
          <w:sz w:val="20"/>
        </w:rPr>
      </w:pPr>
      <w:r>
        <w:rPr>
          <w:rFonts w:ascii="sans-serif" w:hAnsi="sans-serif"/>
          <w:b/>
          <w:color w:val="000000"/>
          <w:sz w:val="20"/>
        </w:rPr>
        <w:t>11. Equity</w:t>
      </w:r>
    </w:p>
    <w:p>
      <w:pPr>
        <w:pStyle w:val="TextBody"/>
        <w:bidi w:val="0"/>
        <w:spacing w:before="90" w:after="283"/>
        <w:jc w:val="left"/>
        <w:rPr>
          <w:rFonts w:ascii="sans-serif" w:hAnsi="sans-serif"/>
          <w:b/>
          <w:color w:val="000000"/>
          <w:sz w:val="20"/>
        </w:rPr>
      </w:pPr>
      <w:r>
        <w:rPr>
          <w:rFonts w:ascii="sans-serif" w:hAnsi="sans-serif"/>
          <w:b/>
          <w:color w:val="000000"/>
          <w:sz w:val="20"/>
        </w:rPr>
        <w:t>At-the-Market Offerings</w:t>
      </w:r>
    </w:p>
    <w:p>
      <w:pPr>
        <w:pStyle w:val="TextBody"/>
        <w:bidi w:val="0"/>
        <w:spacing w:before="90" w:after="283"/>
        <w:jc w:val="left"/>
        <w:rPr>
          <w:rFonts w:ascii="Times New Roman" w:hAnsi="Times New Roman"/>
          <w:sz w:val="20"/>
        </w:rPr>
      </w:pPr>
      <w:r>
        <w:rPr>
          <w:rFonts w:ascii="sans-serif" w:hAnsi="sans-serif"/>
          <w:color w:val="000000"/>
          <w:sz w:val="20"/>
        </w:rPr>
        <w:t>In February 2024, the Company entered into a Sales Agreement with Cowen and Company, LLC, or Cowen, pursuant to which the Company may offer and sell shares of the Company’s common stock having an aggregate offering proceeds up to $350</w:t>
      </w:r>
      <w:r>
        <w:rPr>
          <w:rFonts w:ascii="Times New Roman" w:hAnsi="Times New Roman"/>
          <w:color w:val="000000"/>
          <w:sz w:val="20"/>
        </w:rPr>
        <w:t xml:space="preserve"> </w:t>
      </w:r>
      <w:r>
        <w:rPr>
          <w:rFonts w:ascii="sans-serif" w:hAnsi="sans-serif"/>
          <w:color w:val="000000"/>
          <w:sz w:val="20"/>
        </w:rPr>
        <w:t>million, from time to time, in at-the-market, or ATM, offerings through Cowen. During the three and six months ended June 30, 2026, no</w:t>
      </w:r>
      <w:r>
        <w:rPr>
          <w:rFonts w:ascii="Times New Roman" w:hAnsi="Times New Roman"/>
          <w:color w:val="000000"/>
          <w:sz w:val="20"/>
        </w:rPr>
        <w:t xml:space="preserve"> </w:t>
      </w:r>
      <w:r>
        <w:rPr>
          <w:rFonts w:ascii="sans-serif" w:hAnsi="sans-serif"/>
          <w:color w:val="000000"/>
          <w:sz w:val="20"/>
        </w:rPr>
        <w:t>shares were sold under the ATM. The Company sold 2.2</w:t>
      </w:r>
      <w:r>
        <w:rPr>
          <w:rFonts w:ascii="Times New Roman" w:hAnsi="Times New Roman"/>
          <w:color w:val="000000"/>
          <w:sz w:val="20"/>
        </w:rPr>
        <w:t xml:space="preserve"> </w:t>
      </w:r>
      <w:r>
        <w:rPr>
          <w:rFonts w:ascii="sans-serif" w:hAnsi="sans-serif"/>
          <w:color w:val="000000"/>
          <w:sz w:val="20"/>
        </w:rPr>
        <w:t>million shares under the ATM for net proceeds of $80</w:t>
      </w:r>
      <w:r>
        <w:rPr>
          <w:rFonts w:ascii="Times New Roman" w:hAnsi="Times New Roman"/>
          <w:color w:val="000000"/>
          <w:sz w:val="20"/>
        </w:rPr>
        <w:t xml:space="preserve"> </w:t>
      </w:r>
      <w:r>
        <w:rPr>
          <w:rFonts w:ascii="sans-serif" w:hAnsi="sans-serif"/>
          <w:color w:val="000000"/>
          <w:sz w:val="20"/>
        </w:rPr>
        <w:t>million during the three and six months ended June 30, 2025. To date, the Company has sold 2.2</w:t>
      </w:r>
      <w:r>
        <w:rPr>
          <w:rFonts w:ascii="Times New Roman" w:hAnsi="Times New Roman"/>
          <w:color w:val="000000"/>
          <w:sz w:val="20"/>
        </w:rPr>
        <w:t xml:space="preserve"> </w:t>
      </w:r>
      <w:r>
        <w:rPr>
          <w:rFonts w:ascii="sans-serif" w:hAnsi="sans-serif"/>
          <w:color w:val="000000"/>
          <w:sz w:val="20"/>
        </w:rPr>
        <w:t>million shares under the ATM for net proceeds of $80</w:t>
      </w:r>
      <w:r>
        <w:rPr>
          <w:rFonts w:ascii="Times New Roman" w:hAnsi="Times New Roman"/>
          <w:color w:val="000000"/>
          <w:sz w:val="20"/>
        </w:rPr>
        <w:t xml:space="preserve"> </w:t>
      </w:r>
      <w:r>
        <w:rPr>
          <w:rFonts w:ascii="sans-serif" w:hAnsi="sans-serif"/>
          <w:color w:val="000000"/>
          <w:sz w:val="20"/>
        </w:rPr>
        <w:t>million.</w:t>
      </w:r>
    </w:p>
    <w:p>
      <w:pPr>
        <w:pStyle w:val="TextBody"/>
        <w:bidi w:val="0"/>
        <w:spacing w:before="270" w:after="283"/>
        <w:jc w:val="left"/>
        <w:rPr>
          <w:rFonts w:ascii="Times New Roman" w:hAnsi="Times New Roman"/>
          <w:sz w:val="20"/>
        </w:rPr>
      </w:pPr>
      <w:r>
        <w:rPr>
          <w:rFonts w:ascii="sans-serif" w:hAnsi="sans-serif"/>
          <w:b/>
          <w:color w:val="000000"/>
          <w:sz w:val="20"/>
        </w:rPr>
        <w:t>12. Accumulated Other Comprehensive Loss</w:t>
      </w:r>
      <w:r>
        <w:rPr>
          <w:rFonts w:ascii="Times New Roman" w:hAnsi="Times New Roman"/>
          <w:color w:val="000000"/>
          <w:sz w:val="20"/>
        </w:rPr>
        <w:t xml:space="preserve"> </w:t>
      </w:r>
    </w:p>
    <w:p>
      <w:pPr>
        <w:pStyle w:val="TextBody"/>
        <w:bidi w:val="0"/>
        <w:spacing w:before="90" w:after="240"/>
        <w:jc w:val="left"/>
        <w:rPr>
          <w:rFonts w:ascii="sans-serif" w:hAnsi="sans-serif"/>
          <w:color w:val="000000"/>
          <w:sz w:val="20"/>
        </w:rPr>
      </w:pPr>
      <w:r>
        <w:rPr>
          <w:rFonts w:ascii="sans-serif" w:hAnsi="sans-serif"/>
          <w:color w:val="000000"/>
          <w:sz w:val="20"/>
        </w:rPr>
        <w:t>Total accumulated other comprehensive loss consisted of the following (in millions):</w:t>
      </w:r>
    </w:p>
    <w:tbl>
      <w:tblPr>
        <w:tblW w:w="7830" w:type="dxa"/>
        <w:jc w:val="left"/>
        <w:tblInd w:w="0" w:type="dxa"/>
        <w:tblLayout w:type="fixed"/>
        <w:tblCellMar>
          <w:top w:w="28" w:type="dxa"/>
          <w:left w:w="28" w:type="dxa"/>
          <w:bottom w:w="28" w:type="dxa"/>
          <w:right w:w="28" w:type="dxa"/>
        </w:tblCellMar>
      </w:tblPr>
      <w:tblGrid>
        <w:gridCol w:w="4716"/>
        <w:gridCol w:w="146"/>
        <w:gridCol w:w="344"/>
        <w:gridCol w:w="526"/>
        <w:gridCol w:w="181"/>
        <w:gridCol w:w="146"/>
        <w:gridCol w:w="545"/>
        <w:gridCol w:w="835"/>
        <w:gridCol w:w="391"/>
      </w:tblGrid>
      <w:tr>
        <w:trPr/>
        <w:tc>
          <w:tcPr>
            <w:tcW w:w="4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Foreign currency translation adjustments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5"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accumulated other comprehensive loss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4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70" w:after="283"/>
        <w:jc w:val="left"/>
        <w:rPr>
          <w:rFonts w:ascii="Times New Roman" w:hAnsi="Times New Roman"/>
          <w:sz w:val="20"/>
        </w:rPr>
      </w:pPr>
      <w:r>
        <w:rPr>
          <w:rFonts w:ascii="sans-serif" w:hAnsi="sans-serif"/>
          <w:b/>
          <w:color w:val="000000"/>
          <w:sz w:val="20"/>
        </w:rPr>
        <w:t>13. Strategic Restructuring Plan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In February 2026, the Company implemented a strategic restructuring plan designed to reduce operating expenses and focus resources on its highest value drivers. The restructuring plan included a reduction in workforce and the curtailment of certain</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operating activities, including UX143 manufacturing activities. As part of the restructuring, the Company reduced its workforce by approximately 10%. The workforce reduction was substantially completed during the first quarter of 2026.</w:t>
      </w:r>
      <w:r>
        <w:rPr>
          <w:rFonts w:ascii="Times New Roman" w:hAnsi="Times New Roman"/>
          <w:color w:val="000000"/>
          <w:sz w:val="20"/>
        </w:rPr>
        <w:t xml:space="preserve"> </w:t>
      </w:r>
    </w:p>
    <w:p>
      <w:pPr>
        <w:pStyle w:val="TextBody"/>
        <w:bidi w:val="0"/>
        <w:spacing w:before="90" w:after="240"/>
        <w:jc w:val="left"/>
        <w:rPr>
          <w:rFonts w:ascii="Times New Roman" w:hAnsi="Times New Roman"/>
          <w:sz w:val="20"/>
        </w:rPr>
      </w:pPr>
      <w:r>
        <w:rPr>
          <w:rFonts w:ascii="sans-serif" w:hAnsi="sans-serif"/>
          <w:color w:val="000000"/>
          <w:sz w:val="20"/>
        </w:rPr>
        <w:t>The following table presents the details of the Company’s restructuring charges and amounts paid or settled during the six months ended June 30, 2026 (in millions):</w:t>
      </w:r>
      <w:r>
        <w:rPr>
          <w:rFonts w:ascii="Times New Roman" w:hAnsi="Times New Roman"/>
          <w:color w:val="000000"/>
          <w:sz w:val="20"/>
        </w:rPr>
        <w:t xml:space="preserve"> </w:t>
      </w:r>
    </w:p>
    <w:tbl>
      <w:tblPr>
        <w:tblW w:w="9270" w:type="dxa"/>
        <w:jc w:val="left"/>
        <w:tblInd w:w="0" w:type="dxa"/>
        <w:tblLayout w:type="fixed"/>
        <w:tblCellMar>
          <w:top w:w="28" w:type="dxa"/>
          <w:left w:w="28" w:type="dxa"/>
          <w:bottom w:w="28" w:type="dxa"/>
          <w:right w:w="28" w:type="dxa"/>
        </w:tblCellMar>
      </w:tblPr>
      <w:tblGrid>
        <w:gridCol w:w="3406"/>
        <w:gridCol w:w="346"/>
        <w:gridCol w:w="699"/>
        <w:gridCol w:w="1072"/>
        <w:gridCol w:w="181"/>
        <w:gridCol w:w="146"/>
        <w:gridCol w:w="774"/>
        <w:gridCol w:w="1446"/>
        <w:gridCol w:w="181"/>
        <w:gridCol w:w="146"/>
        <w:gridCol w:w="226"/>
        <w:gridCol w:w="421"/>
        <w:gridCol w:w="226"/>
      </w:tblGrid>
      <w:tr>
        <w:trPr/>
        <w:tc>
          <w:tcPr>
            <w:tcW w:w="34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Employee-Related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Manufacturing Related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as of December 31, 2025</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4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Restructuring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settled/ adjustment</w:t>
            </w:r>
          </w:p>
        </w:tc>
        <w:tc>
          <w:tcPr>
            <w:tcW w:w="3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07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2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Balance as of June 30, 2026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90" w:after="240"/>
        <w:jc w:val="left"/>
        <w:rPr>
          <w:rFonts w:ascii="sans-serif" w:hAnsi="sans-serif"/>
          <w:color w:val="000000"/>
          <w:sz w:val="20"/>
        </w:rPr>
      </w:pPr>
      <w:r>
        <w:rPr>
          <w:rFonts w:ascii="sans-serif" w:hAnsi="sans-serif"/>
          <w:color w:val="000000"/>
          <w:sz w:val="20"/>
        </w:rPr>
        <w:t>Total restructuring charges recognized on the Condensed Consolidated Statements of Operations during the three and six months ended June 30, 2026 were as below (in millions):</w:t>
      </w:r>
    </w:p>
    <w:tbl>
      <w:tblPr>
        <w:tblW w:w="8064" w:type="dxa"/>
        <w:jc w:val="left"/>
        <w:tblInd w:w="0" w:type="dxa"/>
        <w:tblLayout w:type="fixed"/>
        <w:tblCellMar>
          <w:top w:w="28" w:type="dxa"/>
          <w:left w:w="28" w:type="dxa"/>
          <w:bottom w:w="28" w:type="dxa"/>
          <w:right w:w="28" w:type="dxa"/>
        </w:tblCellMar>
      </w:tblPr>
      <w:tblGrid>
        <w:gridCol w:w="3541"/>
        <w:gridCol w:w="146"/>
        <w:gridCol w:w="805"/>
        <w:gridCol w:w="1235"/>
        <w:gridCol w:w="146"/>
        <w:gridCol w:w="710"/>
        <w:gridCol w:w="1090"/>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development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0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35"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restructuring expense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80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3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bookmarkStart w:id="11" w:name="item_2_management"/>
      <w:bookmarkEnd w:id="11"/>
      <w:r>
        <w:rPr>
          <w:rFonts w:ascii="sans-serif" w:hAnsi="sans-serif"/>
          <w:b/>
          <w:color w:val="000000"/>
          <w:sz w:val="20"/>
        </w:rPr>
        <w:t xml:space="preserve">Item 2. </w:t>
      </w:r>
      <w:r>
        <w:rPr>
          <w:rFonts w:ascii="sans-serif" w:hAnsi="sans-serif"/>
          <w:b/>
          <w:i/>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spacing w:before="90" w:after="283"/>
        <w:jc w:val="left"/>
        <w:rPr>
          <w:rFonts w:ascii="sans-serif" w:hAnsi="sans-serif"/>
          <w:i/>
          <w:color w:val="000000"/>
          <w:sz w:val="20"/>
        </w:rPr>
      </w:pPr>
      <w:r>
        <w:rPr>
          <w:rFonts w:ascii="sans-serif" w:hAnsi="sans-serif"/>
          <w:i/>
          <w:color w:val="000000"/>
          <w:sz w:val="20"/>
        </w:rPr>
        <w:t>The following discussion and analysis of our financial condition and results of operations should be read in conjunction with the accompanying unaudited Condensed Consolidated Financial Statements and related notes in Item 1 and with the audited Consolidated Financial Statements and the related notes included in our Annual Report on Form 10-K for the year ended December 31, 2025, or Annual Report.</w:t>
      </w:r>
    </w:p>
    <w:p>
      <w:pPr>
        <w:pStyle w:val="TextBody"/>
        <w:bidi w:val="0"/>
        <w:spacing w:before="270" w:after="283"/>
        <w:jc w:val="left"/>
        <w:rPr>
          <w:rFonts w:ascii="Times New Roman" w:hAnsi="Times New Roman"/>
          <w:sz w:val="20"/>
        </w:rPr>
      </w:pPr>
      <w:r>
        <w:rPr>
          <w:rFonts w:ascii="sans-serif" w:hAnsi="sans-serif"/>
          <w:b/>
          <w:color w:val="000000"/>
          <w:sz w:val="20"/>
        </w:rPr>
        <w:t>Overview</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Ultragenyx Pharmaceutical Inc., we or the Company, is a biopharmaceutical company committed to bringing novel products to patients for the treatment of serious rare and ultra-rare genetic diseases. We have built a diverse portfolio of approved therapies and product candidates aimed at addressing diseases with high unmet medical need and clear biology for treatment, for which there are typically no approved therapies treating the underlying disease.</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We were founded in April 2010 by our President and Chief Executive Officer, Emil Kakkis, M.D., Ph.D., and are led by a management team experienced in the development and commercialization of rare disease therapeutics. Our strategy is predicated upon time- and cost-efficient drug development, with the goal of delivering safe and effective therapies to patients with the utmost urgency.</w:t>
      </w:r>
      <w:r>
        <w:rPr>
          <w:rFonts w:ascii="Times New Roman" w:hAnsi="Times New Roman"/>
          <w:color w:val="000000"/>
          <w:sz w:val="20"/>
        </w:rPr>
        <w:t xml:space="preserve"> </w:t>
      </w:r>
    </w:p>
    <w:p>
      <w:pPr>
        <w:pStyle w:val="TextBody"/>
        <w:bidi w:val="0"/>
        <w:spacing w:before="270" w:after="283"/>
        <w:jc w:val="left"/>
        <w:rPr>
          <w:rFonts w:ascii="sans-serif" w:hAnsi="sans-serif"/>
          <w:b/>
          <w:color w:val="000000"/>
          <w:sz w:val="20"/>
        </w:rPr>
      </w:pPr>
      <w:r>
        <w:rPr>
          <w:rFonts w:ascii="sans-serif" w:hAnsi="sans-serif"/>
          <w:b/>
          <w:color w:val="000000"/>
          <w:sz w:val="20"/>
        </w:rPr>
        <w:t>Approved Therapies and Clinical Product Candidates</w:t>
      </w:r>
    </w:p>
    <w:p>
      <w:pPr>
        <w:pStyle w:val="TextBody"/>
        <w:bidi w:val="0"/>
        <w:spacing w:before="90" w:after="283"/>
        <w:jc w:val="left"/>
        <w:rPr>
          <w:rFonts w:ascii="sans-serif" w:hAnsi="sans-serif"/>
          <w:color w:val="000000"/>
          <w:sz w:val="20"/>
        </w:rPr>
      </w:pPr>
      <w:r>
        <w:rPr>
          <w:rFonts w:ascii="sans-serif" w:hAnsi="sans-serif"/>
          <w:color w:val="000000"/>
          <w:sz w:val="20"/>
        </w:rPr>
        <w:t>Our current approved therapies and clinical-stage pipeline consist of four product categories: biologics, small molecules, AAV gene therapy, and nucleic acid product candidates. The following table summarizes our approved products and pipeline of clinical product candidates:</w:t>
      </w:r>
    </w:p>
    <w:p>
      <w:pPr>
        <w:pStyle w:val="TextBody"/>
        <w:bidi w:val="0"/>
        <w:jc w:val="center"/>
        <w:rPr>
          <w:rFonts w:ascii="sans-serif" w:hAnsi="sans-serif"/>
          <w:color w:val="000000"/>
          <w:sz w:val="20"/>
        </w:rPr>
      </w:pPr>
      <w:r>
        <w:rPr>
          <w:rFonts w:ascii="sans-serif" w:hAnsi="sans-serif"/>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center"/>
        <w:rPr/>
      </w:pPr>
      <w:r>
        <w:rPr/>
        <w:drawing>
          <wp:inline distT="0" distB="0" distL="0" distR="0">
            <wp:extent cx="5829300" cy="7677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29300" cy="7677150"/>
                    </a:xfrm>
                    <a:prstGeom prst="rect">
                      <a:avLst/>
                    </a:prstGeom>
                  </pic:spPr>
                </pic:pic>
              </a:graphicData>
            </a:graphic>
          </wp:inline>
        </w:drawing>
      </w:r>
    </w:p>
    <w:p>
      <w:pPr>
        <w:pStyle w:val="TextBody"/>
        <w:bidi w:val="0"/>
        <w:jc w:val="center"/>
        <w:rPr>
          <w:rFonts w:ascii="sans-serif" w:hAnsi="sans-serif"/>
          <w:color w:val="000000"/>
          <w:sz w:val="20"/>
        </w:rPr>
      </w:pPr>
      <w:r>
        <w:rPr>
          <w:rFonts w:ascii="sans-serif" w:hAnsi="sans-serif"/>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sans-serif" w:hAnsi="sans-serif"/>
          <w:b/>
          <w:color w:val="000000"/>
          <w:sz w:val="20"/>
        </w:rPr>
      </w:pPr>
      <w:r>
        <w:rPr>
          <w:rFonts w:ascii="sans-serif" w:hAnsi="sans-serif"/>
          <w:b/>
          <w:color w:val="000000"/>
          <w:sz w:val="20"/>
        </w:rPr>
        <w:t>Approved Products</w:t>
      </w:r>
    </w:p>
    <w:p>
      <w:pPr>
        <w:pStyle w:val="TextBody"/>
        <w:bidi w:val="0"/>
        <w:spacing w:before="90" w:after="283"/>
        <w:jc w:val="left"/>
        <w:rPr>
          <w:rFonts w:ascii="sans-serif" w:hAnsi="sans-serif"/>
          <w:b/>
          <w:i/>
          <w:color w:val="000000"/>
          <w:sz w:val="20"/>
        </w:rPr>
      </w:pPr>
      <w:r>
        <w:rPr>
          <w:rFonts w:ascii="sans-serif" w:hAnsi="sans-serif"/>
          <w:b/>
          <w:i/>
          <w:color w:val="000000"/>
          <w:sz w:val="20"/>
        </w:rPr>
        <w:t>Crysvita for the treatment of X-Linked Hypophosphatemia, or XLH, and Tumor-Induced Osteomalacia, or TIO</w:t>
      </w:r>
    </w:p>
    <w:p>
      <w:pPr>
        <w:pStyle w:val="TextBody"/>
        <w:bidi w:val="0"/>
        <w:spacing w:before="90" w:after="283"/>
        <w:jc w:val="left"/>
        <w:rPr>
          <w:rFonts w:ascii="sans-serif" w:hAnsi="sans-serif"/>
          <w:color w:val="000000"/>
          <w:sz w:val="20"/>
        </w:rPr>
      </w:pPr>
      <w:r>
        <w:rPr>
          <w:rFonts w:ascii="sans-serif" w:hAnsi="sans-serif"/>
          <w:color w:val="000000"/>
          <w:sz w:val="20"/>
        </w:rPr>
        <w:t>Crysvita is a fully human monoclonal antibody administered via subcutaneous injection, that targets fibroblast growth factor 23, or FGF23, developed for the treatment of XLH. XLH is a rare, hereditary, progressive, and lifelong musculoskeletal disorder characterized by renal phosphate wasting caused by excess FGF23 production. There are approximately 48,000 patients with XLH in the developed world, including approximately 36,000 adults and 12,000 children. Crysvita is the only approved treatment that addresses the underlying cause of XLH. Crysvita is approved in the U.S., the EU and certain other regions for the treatment of XLH in adult and pediatric patients one year of age and older.</w:t>
      </w:r>
    </w:p>
    <w:p>
      <w:pPr>
        <w:pStyle w:val="TextBody"/>
        <w:bidi w:val="0"/>
        <w:spacing w:before="90" w:after="283"/>
        <w:jc w:val="left"/>
        <w:rPr>
          <w:rFonts w:ascii="sans-serif" w:hAnsi="sans-serif"/>
          <w:color w:val="000000"/>
          <w:sz w:val="20"/>
        </w:rPr>
      </w:pPr>
      <w:r>
        <w:rPr>
          <w:rFonts w:ascii="sans-serif" w:hAnsi="sans-serif"/>
          <w:color w:val="000000"/>
          <w:sz w:val="20"/>
        </w:rPr>
        <w:t>Crysvita is also approved in the U.S. and certain other regions for the treatment of FGF23-related hypophosphatemia in TIO, associated with phosphaturic mesenchymal tumors that cannot be curatively resected or localized in adults and pediatric patients 2 years of age and older. There are approximately 2,000 to 4,000 patients with TIO in the developed world. TIO can lead to severe hypophosphatemia, osteomalacia, fractures, fatigue, bone and muscle pain, and muscle weakness.</w:t>
      </w:r>
    </w:p>
    <w:p>
      <w:pPr>
        <w:pStyle w:val="TextBody"/>
        <w:bidi w:val="0"/>
        <w:spacing w:before="90" w:after="283"/>
        <w:jc w:val="left"/>
        <w:rPr>
          <w:rFonts w:ascii="sans-serif" w:hAnsi="sans-serif"/>
          <w:color w:val="000000"/>
          <w:sz w:val="20"/>
        </w:rPr>
      </w:pPr>
      <w:r>
        <w:rPr>
          <w:rFonts w:ascii="sans-serif" w:hAnsi="sans-serif"/>
          <w:color w:val="000000"/>
          <w:sz w:val="20"/>
        </w:rPr>
        <w:t>We are collaborating with Kyowa Kirin Co., Ltd., or KKC, and Kyowa Kirin, a wholly owned subsidiary of KKC, on the development and commercialization of Crysvita globally.</w:t>
      </w:r>
    </w:p>
    <w:p>
      <w:pPr>
        <w:pStyle w:val="TextBody"/>
        <w:bidi w:val="0"/>
        <w:spacing w:before="270" w:after="283"/>
        <w:jc w:val="left"/>
        <w:rPr>
          <w:rFonts w:ascii="sans-serif" w:hAnsi="sans-serif"/>
          <w:b/>
          <w:i/>
          <w:color w:val="000000"/>
          <w:sz w:val="20"/>
        </w:rPr>
      </w:pPr>
      <w:r>
        <w:rPr>
          <w:rFonts w:ascii="sans-serif" w:hAnsi="sans-serif"/>
          <w:b/>
          <w:i/>
          <w:color w:val="000000"/>
          <w:sz w:val="20"/>
        </w:rPr>
        <w:t>Mepsevii for the treatment of Mucopolysaccharidosis VII, or MPS VII</w:t>
      </w:r>
    </w:p>
    <w:p>
      <w:pPr>
        <w:pStyle w:val="TextBody"/>
        <w:bidi w:val="0"/>
        <w:spacing w:before="80" w:after="283"/>
        <w:jc w:val="left"/>
        <w:rPr>
          <w:rFonts w:ascii="sans-serif" w:hAnsi="sans-serif"/>
          <w:color w:val="000000"/>
          <w:sz w:val="20"/>
        </w:rPr>
      </w:pPr>
      <w:r>
        <w:rPr>
          <w:rFonts w:ascii="sans-serif" w:hAnsi="sans-serif"/>
          <w:color w:val="000000"/>
          <w:sz w:val="20"/>
        </w:rPr>
        <w:t>Mepsevii is an enzyme replacement therapy administered intravenously, or IV, that replaces the missing enzyme (beta-glucuronidase), developed for the treatment of MPS VII or Sly syndrome. MPS VII is a rare lysosomal storage disease that often leads to multi-organ dysfunction, pervasive skeletal disease, and death. MPS VII is one of the rarest MPS disorders, affecting an estimated 200 patients in the developed world. Mepsevii is approved in the U.S., the EU and certain other regions for the treatment of children and adults with MPS VII.</w:t>
      </w:r>
    </w:p>
    <w:p>
      <w:pPr>
        <w:pStyle w:val="TextBody"/>
        <w:bidi w:val="0"/>
        <w:spacing w:before="270" w:after="283"/>
        <w:jc w:val="left"/>
        <w:rPr>
          <w:rFonts w:ascii="Times New Roman" w:hAnsi="Times New Roman"/>
          <w:sz w:val="20"/>
        </w:rPr>
      </w:pPr>
      <w:r>
        <w:rPr>
          <w:rFonts w:ascii="sans-serif" w:hAnsi="sans-serif"/>
          <w:b/>
          <w:i/>
          <w:color w:val="000000"/>
          <w:sz w:val="20"/>
        </w:rPr>
        <w:t>Dojolvi for the treatment of Long-chain Fatty Acid Oxidation Disorders, or LC-FAOD</w:t>
      </w:r>
      <w:r>
        <w:rPr>
          <w:rFonts w:ascii="Times New Roman" w:hAnsi="Times New Roman"/>
          <w:color w:val="000000"/>
          <w:sz w:val="20"/>
        </w:rPr>
        <w:t xml:space="preserve"> </w:t>
      </w:r>
    </w:p>
    <w:p>
      <w:pPr>
        <w:pStyle w:val="TextBody"/>
        <w:bidi w:val="0"/>
        <w:spacing w:before="80" w:after="283"/>
        <w:jc w:val="left"/>
        <w:rPr>
          <w:rFonts w:ascii="sans-serif" w:hAnsi="sans-serif"/>
          <w:color w:val="000000"/>
          <w:sz w:val="20"/>
        </w:rPr>
      </w:pPr>
      <w:r>
        <w:rPr>
          <w:rFonts w:ascii="sans-serif" w:hAnsi="sans-serif"/>
          <w:color w:val="000000"/>
          <w:sz w:val="20"/>
        </w:rPr>
        <w:t>Dojolvi is a highly purified, synthetic, 7-carbon fatty acid triglyceride administered orally, designed to provide medium-chain, odd-carbon fatty acids as an energy source and metabolite replacement, developed for people with LC-FAOD. LC-FAOD represents a set of rare metabolic diseases that prevents the conversion of fat into energy and can cause low blood sugar, muscle rupture, and heart and liver disease. Dojolvi is approved in the U.S., Japan, and certain other regions as a source of calories and fatty acids for the treatment of pediatric and adult patients with molecularly confirmed LC-FAOD. There are approximately 8,000 to 14,000 patients in the developed world with LC-FAOD.</w:t>
      </w:r>
    </w:p>
    <w:p>
      <w:pPr>
        <w:pStyle w:val="TextBody"/>
        <w:bidi w:val="0"/>
        <w:spacing w:before="270" w:after="283"/>
        <w:jc w:val="left"/>
        <w:rPr>
          <w:rFonts w:ascii="Times New Roman" w:hAnsi="Times New Roman"/>
          <w:sz w:val="20"/>
        </w:rPr>
      </w:pPr>
      <w:r>
        <w:rPr>
          <w:rFonts w:ascii="sans-serif" w:hAnsi="sans-serif"/>
          <w:b/>
          <w:i/>
          <w:color w:val="000000"/>
          <w:sz w:val="20"/>
        </w:rPr>
        <w:t>Evkeeza for the treatment of Homozygous Familial Hypercholesterolemia, or HoFH</w:t>
      </w:r>
      <w:r>
        <w:rPr>
          <w:rFonts w:ascii="Times New Roman" w:hAnsi="Times New Roman"/>
          <w:color w:val="000000"/>
          <w:sz w:val="20"/>
        </w:rPr>
        <w:t xml:space="preserve"> </w:t>
      </w:r>
    </w:p>
    <w:p>
      <w:pPr>
        <w:pStyle w:val="TextBody"/>
        <w:bidi w:val="0"/>
        <w:spacing w:before="80" w:after="283"/>
        <w:jc w:val="left"/>
        <w:rPr>
          <w:rFonts w:ascii="sans-serif" w:hAnsi="sans-serif"/>
          <w:color w:val="000000"/>
          <w:sz w:val="20"/>
        </w:rPr>
      </w:pPr>
      <w:r>
        <w:rPr>
          <w:rFonts w:ascii="sans-serif" w:hAnsi="sans-serif"/>
          <w:color w:val="000000"/>
          <w:sz w:val="20"/>
        </w:rPr>
        <w:t>Evkeeza is a fully human monoclonal antibody administered by IV, that binds to and blocks the function of angiopoietin-like 3, or ANGPTL3, a protein that plays a key role in lipid metabolism, developed for the treatment of HoFH, a rare inherited condition. HoFH occurs when two copies of the genes causing familial hypercholesterolemia are inherited, one from each parent, resulting in dangerously high levels (&gt;400 mg/dL) of low-density lipoprotein-cholesterol, or LDL-C, which is bad cholesterol. Patients with HoFH are at risk for premature atherosclerotic disease and cardiac events as early as their teenage years. Evkeeza is approved in the U.S., where it is marketed by our partner Regeneron Pharmaceuticals, or Regeneron. It is also approved in the European Economic Area, or EEA, Brazil, Mexico, and Japan as a first-in-class therapy for use together with diet and other LDL-C lowering therapies. In these regions, Evkeeza is generally approved to treat adults and adolescents aged five years and older with clinical HoFH. There are approximately 3,000 to 5,000 patients with HoFH in the developed world outside of the U.S.</w:t>
      </w:r>
    </w:p>
    <w:p>
      <w:pPr>
        <w:pStyle w:val="TextBody"/>
        <w:bidi w:val="0"/>
        <w:spacing w:before="270" w:after="283"/>
        <w:jc w:val="left"/>
        <w:rPr>
          <w:rFonts w:ascii="sans-serif" w:hAnsi="sans-serif"/>
          <w:b/>
          <w:color w:val="000000"/>
          <w:sz w:val="20"/>
        </w:rPr>
      </w:pPr>
      <w:r>
        <w:rPr>
          <w:rFonts w:ascii="sans-serif" w:hAnsi="sans-serif"/>
          <w:b/>
          <w:color w:val="000000"/>
          <w:sz w:val="20"/>
        </w:rPr>
        <w:t>Clinical Product Candidates</w:t>
      </w:r>
    </w:p>
    <w:p>
      <w:pPr>
        <w:pStyle w:val="TextBody"/>
        <w:bidi w:val="0"/>
        <w:spacing w:before="270" w:after="283"/>
        <w:jc w:val="left"/>
        <w:rPr>
          <w:rFonts w:ascii="sans-serif" w:hAnsi="sans-serif"/>
          <w:b/>
          <w:i/>
          <w:color w:val="000000"/>
          <w:sz w:val="20"/>
        </w:rPr>
      </w:pPr>
      <w:r>
        <w:rPr>
          <w:rFonts w:ascii="sans-serif" w:hAnsi="sans-serif"/>
          <w:b/>
          <w:i/>
          <w:color w:val="000000"/>
          <w:sz w:val="20"/>
        </w:rPr>
        <w:t>DTX401 (pariglasgene brecaparvovec) for the treatment of Glycogen Storage Disease Type Ia, or GSDIa</w:t>
      </w:r>
    </w:p>
    <w:p>
      <w:pPr>
        <w:pStyle w:val="TextBody"/>
        <w:bidi w:val="0"/>
        <w:spacing w:before="80" w:after="283"/>
        <w:jc w:val="left"/>
        <w:rPr>
          <w:rFonts w:ascii="sans-serif" w:hAnsi="sans-serif"/>
          <w:color w:val="000000"/>
          <w:sz w:val="20"/>
        </w:rPr>
      </w:pPr>
      <w:r>
        <w:rPr>
          <w:rFonts w:ascii="sans-serif" w:hAnsi="sans-serif"/>
          <w:color w:val="000000"/>
          <w:sz w:val="20"/>
        </w:rPr>
        <w:t>DTX401 is an adeno-associated virus 8, or AAV8, gene therapy clinical candidate, administered by a one-time IV infusion that is designed to deliver stable expression and activity of G6Pase-α, an essential enzyme in glycogen and glucose metabolism. DTX401 is being developed for the treatment of patients with GSDIa, and is the most common genetically inherited glycogen storage disease, with an estimated 6,000 patients in the developed world. A Pediatric Investigation Plan, or PIP, was accepted by the EMA. The DTX401 program has received Rare Pediatric Disease, RMAT, Fast Track, and Orphan Drug designations in the U.S., and PRIME and Orphan Medicinal Product Designations in the EU.</w:t>
      </w:r>
    </w:p>
    <w:p>
      <w:pPr>
        <w:pStyle w:val="TextBody"/>
        <w:bidi w:val="0"/>
        <w:jc w:val="center"/>
        <w:rPr>
          <w:rFonts w:ascii="sans-serif" w:hAnsi="sans-serif"/>
          <w:color w:val="000000"/>
          <w:sz w:val="20"/>
        </w:rPr>
      </w:pPr>
      <w:r>
        <w:rPr>
          <w:rFonts w:ascii="sans-serif" w:hAnsi="sans-serif"/>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sans-serif" w:hAnsi="sans-serif"/>
          <w:b/>
          <w:i/>
          <w:color w:val="000000"/>
          <w:sz w:val="20"/>
        </w:rPr>
      </w:pPr>
      <w:r>
        <w:rPr>
          <w:rFonts w:ascii="sans-serif" w:hAnsi="sans-serif"/>
          <w:b/>
          <w:i/>
          <w:color w:val="000000"/>
          <w:sz w:val="20"/>
        </w:rPr>
        <w:t>UX111 (rebisufligene etisparvovec) for the treatment of Sanfilippo syndrome type A, or MPS IIIA</w:t>
      </w:r>
    </w:p>
    <w:p>
      <w:pPr>
        <w:pStyle w:val="TextBody"/>
        <w:bidi w:val="0"/>
        <w:spacing w:before="80" w:after="283"/>
        <w:jc w:val="left"/>
        <w:rPr>
          <w:rFonts w:ascii="sans-serif" w:hAnsi="sans-serif"/>
          <w:color w:val="000000"/>
          <w:sz w:val="20"/>
        </w:rPr>
      </w:pPr>
      <w:r>
        <w:rPr>
          <w:rFonts w:ascii="sans-serif" w:hAnsi="sans-serif"/>
          <w:color w:val="000000"/>
          <w:sz w:val="20"/>
        </w:rPr>
        <w:t>UX111 (formerly ABO-102) is an adeno-associated virus 9, or AAV9, gene therapy product candidate, administered by a one-time IV infusion that provides the cross-correcting enzyme that enables the breakdown of Heparan sulfate, or HS. UX111 is being developed for the treatment of patients with Sanfilippo syndrome type A, or MPS IIIA, a rare lysosomal storage disease with no approved treatment, which primarily affects the central nervous system. There are an estimated 3,000 to 5,000 patients in the developed world affected by Sanfilippo syndrome type A. The program was acquired through an exclusive license agreement with Abeona Therapeutics, or Abeona, that was announced in May 2022. The UX111 program has received Regenerative Medicine Advanced Therapy, or RMAT, Fast Track, Rare Pediatric Disease, and Orphan Drug Designations in the U.S., and PRIME and Orphan Medicinal Product designations in the EU.</w:t>
      </w:r>
    </w:p>
    <w:p>
      <w:pPr>
        <w:pStyle w:val="TextBody"/>
        <w:bidi w:val="0"/>
        <w:spacing w:before="270" w:after="283"/>
        <w:jc w:val="left"/>
        <w:rPr>
          <w:rFonts w:ascii="sans-serif" w:hAnsi="sans-serif"/>
          <w:b/>
          <w:i/>
          <w:color w:val="000000"/>
          <w:sz w:val="20"/>
        </w:rPr>
      </w:pPr>
      <w:r>
        <w:rPr>
          <w:rFonts w:ascii="sans-serif" w:hAnsi="sans-serif"/>
          <w:b/>
          <w:i/>
          <w:color w:val="000000"/>
          <w:sz w:val="20"/>
        </w:rPr>
        <w:t>GTX-102 (apazunersen) for the treatment of Angelman Syndrome</w:t>
      </w:r>
    </w:p>
    <w:p>
      <w:pPr>
        <w:pStyle w:val="TextBody"/>
        <w:bidi w:val="0"/>
        <w:spacing w:before="80" w:after="283"/>
        <w:jc w:val="left"/>
        <w:rPr>
          <w:rFonts w:ascii="Times New Roman" w:hAnsi="Times New Roman"/>
          <w:sz w:val="20"/>
        </w:rPr>
      </w:pPr>
      <w:r>
        <w:rPr>
          <w:rFonts w:ascii="sans-serif" w:hAnsi="sans-serif"/>
          <w:color w:val="000000"/>
          <w:sz w:val="20"/>
        </w:rPr>
        <w:t xml:space="preserve">GTX-102 is an antisense oligonucleotide, or ASO, administered by intrathecal injection that inhibits expression of the paternal </w:t>
      </w:r>
      <w:r>
        <w:rPr>
          <w:rFonts w:ascii="sans-serif" w:hAnsi="sans-serif"/>
          <w:i/>
          <w:color w:val="000000"/>
          <w:sz w:val="20"/>
        </w:rPr>
        <w:t>UBE3A</w:t>
      </w:r>
      <w:r>
        <w:rPr>
          <w:rFonts w:ascii="Times New Roman" w:hAnsi="Times New Roman"/>
          <w:color w:val="000000"/>
          <w:sz w:val="20"/>
        </w:rPr>
        <w:t xml:space="preserve"> </w:t>
      </w:r>
      <w:r>
        <w:rPr>
          <w:rFonts w:ascii="sans-serif" w:hAnsi="sans-serif"/>
          <w:color w:val="000000"/>
          <w:sz w:val="20"/>
        </w:rPr>
        <w:t xml:space="preserve">antisense. GTX-102 is being developed for the treatment of Angelman syndrome, a debilitating and rare neurogenetic disorder caused by loss-of-function of the maternally inherited allele of the </w:t>
      </w:r>
      <w:r>
        <w:rPr>
          <w:rFonts w:ascii="sans-serif" w:hAnsi="sans-serif"/>
          <w:i/>
          <w:color w:val="000000"/>
          <w:sz w:val="20"/>
        </w:rPr>
        <w:t>UBE3A</w:t>
      </w:r>
      <w:r>
        <w:rPr>
          <w:rFonts w:ascii="Times New Roman" w:hAnsi="Times New Roman"/>
          <w:color w:val="000000"/>
          <w:sz w:val="20"/>
        </w:rPr>
        <w:t xml:space="preserve"> </w:t>
      </w:r>
      <w:r>
        <w:rPr>
          <w:rFonts w:ascii="sans-serif" w:hAnsi="sans-serif"/>
          <w:color w:val="000000"/>
          <w:sz w:val="20"/>
        </w:rPr>
        <w:t>gene. There are an estimated 60,000 patients in the developed world affected by Angelman syndrome. GTX-102 has received Breakthrough Therapy Designation, Fast Track Designation, Orphan Drug Designation and Rare Pediatric Disease Designation from the FDA and has been accepted into the EMA’s PRIME program.</w:t>
      </w:r>
    </w:p>
    <w:p>
      <w:pPr>
        <w:pStyle w:val="TextBody"/>
        <w:bidi w:val="0"/>
        <w:spacing w:before="270" w:after="283"/>
        <w:jc w:val="left"/>
        <w:rPr>
          <w:rFonts w:ascii="Times New Roman" w:hAnsi="Times New Roman"/>
          <w:sz w:val="20"/>
        </w:rPr>
      </w:pPr>
      <w:r>
        <w:rPr>
          <w:rFonts w:ascii="sans-serif" w:hAnsi="sans-serif"/>
          <w:b/>
          <w:i/>
          <w:color w:val="000000"/>
          <w:sz w:val="20"/>
        </w:rPr>
        <w:t>DTX301 (avalotcagene ontaparvovec) for the treatment of Ornithine Transcarbamylase, or OTC, deficiency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sans-serif" w:hAnsi="sans-serif"/>
          <w:color w:val="000000"/>
          <w:sz w:val="20"/>
        </w:rPr>
        <w:t xml:space="preserve">DTX301 is an AAV8 gene therapy product candidate, administered by a one-time IV infusion that is designed to deliver stable expression and activity of the </w:t>
      </w:r>
      <w:r>
        <w:rPr>
          <w:rFonts w:ascii="sans-serif" w:hAnsi="sans-serif"/>
          <w:i/>
          <w:color w:val="000000"/>
          <w:sz w:val="20"/>
        </w:rPr>
        <w:t>OTC</w:t>
      </w:r>
      <w:r>
        <w:rPr>
          <w:rFonts w:ascii="Times New Roman" w:hAnsi="Times New Roman"/>
          <w:color w:val="000000"/>
          <w:sz w:val="20"/>
        </w:rPr>
        <w:t xml:space="preserve"> </w:t>
      </w:r>
      <w:r>
        <w:rPr>
          <w:rFonts w:ascii="sans-serif" w:hAnsi="sans-serif"/>
          <w:color w:val="000000"/>
          <w:sz w:val="20"/>
        </w:rPr>
        <w:t>gene. DTX301 is being developed for the treatment of patients with OTC deficiency, which is the most common urea cycle disorder, and there are approximately 10,000 patients in the developed world with OTC deficiency, of which we estimate approximately 80% are classified as late-onset, our target population. DTX301 has received Orphan Drug Designation in both the U.S. and in the EU and Fast Track Designation in the U.S.</w:t>
      </w:r>
    </w:p>
    <w:p>
      <w:pPr>
        <w:pStyle w:val="TextBody"/>
        <w:bidi w:val="0"/>
        <w:spacing w:before="270" w:after="283"/>
        <w:jc w:val="left"/>
        <w:rPr>
          <w:rFonts w:ascii="sans-serif" w:hAnsi="sans-serif"/>
          <w:b/>
          <w:i/>
          <w:color w:val="000000"/>
          <w:sz w:val="20"/>
        </w:rPr>
      </w:pPr>
      <w:r>
        <w:rPr>
          <w:rFonts w:ascii="sans-serif" w:hAnsi="sans-serif"/>
          <w:b/>
          <w:i/>
          <w:color w:val="000000"/>
          <w:sz w:val="20"/>
        </w:rPr>
        <w:t>UX701 (rivunatpagene miziparvovec) for the treatment of Wilson Disease</w:t>
      </w:r>
    </w:p>
    <w:p>
      <w:pPr>
        <w:pStyle w:val="TextBody"/>
        <w:bidi w:val="0"/>
        <w:spacing w:before="80" w:after="283"/>
        <w:jc w:val="left"/>
        <w:rPr>
          <w:rFonts w:ascii="Times New Roman" w:hAnsi="Times New Roman"/>
          <w:sz w:val="20"/>
        </w:rPr>
      </w:pPr>
      <w:r>
        <w:rPr>
          <w:rFonts w:ascii="sans-serif" w:hAnsi="sans-serif"/>
          <w:color w:val="000000"/>
          <w:sz w:val="20"/>
        </w:rPr>
        <w:t xml:space="preserve">UX701 is an AAV type 9 gene therapy, administered by a one-time IV infusion that is designed to deliver a truncated form of the </w:t>
      </w:r>
      <w:r>
        <w:rPr>
          <w:rFonts w:ascii="sans-serif" w:hAnsi="sans-serif"/>
          <w:i/>
          <w:color w:val="000000"/>
          <w:sz w:val="20"/>
        </w:rPr>
        <w:t>ATP7B</w:t>
      </w:r>
      <w:r>
        <w:rPr>
          <w:rFonts w:ascii="Times New Roman" w:hAnsi="Times New Roman"/>
          <w:color w:val="000000"/>
          <w:sz w:val="20"/>
        </w:rPr>
        <w:t xml:space="preserve"> </w:t>
      </w:r>
      <w:r>
        <w:rPr>
          <w:rFonts w:ascii="sans-serif" w:hAnsi="sans-serif"/>
          <w:color w:val="000000"/>
          <w:sz w:val="20"/>
        </w:rPr>
        <w:t>gene. UX701 is being developed for the treatment of patients with Wilson disease, which affects approximately 50,000 patients in the developed world. UX701 has received Orphan Drug Designation in the U.S. and in the EU. UX701 has received a Fast Track Designation from the FDA.</w:t>
      </w:r>
    </w:p>
    <w:p>
      <w:pPr>
        <w:pStyle w:val="TextBody"/>
        <w:bidi w:val="0"/>
        <w:spacing w:before="270" w:after="283"/>
        <w:jc w:val="left"/>
        <w:rPr>
          <w:rFonts w:ascii="sans-serif" w:hAnsi="sans-serif"/>
          <w:b/>
          <w:i/>
          <w:color w:val="000000"/>
          <w:sz w:val="20"/>
        </w:rPr>
      </w:pPr>
      <w:r>
        <w:rPr>
          <w:rFonts w:ascii="sans-serif" w:hAnsi="sans-serif"/>
          <w:b/>
          <w:i/>
          <w:color w:val="000000"/>
          <w:sz w:val="20"/>
        </w:rPr>
        <w:t>UX016 for the treatment of GNE myopathy</w:t>
      </w:r>
    </w:p>
    <w:p>
      <w:pPr>
        <w:pStyle w:val="TextBody"/>
        <w:bidi w:val="0"/>
        <w:spacing w:before="80" w:after="283"/>
        <w:jc w:val="left"/>
        <w:rPr>
          <w:rFonts w:ascii="sans-serif" w:hAnsi="sans-serif"/>
          <w:color w:val="000000"/>
          <w:sz w:val="20"/>
        </w:rPr>
      </w:pPr>
      <w:r>
        <w:rPr>
          <w:rFonts w:ascii="sans-serif" w:hAnsi="sans-serif"/>
          <w:color w:val="000000"/>
          <w:sz w:val="20"/>
        </w:rPr>
        <w:t>UX016 is a small-molecule prodrug composed of sialic acid (SA; also known as N</w:t>
        <w:noBreakHyphen/>
        <w:t>acetylneuraminic acid [NANA]) and a C16 fatty acid tail designed to improve biodistribution to target tissues, like muscle, more effectively and efficiently than free SA. UX016 is being developed for the treatment of GNE myopathy, also known as hereditary inclusion body myopathy (HIBM) and Nonaka Myopathy, which is caused by the body's inability to produce adequate sialic acid leads to progressive muscle wasting and severe disability. There are an estimated 10,000 patients in the developed world affected by GNE myopathy. UX016 is funded through clinical proof-of-concept through our venture philanthropy agreement with a patient group.</w:t>
      </w:r>
    </w:p>
    <w:p>
      <w:pPr>
        <w:pStyle w:val="TextBody"/>
        <w:bidi w:val="0"/>
        <w:spacing w:before="270" w:after="283"/>
        <w:jc w:val="left"/>
        <w:rPr>
          <w:rFonts w:ascii="sans-serif" w:hAnsi="sans-serif"/>
          <w:b/>
          <w:i/>
          <w:color w:val="000000"/>
          <w:sz w:val="20"/>
        </w:rPr>
      </w:pPr>
      <w:r>
        <w:rPr>
          <w:rFonts w:ascii="sans-serif" w:hAnsi="sans-serif"/>
          <w:b/>
          <w:i/>
          <w:color w:val="000000"/>
          <w:sz w:val="20"/>
        </w:rPr>
        <w:t>UX143 (setrusumab) for the treatment of Osteogenesis Imperfecta, or OI</w:t>
      </w:r>
    </w:p>
    <w:p>
      <w:pPr>
        <w:pStyle w:val="TextBody"/>
        <w:bidi w:val="0"/>
        <w:spacing w:before="80" w:after="283"/>
        <w:jc w:val="left"/>
        <w:rPr>
          <w:rFonts w:ascii="Times New Roman" w:hAnsi="Times New Roman"/>
          <w:sz w:val="20"/>
        </w:rPr>
      </w:pPr>
      <w:r>
        <w:rPr>
          <w:rFonts w:ascii="sans-serif" w:hAnsi="sans-serif"/>
          <w:color w:val="000000"/>
          <w:sz w:val="20"/>
        </w:rPr>
        <w:t xml:space="preserve">UX143 is a fully human monoclonal antibody administered by IV that inhibits sclerostin, a protein that acts on a key bone-signaling pathway by inhibiting the activity of bone-forming cells and promoting bone resorption. UX143 is being developed for the treatment of OI, or brittle bone disease, which is caused by variants in the </w:t>
      </w:r>
      <w:r>
        <w:rPr>
          <w:rFonts w:ascii="sans-serif" w:hAnsi="sans-serif"/>
          <w:i/>
          <w:color w:val="000000"/>
          <w:sz w:val="20"/>
        </w:rPr>
        <w:t>COL1A1</w:t>
      </w:r>
      <w:r>
        <w:rPr>
          <w:rFonts w:ascii="Times New Roman" w:hAnsi="Times New Roman"/>
          <w:color w:val="000000"/>
          <w:sz w:val="20"/>
        </w:rPr>
        <w:t xml:space="preserve"> </w:t>
      </w:r>
      <w:r>
        <w:rPr>
          <w:rFonts w:ascii="sans-serif" w:hAnsi="sans-serif"/>
          <w:color w:val="000000"/>
          <w:sz w:val="20"/>
        </w:rPr>
        <w:t xml:space="preserve">or </w:t>
      </w:r>
      <w:r>
        <w:rPr>
          <w:rFonts w:ascii="sans-serif" w:hAnsi="sans-serif"/>
          <w:i/>
          <w:color w:val="000000"/>
          <w:sz w:val="20"/>
        </w:rPr>
        <w:t>COL1A2</w:t>
      </w:r>
      <w:r>
        <w:rPr>
          <w:rFonts w:ascii="Times New Roman" w:hAnsi="Times New Roman"/>
          <w:color w:val="000000"/>
          <w:sz w:val="20"/>
        </w:rPr>
        <w:t xml:space="preserve"> </w:t>
      </w:r>
      <w:r>
        <w:rPr>
          <w:rFonts w:ascii="sans-serif" w:hAnsi="sans-serif"/>
          <w:color w:val="000000"/>
          <w:sz w:val="20"/>
        </w:rPr>
        <w:t>genes, leading to either reduced or abnormal collagen and changes in bone metabolism. There are an estimated 60,000 patients in the developed world affected by OI. UX143 has received orphan drug designation from the FDA and EMA Rare Pediatric Disease designation and Breakthrough Therapy Designation from the FDA, and was accepted into the EMA’s Priority Medicines, or PRIME, program. UX143 is subject to our collaboration agreement with Mereo.</w:t>
      </w:r>
    </w:p>
    <w:p>
      <w:pPr>
        <w:pStyle w:val="TextBody"/>
        <w:bidi w:val="0"/>
        <w:jc w:val="center"/>
        <w:rPr>
          <w:rFonts w:ascii="sans-serif" w:hAnsi="sans-serif"/>
          <w:color w:val="000000"/>
          <w:sz w:val="20"/>
        </w:rPr>
      </w:pPr>
      <w:r>
        <w:rPr>
          <w:rFonts w:ascii="sans-serif" w:hAnsi="sans-serif"/>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sans-serif" w:hAnsi="sans-serif"/>
          <w:b/>
          <w:color w:val="000000"/>
          <w:sz w:val="20"/>
        </w:rPr>
      </w:pPr>
      <w:r>
        <w:rPr>
          <w:rFonts w:ascii="sans-serif" w:hAnsi="sans-serif"/>
          <w:b/>
          <w:color w:val="000000"/>
          <w:sz w:val="20"/>
        </w:rPr>
        <w:t>Milestones and Upcoming Catalysts</w:t>
      </w:r>
    </w:p>
    <w:p>
      <w:pPr>
        <w:pStyle w:val="TextBody"/>
        <w:bidi w:val="0"/>
        <w:spacing w:before="270" w:after="283"/>
        <w:jc w:val="left"/>
        <w:rPr>
          <w:rFonts w:ascii="sans-serif" w:hAnsi="sans-serif"/>
          <w:b/>
          <w:i/>
          <w:color w:val="000000"/>
          <w:sz w:val="20"/>
        </w:rPr>
      </w:pPr>
      <w:r>
        <w:rPr>
          <w:rFonts w:ascii="sans-serif" w:hAnsi="sans-serif"/>
          <w:b/>
          <w:i/>
          <w:color w:val="000000"/>
          <w:sz w:val="20"/>
        </w:rPr>
        <w:t>Dojolvi for the treatment of LC-FAOD</w:t>
      </w:r>
    </w:p>
    <w:p>
      <w:pPr>
        <w:pStyle w:val="TextBody"/>
        <w:bidi w:val="0"/>
        <w:spacing w:before="80" w:after="283"/>
        <w:jc w:val="left"/>
        <w:rPr>
          <w:rFonts w:ascii="sans-serif" w:hAnsi="sans-serif"/>
          <w:color w:val="000000"/>
          <w:sz w:val="20"/>
        </w:rPr>
      </w:pPr>
      <w:r>
        <w:rPr>
          <w:rFonts w:ascii="sans-serif" w:hAnsi="sans-serif"/>
          <w:color w:val="000000"/>
          <w:sz w:val="20"/>
        </w:rPr>
        <w:t>In May 2026, we announced that Dojolvi was listed on the National Health Insurance (NHI) drug price list and was officially launched in Japan following the receipt of manufacturing and marketing approval under the Conditional Approval System for Pharmaceuticals on March 23, 2026.</w:t>
      </w:r>
    </w:p>
    <w:p>
      <w:pPr>
        <w:pStyle w:val="TextBody"/>
        <w:bidi w:val="0"/>
        <w:spacing w:before="270" w:after="283"/>
        <w:jc w:val="left"/>
        <w:rPr>
          <w:rFonts w:ascii="sans-serif" w:hAnsi="sans-serif"/>
          <w:b/>
          <w:i/>
          <w:color w:val="000000"/>
          <w:sz w:val="20"/>
        </w:rPr>
      </w:pPr>
      <w:r>
        <w:rPr>
          <w:rFonts w:ascii="sans-serif" w:hAnsi="sans-serif"/>
          <w:b/>
          <w:i/>
          <w:color w:val="000000"/>
          <w:sz w:val="20"/>
        </w:rPr>
        <w:t>DTX401 for the treatment of GSDIa</w:t>
      </w:r>
    </w:p>
    <w:p>
      <w:pPr>
        <w:pStyle w:val="TextBody"/>
        <w:bidi w:val="0"/>
        <w:spacing w:before="80" w:after="283"/>
        <w:jc w:val="left"/>
        <w:rPr>
          <w:rFonts w:ascii="sans-serif" w:hAnsi="sans-serif"/>
          <w:color w:val="000000"/>
          <w:sz w:val="20"/>
        </w:rPr>
      </w:pPr>
      <w:r>
        <w:rPr>
          <w:rFonts w:ascii="sans-serif" w:hAnsi="sans-serif"/>
          <w:color w:val="000000"/>
          <w:sz w:val="20"/>
        </w:rPr>
        <w:t>In February 2026, we announced that the FDA has accepted for review the Biologics License Application, or BLA, seeking approval of DTX401 for the treatment of Glycogen Storage Disease Type Ia (GSDIa). The FDA granted the BLA Priority Review and assigned a Prescription Drug User Fee Act (PDUFA) action date of August 23, 2026. The FDA previously informed the Company, in April 2026, that an Advisory Committee meeting was not anticipated.</w:t>
      </w:r>
    </w:p>
    <w:p>
      <w:pPr>
        <w:pStyle w:val="TextBody"/>
        <w:bidi w:val="0"/>
        <w:spacing w:before="270" w:after="283"/>
        <w:jc w:val="left"/>
        <w:rPr>
          <w:rFonts w:ascii="sans-serif" w:hAnsi="sans-serif"/>
          <w:b/>
          <w:i/>
          <w:color w:val="000000"/>
          <w:sz w:val="20"/>
        </w:rPr>
      </w:pPr>
      <w:r>
        <w:rPr>
          <w:rFonts w:ascii="sans-serif" w:hAnsi="sans-serif"/>
          <w:b/>
          <w:i/>
          <w:color w:val="000000"/>
          <w:sz w:val="20"/>
        </w:rPr>
        <w:t>UX111 for the treatment of MPS IIIA</w:t>
      </w:r>
    </w:p>
    <w:p>
      <w:pPr>
        <w:pStyle w:val="TextBody"/>
        <w:bidi w:val="0"/>
        <w:spacing w:before="80" w:after="283"/>
        <w:jc w:val="left"/>
        <w:rPr>
          <w:rFonts w:ascii="sans-serif" w:hAnsi="sans-serif"/>
          <w:color w:val="000000"/>
          <w:sz w:val="20"/>
        </w:rPr>
      </w:pPr>
      <w:r>
        <w:rPr>
          <w:rFonts w:ascii="sans-serif" w:hAnsi="sans-serif"/>
          <w:color w:val="000000"/>
          <w:sz w:val="20"/>
        </w:rPr>
        <w:t>In April 2026, we announced that the FDA had accepted our resubmitted BLA seeking accelerated approval for UX111 as a treatment for patients with Sanfilippo syndrome Type A. The FDA granted the BLA Priority Review and assigned a PDUFA action date of September 19, 2026.</w:t>
      </w:r>
    </w:p>
    <w:p>
      <w:pPr>
        <w:pStyle w:val="TextBody"/>
        <w:bidi w:val="0"/>
        <w:spacing w:before="270" w:after="283"/>
        <w:jc w:val="left"/>
        <w:rPr>
          <w:rFonts w:ascii="sans-serif" w:hAnsi="sans-serif"/>
          <w:b/>
          <w:i/>
          <w:color w:val="000000"/>
          <w:sz w:val="20"/>
        </w:rPr>
      </w:pPr>
      <w:r>
        <w:rPr>
          <w:rFonts w:ascii="sans-serif" w:hAnsi="sans-serif"/>
          <w:b/>
          <w:i/>
          <w:color w:val="000000"/>
          <w:sz w:val="20"/>
        </w:rPr>
        <w:t>GTX-102 for the treatment of Angelman Syndrome</w:t>
      </w:r>
    </w:p>
    <w:p>
      <w:pPr>
        <w:pStyle w:val="TextBody"/>
        <w:bidi w:val="0"/>
        <w:spacing w:before="80" w:after="283"/>
        <w:jc w:val="left"/>
        <w:rPr>
          <w:rFonts w:ascii="Times New Roman" w:hAnsi="Times New Roman"/>
          <w:sz w:val="20"/>
        </w:rPr>
      </w:pPr>
      <w:r>
        <w:rPr>
          <w:rFonts w:ascii="sans-serif" w:hAnsi="sans-serif"/>
          <w:color w:val="000000"/>
          <w:sz w:val="20"/>
        </w:rPr>
        <w:t xml:space="preserve">In July 2025, we announced that all patients have been enrolled in the 48-week Phase 3 </w:t>
      </w:r>
      <w:r>
        <w:rPr>
          <w:rFonts w:ascii="sans-serif" w:hAnsi="sans-serif"/>
          <w:i/>
          <w:color w:val="000000"/>
          <w:sz w:val="20"/>
        </w:rPr>
        <w:t>Aspire</w:t>
      </w:r>
      <w:r>
        <w:rPr>
          <w:rFonts w:ascii="Times New Roman" w:hAnsi="Times New Roman"/>
          <w:color w:val="000000"/>
          <w:sz w:val="20"/>
        </w:rPr>
        <w:t xml:space="preserve"> </w:t>
      </w:r>
      <w:r>
        <w:rPr>
          <w:rFonts w:ascii="sans-serif" w:hAnsi="sans-serif"/>
          <w:color w:val="000000"/>
          <w:sz w:val="20"/>
        </w:rPr>
        <w:t xml:space="preserve">study, our pivotal study evaluating patients with Angelman syndrome. In total, 129 patients, between four and 17 years of age, with a full maternal </w:t>
      </w:r>
      <w:r>
        <w:rPr>
          <w:rFonts w:ascii="sans-serif" w:hAnsi="sans-serif"/>
          <w:i/>
          <w:color w:val="000000"/>
          <w:sz w:val="20"/>
        </w:rPr>
        <w:t>UBE3A</w:t>
      </w:r>
      <w:r>
        <w:rPr>
          <w:rFonts w:ascii="Times New Roman" w:hAnsi="Times New Roman"/>
          <w:color w:val="000000"/>
          <w:sz w:val="20"/>
        </w:rPr>
        <w:t xml:space="preserve"> </w:t>
      </w:r>
      <w:r>
        <w:rPr>
          <w:rFonts w:ascii="sans-serif" w:hAnsi="sans-serif"/>
          <w:color w:val="000000"/>
          <w:sz w:val="20"/>
        </w:rPr>
        <w:t>gene deletion were enrolled and randomized 1:1 to the GTX-102 or the sham comparator group. Data from this study are expected in the September or October 2026 timeframe.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sans-serif" w:hAnsi="sans-serif"/>
          <w:color w:val="000000"/>
          <w:sz w:val="20"/>
        </w:rPr>
        <w:t xml:space="preserve">In October 2025, we announced enrollment had begun in the Phase 2/3 </w:t>
      </w:r>
      <w:r>
        <w:rPr>
          <w:rFonts w:ascii="sans-serif" w:hAnsi="sans-serif"/>
          <w:i/>
          <w:color w:val="000000"/>
          <w:sz w:val="20"/>
        </w:rPr>
        <w:t>Aurora</w:t>
      </w:r>
      <w:r>
        <w:rPr>
          <w:rFonts w:ascii="Times New Roman" w:hAnsi="Times New Roman"/>
          <w:color w:val="000000"/>
          <w:sz w:val="20"/>
        </w:rPr>
        <w:t xml:space="preserve"> </w:t>
      </w:r>
      <w:r>
        <w:rPr>
          <w:rFonts w:ascii="sans-serif" w:hAnsi="sans-serif"/>
          <w:color w:val="000000"/>
          <w:sz w:val="20"/>
        </w:rPr>
        <w:t>study, which evaluates GTX-102 in other Angelman syndrome genotypes and ages. Enrollment in the study continued to progress during the first half of 2026 and is expected to be completed in the second half of 2026.</w:t>
      </w:r>
    </w:p>
    <w:p>
      <w:pPr>
        <w:pStyle w:val="TextBody"/>
        <w:bidi w:val="0"/>
        <w:spacing w:before="270" w:after="283"/>
        <w:jc w:val="left"/>
        <w:rPr>
          <w:rFonts w:ascii="Times New Roman" w:hAnsi="Times New Roman"/>
          <w:sz w:val="20"/>
        </w:rPr>
      </w:pPr>
      <w:r>
        <w:rPr>
          <w:rFonts w:ascii="sans-serif" w:hAnsi="sans-serif"/>
          <w:b/>
          <w:i/>
          <w:color w:val="000000"/>
          <w:sz w:val="20"/>
        </w:rPr>
        <w:t>UX701 for the treatment of Wilson disease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sans-serif" w:hAnsi="sans-serif"/>
          <w:color w:val="000000"/>
          <w:sz w:val="20"/>
        </w:rPr>
        <w:t xml:space="preserve">In September 2025, we completed enrollment of five patients in Cohort 4 in the ongoing, dose-finding, stage of the pivotal </w:t>
      </w:r>
      <w:r>
        <w:rPr>
          <w:rFonts w:ascii="sans-serif" w:hAnsi="sans-serif"/>
          <w:i/>
          <w:color w:val="000000"/>
          <w:sz w:val="20"/>
        </w:rPr>
        <w:t xml:space="preserve">Cyprus2+ </w:t>
      </w:r>
      <w:r>
        <w:rPr>
          <w:rFonts w:ascii="sans-serif" w:hAnsi="sans-serif"/>
          <w:color w:val="000000"/>
          <w:sz w:val="20"/>
        </w:rPr>
        <w:t>study of UX701 for the treatment of Wilson disease. During Stage 1, the safety and efficacy of UX701 is being evaluated across four, sequential dosing cohorts (Cohort 1; 5.0 x 10^12 GC/kg; Cohort 2: 1.0 x 10^13 GC/kg: Cohort 3; 2.0 x 10^13 GC/kg and Cohort 4; 4.0 x 10^13 GC/kg). Data from Stage 1 of this study are expected in the fourth quarter of 2026.</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sans-serif" w:hAnsi="sans-serif"/>
          <w:b/>
          <w:i/>
          <w:color w:val="000000"/>
          <w:sz w:val="20"/>
        </w:rPr>
        <w:t>UX016 for the treatment of GNE Myopathy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sans-serif" w:hAnsi="sans-serif"/>
          <w:color w:val="000000"/>
          <w:sz w:val="20"/>
        </w:rPr>
        <w:t>In March 2026, we announced that the FDA cleared our Investigational New Drug, or IND, application for UX016, an investigational small molecule prodrug of sialic acid, or SA, that is being evaluated as a substrate replacement therapy for GNE myopathy. The UX016 program is funded through clinical proof-of-concept by an external venture philanthropy agreement with a patient group, which includes the Phase 1/2 study that is expected to begin enrolling in the second half of 2026.</w:t>
      </w:r>
      <w:r>
        <w:rPr>
          <w:rFonts w:ascii="Times New Roman" w:hAnsi="Times New Roman"/>
          <w:color w:val="000000"/>
          <w:sz w:val="20"/>
        </w:rPr>
        <w:t xml:space="preserve"> </w:t>
      </w:r>
    </w:p>
    <w:p>
      <w:pPr>
        <w:pStyle w:val="TextBody"/>
        <w:bidi w:val="0"/>
        <w:spacing w:before="270" w:after="283"/>
        <w:jc w:val="left"/>
        <w:rPr>
          <w:rFonts w:ascii="sans-serif" w:hAnsi="sans-serif"/>
          <w:b/>
          <w:i/>
          <w:color w:val="000000"/>
          <w:sz w:val="20"/>
        </w:rPr>
      </w:pPr>
      <w:r>
        <w:rPr>
          <w:rFonts w:ascii="sans-serif" w:hAnsi="sans-serif"/>
          <w:b/>
          <w:i/>
          <w:color w:val="000000"/>
          <w:sz w:val="20"/>
        </w:rPr>
        <w:t>DTX301 for the treatment of OTC deficiency</w:t>
      </w:r>
    </w:p>
    <w:p>
      <w:pPr>
        <w:pStyle w:val="TextBody"/>
        <w:bidi w:val="0"/>
        <w:spacing w:before="80" w:after="283"/>
        <w:jc w:val="left"/>
        <w:rPr>
          <w:rFonts w:ascii="Times New Roman" w:hAnsi="Times New Roman"/>
          <w:sz w:val="20"/>
        </w:rPr>
      </w:pPr>
      <w:r>
        <w:rPr>
          <w:rFonts w:ascii="sans-serif" w:hAnsi="sans-serif"/>
          <w:color w:val="000000"/>
          <w:sz w:val="20"/>
        </w:rPr>
        <w:t xml:space="preserve">The Phase 3 </w:t>
      </w:r>
      <w:r>
        <w:rPr>
          <w:rFonts w:ascii="sans-serif" w:hAnsi="sans-serif"/>
          <w:i/>
          <w:color w:val="000000"/>
          <w:sz w:val="20"/>
        </w:rPr>
        <w:t>Enh3ance</w:t>
      </w:r>
      <w:r>
        <w:rPr>
          <w:rFonts w:ascii="Times New Roman" w:hAnsi="Times New Roman"/>
          <w:color w:val="000000"/>
          <w:sz w:val="20"/>
        </w:rPr>
        <w:t xml:space="preserve"> </w:t>
      </w:r>
      <w:r>
        <w:rPr>
          <w:rFonts w:ascii="sans-serif" w:hAnsi="sans-serif"/>
          <w:color w:val="000000"/>
          <w:sz w:val="20"/>
        </w:rPr>
        <w:t>study continues with patients in both treatment and placebo-crossover groups progressing through 64 weeks of follow-up. Data from the second primary endpoint, which evaluates reduction in treatment burden, including use of ammonia scavengers and dietary management, across both the treatment and placebo-crossover groups following treatment with DTX301, are expected in the first half of 2027.</w:t>
      </w:r>
    </w:p>
    <w:p>
      <w:pPr>
        <w:pStyle w:val="TextBody"/>
        <w:bidi w:val="0"/>
        <w:spacing w:before="270" w:after="283"/>
        <w:jc w:val="left"/>
        <w:rPr>
          <w:rFonts w:ascii="sans-serif" w:hAnsi="sans-serif"/>
          <w:b/>
          <w:i/>
          <w:color w:val="000000"/>
          <w:sz w:val="20"/>
        </w:rPr>
      </w:pPr>
      <w:r>
        <w:rPr>
          <w:rFonts w:ascii="sans-serif" w:hAnsi="sans-serif"/>
          <w:b/>
          <w:i/>
          <w:color w:val="000000"/>
          <w:sz w:val="20"/>
        </w:rPr>
        <w:t>UX143 for the treatment of OI</w:t>
      </w:r>
    </w:p>
    <w:p>
      <w:pPr>
        <w:pStyle w:val="TextBody"/>
        <w:bidi w:val="0"/>
        <w:spacing w:before="80" w:after="283"/>
        <w:jc w:val="left"/>
        <w:rPr>
          <w:rFonts w:ascii="Times New Roman" w:hAnsi="Times New Roman"/>
          <w:sz w:val="20"/>
        </w:rPr>
      </w:pPr>
      <w:r>
        <w:rPr>
          <w:rFonts w:ascii="sans-serif" w:hAnsi="sans-serif"/>
          <w:color w:val="000000"/>
          <w:sz w:val="20"/>
        </w:rPr>
        <w:t xml:space="preserve">In December 2025, we announced that the Phase 3 </w:t>
      </w:r>
      <w:r>
        <w:rPr>
          <w:rFonts w:ascii="sans-serif" w:hAnsi="sans-serif"/>
          <w:i/>
          <w:color w:val="000000"/>
          <w:sz w:val="20"/>
        </w:rPr>
        <w:t>Orbit</w:t>
      </w:r>
      <w:r>
        <w:rPr>
          <w:rFonts w:ascii="Times New Roman" w:hAnsi="Times New Roman"/>
          <w:color w:val="000000"/>
          <w:sz w:val="20"/>
        </w:rPr>
        <w:t xml:space="preserve"> </w:t>
      </w:r>
      <w:r>
        <w:rPr>
          <w:rFonts w:ascii="sans-serif" w:hAnsi="sans-serif"/>
          <w:color w:val="000000"/>
          <w:sz w:val="20"/>
        </w:rPr>
        <w:t xml:space="preserve">and </w:t>
      </w:r>
      <w:r>
        <w:rPr>
          <w:rFonts w:ascii="sans-serif" w:hAnsi="sans-serif"/>
          <w:i/>
          <w:color w:val="000000"/>
          <w:sz w:val="20"/>
        </w:rPr>
        <w:t>Cosmic</w:t>
      </w:r>
      <w:r>
        <w:rPr>
          <w:rFonts w:ascii="Times New Roman" w:hAnsi="Times New Roman"/>
          <w:color w:val="000000"/>
          <w:sz w:val="20"/>
        </w:rPr>
        <w:t xml:space="preserve"> </w:t>
      </w:r>
      <w:r>
        <w:rPr>
          <w:rFonts w:ascii="sans-serif" w:hAnsi="sans-serif"/>
          <w:color w:val="000000"/>
          <w:sz w:val="20"/>
        </w:rPr>
        <w:t>studies did not achieve their primary endpoint of reduction in annualized clinical fracture rate compared to placebo (</w:t>
      </w:r>
      <w:r>
        <w:rPr>
          <w:rFonts w:ascii="sans-serif" w:hAnsi="sans-serif"/>
          <w:i/>
          <w:color w:val="000000"/>
          <w:sz w:val="20"/>
        </w:rPr>
        <w:t>Orbit</w:t>
      </w:r>
      <w:r>
        <w:rPr>
          <w:rFonts w:ascii="sans-serif" w:hAnsi="sans-serif"/>
          <w:color w:val="000000"/>
          <w:sz w:val="20"/>
        </w:rPr>
        <w:t>) or bisphosphonates (</w:t>
      </w:r>
      <w:r>
        <w:rPr>
          <w:rFonts w:ascii="sans-serif" w:hAnsi="sans-serif"/>
          <w:i/>
          <w:color w:val="000000"/>
          <w:sz w:val="20"/>
        </w:rPr>
        <w:t>Cosmic</w:t>
      </w:r>
      <w:r>
        <w:rPr>
          <w:rFonts w:ascii="sans-serif" w:hAnsi="sans-serif"/>
          <w:color w:val="000000"/>
          <w:sz w:val="20"/>
        </w:rPr>
        <w:t>).</w:t>
      </w:r>
    </w:p>
    <w:p>
      <w:pPr>
        <w:pStyle w:val="TextBody"/>
        <w:bidi w:val="0"/>
        <w:spacing w:before="90" w:after="283"/>
        <w:jc w:val="left"/>
        <w:rPr>
          <w:rFonts w:ascii="sans-serif" w:hAnsi="sans-serif"/>
          <w:color w:val="000000"/>
          <w:sz w:val="20"/>
        </w:rPr>
      </w:pPr>
      <w:r>
        <w:rPr>
          <w:rFonts w:ascii="sans-serif" w:hAnsi="sans-serif"/>
          <w:color w:val="000000"/>
          <w:sz w:val="20"/>
        </w:rPr>
        <w:t>In January 2026, topline safety and efficacy data from both studies were presented and included data on bone mineral density, vertebral fractures, and patient reported outcomes on pain and physical function. We believe the data across two global Phase 3 studies suggest that setrusumab has a meaningful effect on bone disease in OI. We will continue to engage regulatory agencies to determine the necessary data to support a regulatory filing and if there is a potential path forward for UX143.</w:t>
      </w:r>
    </w:p>
    <w:p>
      <w:pPr>
        <w:pStyle w:val="TextBody"/>
        <w:bidi w:val="0"/>
        <w:jc w:val="center"/>
        <w:rPr>
          <w:rFonts w:ascii="sans-serif" w:hAnsi="sans-serif"/>
          <w:color w:val="000000"/>
          <w:sz w:val="20"/>
        </w:rPr>
      </w:pPr>
      <w:r>
        <w:rPr>
          <w:rFonts w:ascii="sans-serif" w:hAnsi="sans-serif"/>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br/>
      </w:r>
      <w:r>
        <w:rPr>
          <w:rFonts w:ascii="sans-serif" w:hAnsi="sans-serif"/>
          <w:b/>
          <w:color w:val="000000"/>
          <w:sz w:val="20"/>
        </w:rPr>
        <w:t>Financial Operations Overview</w:t>
      </w:r>
    </w:p>
    <w:p>
      <w:pPr>
        <w:pStyle w:val="TextBody"/>
        <w:bidi w:val="0"/>
        <w:spacing w:before="90" w:after="283"/>
        <w:jc w:val="left"/>
        <w:rPr>
          <w:rFonts w:ascii="sans-serif" w:hAnsi="sans-serif"/>
          <w:color w:val="000000"/>
          <w:sz w:val="20"/>
        </w:rPr>
      </w:pPr>
      <w:r>
        <w:rPr>
          <w:rFonts w:ascii="sans-serif" w:hAnsi="sans-serif"/>
          <w:color w:val="000000"/>
          <w:sz w:val="20"/>
        </w:rPr>
        <w:t>We are a biopharmaceutical company with a limited operating history. To date, we have invested substantially all of our efforts and financial resources in identifying, acquiring, and developing our products and product candidates, including conducting clinical studies and providing selling, general and administrative support for these operations. To date, we have funded our operations primarily from the sale of our equity securities, revenues from our commercial products, the sale of certain future royalties, and strategic collaboration arrangements.</w:t>
      </w:r>
    </w:p>
    <w:p>
      <w:pPr>
        <w:pStyle w:val="TextBody"/>
        <w:bidi w:val="0"/>
        <w:spacing w:before="90" w:after="283"/>
        <w:jc w:val="left"/>
        <w:rPr>
          <w:rFonts w:ascii="sans-serif" w:hAnsi="sans-serif"/>
          <w:color w:val="000000"/>
          <w:sz w:val="20"/>
        </w:rPr>
      </w:pPr>
      <w:r>
        <w:rPr>
          <w:rFonts w:ascii="sans-serif" w:hAnsi="sans-serif"/>
          <w:color w:val="000000"/>
          <w:sz w:val="20"/>
        </w:rPr>
        <w:t>We have incurred net losses in each year since inception. Our net losses were $92 million and $277 million for the three and six months ended June 30, 2026, respectively and $115 million and $266 million for the three and six months ended June 30, 2025, respectively. Substantially all of our net losses have resulted from costs incurred in connection with our research and development programs and from selling, general and administrative costs associated with our operations.</w:t>
      </w:r>
    </w:p>
    <w:p>
      <w:pPr>
        <w:pStyle w:val="TextBody"/>
        <w:bidi w:val="0"/>
        <w:spacing w:before="90" w:after="283"/>
        <w:jc w:val="left"/>
        <w:rPr>
          <w:rFonts w:ascii="Times New Roman" w:hAnsi="Times New Roman"/>
          <w:sz w:val="20"/>
        </w:rPr>
      </w:pPr>
      <w:r>
        <w:rPr>
          <w:rFonts w:ascii="sans-serif" w:hAnsi="sans-serif"/>
          <w:color w:val="000000"/>
          <w:sz w:val="20"/>
        </w:rPr>
        <w:t>Our total revenues were $214 million and $350 million for the three and six months ended June 30, 2026, respectively, and $167 million and $306 million for the six months ended June 30, 2025, respectively. The increase in revenue was largely driven by an increase in demand for our approved products, as well as timing of shipments.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In February 2026, we implemented a strategic restructuring plan designed to reduce operating expenses and focus resources on our highest value drivers, including a reduction in workforce of approximately 10% and the curtailment of certain operating activities, including UX143 manufacturing activities. During the three and six months ended June 30, 2026, we recognized total restructuring charges of nil and $28 million, respectively, in research and development expense and nil and $2 million, respectively in selling, general and administrative expenses in our Condensed Consolidated Statements of Operations. All expected cash payments related to the restructuring were completed during the six months ended June 30, 2026. See “Note 13. Restructuring Expense” to the financial statements for additional information.</w:t>
      </w:r>
    </w:p>
    <w:p>
      <w:pPr>
        <w:pStyle w:val="TextBody"/>
        <w:bidi w:val="0"/>
        <w:spacing w:before="90" w:after="283"/>
        <w:jc w:val="left"/>
        <w:rPr>
          <w:rFonts w:ascii="sans-serif" w:hAnsi="sans-serif"/>
          <w:color w:val="000000"/>
          <w:sz w:val="20"/>
        </w:rPr>
      </w:pPr>
      <w:r>
        <w:rPr>
          <w:rFonts w:ascii="sans-serif" w:hAnsi="sans-serif"/>
          <w:color w:val="000000"/>
          <w:sz w:val="20"/>
        </w:rPr>
        <w:t>As of June 30, 2026, we had $436 million in available cash, cash equivalents, and marketable securities.</w:t>
      </w:r>
    </w:p>
    <w:p>
      <w:pPr>
        <w:pStyle w:val="TextBody"/>
        <w:bidi w:val="0"/>
        <w:spacing w:before="270" w:after="283"/>
        <w:jc w:val="left"/>
        <w:rPr>
          <w:rFonts w:ascii="Times New Roman" w:hAnsi="Times New Roman"/>
          <w:sz w:val="20"/>
        </w:rPr>
      </w:pPr>
      <w:r>
        <w:rPr>
          <w:rFonts w:ascii="sans-serif" w:hAnsi="sans-serif"/>
          <w:b/>
          <w:color w:val="000000"/>
          <w:sz w:val="20"/>
        </w:rPr>
        <w:t>Critical Accounting Estimates</w:t>
      </w:r>
      <w:r>
        <w:rPr>
          <w:rFonts w:ascii="Times New Roman" w:hAnsi="Times New Roman"/>
          <w:color w:val="000000"/>
          <w:sz w:val="20"/>
        </w:rPr>
        <w:t xml:space="preserve"> </w:t>
      </w:r>
    </w:p>
    <w:p>
      <w:pPr>
        <w:pStyle w:val="TextBody"/>
        <w:bidi w:val="0"/>
        <w:spacing w:before="90" w:after="270"/>
        <w:jc w:val="left"/>
        <w:rPr>
          <w:rFonts w:ascii="sans-serif" w:hAnsi="sans-serif"/>
          <w:color w:val="000000"/>
          <w:sz w:val="20"/>
        </w:rPr>
      </w:pPr>
      <w:r>
        <w:rPr>
          <w:rFonts w:ascii="sans-serif" w:hAnsi="sans-serif"/>
          <w:color w:val="000000"/>
          <w:sz w:val="20"/>
        </w:rPr>
        <w:t>Our management’s discussion and analysis of our financial condition and results of operations is based on our Condensed Consolidated Financial Statements, which have been prepared in accordance with U.S. generally accepted accounting principles.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There have been no material changes in our critical accounting policies during the three and six months ended June 30, 2026, as compared to those disclosed in “Management’s Discussion and Analysis of Financial Condition and Results of Operations — Critical Accounting Policies and Significant Judgments and Estimates” in our Annual Report.</w:t>
      </w:r>
    </w:p>
    <w:p>
      <w:pPr>
        <w:pStyle w:val="TextBody"/>
        <w:bidi w:val="0"/>
        <w:jc w:val="left"/>
        <w:rPr>
          <w:rFonts w:ascii="Times New Roman" w:hAnsi="Times New Roman"/>
          <w:sz w:val="20"/>
        </w:rPr>
      </w:pPr>
      <w:r>
        <w:rPr>
          <w:rFonts w:ascii="sans-serif" w:hAnsi="sans-serif"/>
          <w:b/>
          <w:color w:val="000000"/>
          <w:sz w:val="20"/>
        </w:rPr>
        <w:t>Results of Operations</w:t>
      </w:r>
      <w:r>
        <w:rPr>
          <w:rFonts w:ascii="Times New Roman" w:hAnsi="Times New Roman"/>
          <w:color w:val="000000"/>
          <w:sz w:val="20"/>
        </w:rPr>
        <w:t xml:space="preserve"> </w:t>
      </w:r>
    </w:p>
    <w:p>
      <w:pPr>
        <w:pStyle w:val="TextBody"/>
        <w:bidi w:val="0"/>
        <w:spacing w:before="90" w:after="283"/>
        <w:jc w:val="left"/>
        <w:rPr>
          <w:rFonts w:ascii="sans-serif" w:hAnsi="sans-serif"/>
          <w:b/>
          <w:i/>
          <w:color w:val="000000"/>
          <w:sz w:val="20"/>
        </w:rPr>
      </w:pPr>
      <w:r>
        <w:rPr>
          <w:rFonts w:ascii="sans-serif" w:hAnsi="sans-serif"/>
          <w:b/>
          <w:i/>
          <w:color w:val="000000"/>
          <w:sz w:val="20"/>
        </w:rPr>
        <w:t>Comparison of the three and six months ended June 30, 2026 to the three and six months ended June 30, 2025:</w:t>
      </w:r>
    </w:p>
    <w:p>
      <w:pPr>
        <w:pStyle w:val="TextBody"/>
        <w:bidi w:val="0"/>
        <w:spacing w:before="90" w:after="283"/>
        <w:jc w:val="left"/>
        <w:rPr>
          <w:rFonts w:ascii="sans-serif" w:hAnsi="sans-serif"/>
          <w:i/>
          <w:color w:val="000000"/>
          <w:sz w:val="20"/>
          <w:u w:val="single"/>
        </w:rPr>
      </w:pPr>
      <w:r>
        <w:rPr>
          <w:rFonts w:ascii="sans-serif" w:hAnsi="sans-serif"/>
          <w:i/>
          <w:color w:val="000000"/>
          <w:sz w:val="20"/>
          <w:u w:val="single"/>
        </w:rPr>
        <w:t>Revenue (dollars in millions)</w:t>
      </w:r>
    </w:p>
    <w:p>
      <w:pPr>
        <w:pStyle w:val="TextBody"/>
        <w:bidi w:val="0"/>
        <w:jc w:val="left"/>
        <w:rPr/>
      </w:pPr>
      <w:r>
        <w:rPr/>
        <w:t> </w:t>
      </w:r>
    </w:p>
    <w:tbl>
      <w:tblPr>
        <w:tblW w:w="8305" w:type="dxa"/>
        <w:jc w:val="left"/>
        <w:tblInd w:w="0" w:type="dxa"/>
        <w:tblLayout w:type="fixed"/>
        <w:tblCellMar>
          <w:top w:w="28" w:type="dxa"/>
          <w:left w:w="28" w:type="dxa"/>
          <w:bottom w:w="28" w:type="dxa"/>
          <w:right w:w="28" w:type="dxa"/>
        </w:tblCellMar>
      </w:tblPr>
      <w:tblGrid>
        <w:gridCol w:w="2536"/>
        <w:gridCol w:w="386"/>
        <w:gridCol w:w="796"/>
        <w:gridCol w:w="249"/>
        <w:gridCol w:w="249"/>
        <w:gridCol w:w="386"/>
        <w:gridCol w:w="796"/>
        <w:gridCol w:w="146"/>
        <w:gridCol w:w="146"/>
        <w:gridCol w:w="314"/>
        <w:gridCol w:w="482"/>
        <w:gridCol w:w="146"/>
        <w:gridCol w:w="146"/>
        <w:gridCol w:w="236"/>
        <w:gridCol w:w="560"/>
        <w:gridCol w:w="731"/>
      </w:tblGrid>
      <w:tr>
        <w:trPr/>
        <w:tc>
          <w:tcPr>
            <w:tcW w:w="253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Product sales:</w:t>
            </w:r>
          </w:p>
        </w:tc>
        <w:tc>
          <w:tcPr>
            <w:tcW w:w="118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3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Crysvita</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253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Dojolvi</w:t>
            </w:r>
          </w:p>
        </w:tc>
        <w:tc>
          <w:tcPr>
            <w:tcW w:w="38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73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Evkeeza</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253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Mepsevii</w:t>
            </w:r>
          </w:p>
        </w:tc>
        <w:tc>
          <w:tcPr>
            <w:tcW w:w="3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73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product sales</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112</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53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Crysvita royalty revenue</w:t>
            </w:r>
          </w:p>
        </w:tc>
        <w:tc>
          <w:tcPr>
            <w:tcW w:w="3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w:t>
            </w:r>
          </w:p>
        </w:tc>
        <w:tc>
          <w:tcPr>
            <w:tcW w:w="24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731"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revenues</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90" w:after="283"/>
        <w:jc w:val="left"/>
        <w:rPr/>
      </w:pPr>
      <w:r>
        <w:rPr/>
        <w:t> </w:t>
      </w:r>
    </w:p>
    <w:p>
      <w:pPr>
        <w:pStyle w:val="TextBody"/>
        <w:bidi w:val="0"/>
        <w:jc w:val="center"/>
        <w:rPr>
          <w:rFonts w:ascii="sans-serif" w:hAnsi="sans-serif"/>
          <w:color w:val="000000"/>
          <w:sz w:val="20"/>
        </w:rPr>
      </w:pPr>
      <w:r>
        <w:rPr>
          <w:rFonts w:ascii="sans-serif" w:hAnsi="sans-serif"/>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67" w:type="dxa"/>
        <w:jc w:val="left"/>
        <w:tblInd w:w="0" w:type="dxa"/>
        <w:tblLayout w:type="fixed"/>
        <w:tblCellMar>
          <w:top w:w="28" w:type="dxa"/>
          <w:left w:w="28" w:type="dxa"/>
          <w:bottom w:w="28" w:type="dxa"/>
          <w:right w:w="28" w:type="dxa"/>
        </w:tblCellMar>
      </w:tblPr>
      <w:tblGrid>
        <w:gridCol w:w="2536"/>
        <w:gridCol w:w="354"/>
        <w:gridCol w:w="730"/>
        <w:gridCol w:w="228"/>
        <w:gridCol w:w="228"/>
        <w:gridCol w:w="354"/>
        <w:gridCol w:w="730"/>
        <w:gridCol w:w="146"/>
        <w:gridCol w:w="146"/>
        <w:gridCol w:w="314"/>
        <w:gridCol w:w="482"/>
        <w:gridCol w:w="146"/>
        <w:gridCol w:w="146"/>
        <w:gridCol w:w="236"/>
        <w:gridCol w:w="560"/>
        <w:gridCol w:w="731"/>
      </w:tblGrid>
      <w:tr>
        <w:trPr/>
        <w:tc>
          <w:tcPr>
            <w:tcW w:w="253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Product sales:</w:t>
            </w:r>
          </w:p>
        </w:tc>
        <w:tc>
          <w:tcPr>
            <w:tcW w:w="1084"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3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Crysvita</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253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Dojolvi</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73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Evkeeza</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253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Mepsevii</w:t>
            </w:r>
          </w:p>
        </w:tc>
        <w:tc>
          <w:tcPr>
            <w:tcW w:w="3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2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w:t>
            </w:r>
          </w:p>
        </w:tc>
        <w:tc>
          <w:tcPr>
            <w:tcW w:w="73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product sales</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53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Crysvita royalty revenue</w:t>
            </w:r>
          </w:p>
        </w:tc>
        <w:tc>
          <w:tcPr>
            <w:tcW w:w="3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w:t>
            </w:r>
          </w:p>
        </w:tc>
        <w:tc>
          <w:tcPr>
            <w:tcW w:w="22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731"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revenues</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350</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90" w:after="283"/>
        <w:jc w:val="left"/>
        <w:rPr>
          <w:rFonts w:ascii="sans-serif" w:hAnsi="sans-serif"/>
          <w:color w:val="000000"/>
          <w:sz w:val="20"/>
        </w:rPr>
      </w:pPr>
      <w:r>
        <w:rPr>
          <w:rFonts w:ascii="sans-serif" w:hAnsi="sans-serif"/>
          <w:color w:val="000000"/>
          <w:sz w:val="20"/>
        </w:rPr>
        <w:t>Our product sales increased for the three and six months ended June 30, 2026, as compared to the same periods in 2025. The increase was largely due to increased product sales for Crysvita, primarily in LATAM territories due to an increase in the number of patients as well as timing of shipments, and the continued expansion of Evkeeza in territories outside of the United States.</w:t>
      </w:r>
    </w:p>
    <w:p>
      <w:pPr>
        <w:pStyle w:val="TextBody"/>
        <w:bidi w:val="0"/>
        <w:spacing w:before="90" w:after="283"/>
        <w:jc w:val="left"/>
        <w:rPr>
          <w:rFonts w:ascii="sans-serif" w:hAnsi="sans-serif"/>
          <w:color w:val="000000"/>
          <w:sz w:val="20"/>
        </w:rPr>
      </w:pPr>
      <w:r>
        <w:rPr>
          <w:rFonts w:ascii="sans-serif" w:hAnsi="sans-serif"/>
          <w:color w:val="000000"/>
          <w:sz w:val="20"/>
        </w:rPr>
        <w:t>Our Crysvita royalty revenue increased for the three and six months ended June 30, 2026, as compared to the same periods in 2025. The increases were primarily due to an increase in the number of patients on therapy and timing of orders.</w:t>
      </w:r>
    </w:p>
    <w:p>
      <w:pPr>
        <w:pStyle w:val="TextBody"/>
        <w:bidi w:val="0"/>
        <w:spacing w:before="270" w:after="283"/>
        <w:jc w:val="left"/>
        <w:rPr>
          <w:rFonts w:ascii="sans-serif" w:hAnsi="sans-serif"/>
          <w:i/>
          <w:color w:val="000000"/>
          <w:sz w:val="20"/>
          <w:u w:val="single"/>
        </w:rPr>
      </w:pPr>
      <w:r>
        <w:rPr>
          <w:rFonts w:ascii="sans-serif" w:hAnsi="sans-serif"/>
          <w:i/>
          <w:color w:val="000000"/>
          <w:sz w:val="20"/>
          <w:u w:val="single"/>
        </w:rPr>
        <w:t>Cost of Sales (dollars in millions)</w:t>
      </w:r>
    </w:p>
    <w:p>
      <w:pPr>
        <w:pStyle w:val="TextBody"/>
        <w:bidi w:val="0"/>
        <w:jc w:val="left"/>
        <w:rPr/>
      </w:pPr>
      <w:r>
        <w:rPr/>
        <w:t> </w:t>
      </w:r>
    </w:p>
    <w:tbl>
      <w:tblPr>
        <w:tblW w:w="6752" w:type="dxa"/>
        <w:jc w:val="left"/>
        <w:tblInd w:w="0" w:type="dxa"/>
        <w:tblLayout w:type="fixed"/>
        <w:tblCellMar>
          <w:top w:w="28" w:type="dxa"/>
          <w:left w:w="28" w:type="dxa"/>
          <w:bottom w:w="28" w:type="dxa"/>
          <w:right w:w="28" w:type="dxa"/>
        </w:tblCellMar>
      </w:tblPr>
      <w:tblGrid>
        <w:gridCol w:w="1381"/>
        <w:gridCol w:w="451"/>
        <w:gridCol w:w="690"/>
        <w:gridCol w:w="291"/>
        <w:gridCol w:w="291"/>
        <w:gridCol w:w="451"/>
        <w:gridCol w:w="690"/>
        <w:gridCol w:w="146"/>
        <w:gridCol w:w="146"/>
        <w:gridCol w:w="314"/>
        <w:gridCol w:w="482"/>
        <w:gridCol w:w="146"/>
        <w:gridCol w:w="146"/>
        <w:gridCol w:w="236"/>
        <w:gridCol w:w="560"/>
        <w:gridCol w:w="331"/>
      </w:tblGrid>
      <w:tr>
        <w:trPr/>
        <w:tc>
          <w:tcPr>
            <w:tcW w:w="13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sales</w:t>
            </w:r>
          </w:p>
        </w:tc>
        <w:tc>
          <w:tcPr>
            <w:tcW w:w="45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tbl>
      <w:tblPr>
        <w:tblW w:w="6510" w:type="dxa"/>
        <w:jc w:val="left"/>
        <w:tblInd w:w="0" w:type="dxa"/>
        <w:tblLayout w:type="fixed"/>
        <w:tblCellMar>
          <w:top w:w="28" w:type="dxa"/>
          <w:left w:w="28" w:type="dxa"/>
          <w:bottom w:w="28" w:type="dxa"/>
          <w:right w:w="28" w:type="dxa"/>
        </w:tblCellMar>
      </w:tblPr>
      <w:tblGrid>
        <w:gridCol w:w="1381"/>
        <w:gridCol w:w="413"/>
        <w:gridCol w:w="632"/>
        <w:gridCol w:w="266"/>
        <w:gridCol w:w="266"/>
        <w:gridCol w:w="413"/>
        <w:gridCol w:w="632"/>
        <w:gridCol w:w="146"/>
        <w:gridCol w:w="146"/>
        <w:gridCol w:w="314"/>
        <w:gridCol w:w="482"/>
        <w:gridCol w:w="146"/>
        <w:gridCol w:w="146"/>
        <w:gridCol w:w="236"/>
        <w:gridCol w:w="560"/>
        <w:gridCol w:w="331"/>
      </w:tblGrid>
      <w:tr>
        <w:trPr/>
        <w:tc>
          <w:tcPr>
            <w:tcW w:w="138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sales</w:t>
            </w:r>
          </w:p>
        </w:tc>
        <w:tc>
          <w:tcPr>
            <w:tcW w:w="413"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90" w:after="283"/>
        <w:jc w:val="left"/>
        <w:rPr>
          <w:rFonts w:ascii="sans-serif" w:hAnsi="sans-serif"/>
          <w:color w:val="000000"/>
          <w:sz w:val="20"/>
        </w:rPr>
      </w:pPr>
      <w:r>
        <w:rPr>
          <w:rFonts w:ascii="sans-serif" w:hAnsi="sans-serif"/>
          <w:color w:val="000000"/>
          <w:sz w:val="20"/>
        </w:rPr>
        <w:t>Cost of sales increased for the three and six months ended June 30, 2026, as compared to the same periods in 2025 primarily due to increased Crysvita product sales in LATAM and Evkeeza product sales in territories outside of the United States.</w:t>
      </w:r>
    </w:p>
    <w:p>
      <w:pPr>
        <w:pStyle w:val="TextBody"/>
        <w:bidi w:val="0"/>
        <w:spacing w:before="270" w:after="283"/>
        <w:jc w:val="left"/>
        <w:rPr>
          <w:rFonts w:ascii="sans-serif" w:hAnsi="sans-serif"/>
          <w:i/>
          <w:color w:val="000000"/>
          <w:sz w:val="20"/>
          <w:u w:val="single"/>
        </w:rPr>
      </w:pPr>
      <w:r>
        <w:rPr>
          <w:rFonts w:ascii="sans-serif" w:hAnsi="sans-serif"/>
          <w:i/>
          <w:color w:val="000000"/>
          <w:sz w:val="20"/>
          <w:u w:val="single"/>
        </w:rPr>
        <w:t>Research and Development Expenses (dollars in millions)</w:t>
      </w:r>
    </w:p>
    <w:p>
      <w:pPr>
        <w:pStyle w:val="TextBody"/>
        <w:bidi w:val="0"/>
        <w:spacing w:before="90" w:after="283"/>
        <w:jc w:val="left"/>
        <w:rPr>
          <w:rFonts w:ascii="Times New Roman" w:hAnsi="Times New Roman"/>
          <w:sz w:val="20"/>
        </w:rPr>
      </w:pPr>
      <w:r>
        <w:rPr>
          <w:rFonts w:ascii="sans-serif" w:hAnsi="sans-serif"/>
          <w:color w:val="000000"/>
          <w:sz w:val="20"/>
        </w:rPr>
        <w:t>Research and development expenses include internal and external costs incurred for research and development of our programs and program candidates and expenses related to certain technology that we acquire or license through business development transactions. These expenses consist primarily of clinical studies performed by contract research organizations, manufacturing of drug substance and drug product performed by contract manufacturing organizations and at our gene therapy manufacturing facility, materials and supplies, fees from collaborative and other arrangements including milestones, licenses and other fees, personnel costs including salaries, benefits and stock-based compensation, and overhead allocations consisting of various support and infrastructure costs.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Clinical programs include study conduct and manufacturing costs related to clinical program candidates. Translational research includes costs for preclinical study work and costs related to preclinical programs prior to IND filing. Upfront license, acquisition, and milestone fees include any significant expenses related to strategic licensing agreements. Approved products include costs for disease monitoring programs for post-marketing clinical studies, medical affairs activities to support scientific discovery efforts on existing programs, and regulatory costs for unapproved regions. Infrastructure costs include direct costs related to laboratory, IT, and equipment depreciation costs, and overhead allocations for human resources, IT, and other allocable costs.</w:t>
      </w:r>
    </w:p>
    <w:p>
      <w:pPr>
        <w:pStyle w:val="TextBody"/>
        <w:bidi w:val="0"/>
        <w:spacing w:before="90" w:after="283"/>
        <w:jc w:val="left"/>
        <w:rPr>
          <w:rFonts w:ascii="Times New Roman" w:hAnsi="Times New Roman"/>
          <w:sz w:val="20"/>
        </w:rPr>
      </w:pPr>
      <w:r>
        <w:rPr>
          <w:rFonts w:ascii="sans-serif" w:hAnsi="sans-serif"/>
          <w:color w:val="000000"/>
          <w:sz w:val="20"/>
        </w:rPr>
        <w:t>We manage our research and development expenses by identifying the research and development activities we expect to be performed during a given period and then prioritizing efforts based on anticipated probability of successful technical development and regulatory approval, market potential, available human and capital resources, scientific data and other considerations. We regularly review our research and development activities based on unmet medical need and, as necessary, reallocate resources among our research and development portfolio that we believe will best support the long-term growth of our business. We allocate and analyze certain operational expenses by individual product candidates, specifically costs to conduct clinical studies, including expenses incurred with clinical research organizations, direct manufacturing costs, and salaries and benefits. Other operational expenses are not allocated and analyzed by individual product candidates. For instance, costs associated with Chemistry, Manufacturing and Controls, or CMC costs, are primarily purchases of materials for our internal gene therapy manufacturing activities that qualify as research and development expenses at the time of purchase but for which the allocation and consumption of such costs by a specific product candidate is not determined; accordingly, CMC costs for gene therapy programs are generally spread across multiple product candidates. Although we do track and allocate certain operational R&amp;D costs at the individual</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product candidate level, as described above and as reflected in the table below, we do not fully track and allocate research and development expenses at the individual product candidate level.</w:t>
      </w:r>
    </w:p>
    <w:p>
      <w:pPr>
        <w:pStyle w:val="TextBody"/>
        <w:bidi w:val="0"/>
        <w:spacing w:before="90" w:after="240"/>
        <w:jc w:val="left"/>
        <w:rPr>
          <w:rFonts w:ascii="sans-serif" w:hAnsi="sans-serif"/>
          <w:color w:val="000000"/>
          <w:sz w:val="20"/>
        </w:rPr>
      </w:pPr>
      <w:r>
        <w:rPr>
          <w:rFonts w:ascii="sans-serif" w:hAnsi="sans-serif"/>
          <w:color w:val="000000"/>
          <w:sz w:val="20"/>
        </w:rPr>
        <w:t>The following table provides a breakout of our research and development expenses by individual product candidate under each major clinical program type and other research and development categories:</w:t>
      </w:r>
    </w:p>
    <w:tbl>
      <w:tblPr>
        <w:tblW w:w="10205" w:type="dxa"/>
        <w:jc w:val="left"/>
        <w:tblInd w:w="0" w:type="dxa"/>
        <w:tblLayout w:type="fixed"/>
        <w:tblCellMar>
          <w:top w:w="28" w:type="dxa"/>
          <w:left w:w="28" w:type="dxa"/>
          <w:bottom w:w="28" w:type="dxa"/>
          <w:right w:w="28" w:type="dxa"/>
        </w:tblCellMar>
      </w:tblPr>
      <w:tblGrid>
        <w:gridCol w:w="4766"/>
        <w:gridCol w:w="385"/>
        <w:gridCol w:w="794"/>
        <w:gridCol w:w="248"/>
        <w:gridCol w:w="248"/>
        <w:gridCol w:w="385"/>
        <w:gridCol w:w="794"/>
        <w:gridCol w:w="146"/>
        <w:gridCol w:w="146"/>
        <w:gridCol w:w="276"/>
        <w:gridCol w:w="520"/>
        <w:gridCol w:w="181"/>
        <w:gridCol w:w="146"/>
        <w:gridCol w:w="1170"/>
      </w:tblGrid>
      <w:tr>
        <w:trPr/>
        <w:tc>
          <w:tcPr>
            <w:tcW w:w="476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Dollar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r>
      <w:tr>
        <w:trPr/>
        <w:tc>
          <w:tcPr>
            <w:tcW w:w="476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Clinical programs:</w:t>
            </w:r>
          </w:p>
        </w:tc>
        <w:tc>
          <w:tcPr>
            <w:tcW w:w="117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 therapy programs</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476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DTX301</w:t>
            </w:r>
          </w:p>
        </w:tc>
        <w:tc>
          <w:tcPr>
            <w:tcW w:w="38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center"/>
              <w:rPr>
                <w:rFonts w:ascii="sans-serif" w:hAnsi="sans-serif"/>
                <w:color w:val="000000"/>
                <w:sz w:val="20"/>
              </w:rPr>
            </w:pPr>
            <w:r>
              <w:rPr>
                <w:rFonts w:ascii="sans-serif" w:hAnsi="sans-serif"/>
                <w:color w:val="000000"/>
                <w:sz w:val="20"/>
              </w:rPr>
              <w:t>-43%</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DTX401</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sans-serif" w:hAnsi="sans-serif"/>
                <w:color w:val="000000"/>
                <w:sz w:val="20"/>
              </w:rPr>
            </w:pPr>
            <w:r>
              <w:rPr>
                <w:rFonts w:ascii="sans-serif" w:hAnsi="sans-serif"/>
                <w:color w:val="000000"/>
                <w:sz w:val="20"/>
              </w:rPr>
              <w:t>114%</w:t>
            </w:r>
          </w:p>
        </w:tc>
      </w:tr>
      <w:tr>
        <w:trPr/>
        <w:tc>
          <w:tcPr>
            <w:tcW w:w="476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UX701</w:t>
            </w:r>
          </w:p>
        </w:tc>
        <w:tc>
          <w:tcPr>
            <w:tcW w:w="3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center"/>
              <w:rPr>
                <w:rFonts w:ascii="sans-serif" w:hAnsi="sans-serif"/>
                <w:color w:val="000000"/>
                <w:sz w:val="20"/>
              </w:rPr>
            </w:pPr>
            <w:r>
              <w:rPr>
                <w:rFonts w:ascii="sans-serif" w:hAnsi="sans-serif"/>
                <w:color w:val="000000"/>
                <w:sz w:val="20"/>
              </w:rPr>
              <w:t>-67%</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UX111</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sans-serif" w:hAnsi="sans-serif"/>
                <w:color w:val="000000"/>
                <w:sz w:val="20"/>
              </w:rPr>
            </w:pPr>
            <w:r>
              <w:rPr>
                <w:rFonts w:ascii="sans-serif" w:hAnsi="sans-serif"/>
                <w:color w:val="000000"/>
                <w:sz w:val="20"/>
              </w:rPr>
              <w:t>60%</w:t>
            </w:r>
          </w:p>
        </w:tc>
      </w:tr>
      <w:tr>
        <w:trPr/>
        <w:tc>
          <w:tcPr>
            <w:tcW w:w="476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CMC costs</w:t>
            </w:r>
          </w:p>
        </w:tc>
        <w:tc>
          <w:tcPr>
            <w:tcW w:w="3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center"/>
              <w:rPr>
                <w:rFonts w:ascii="sans-serif" w:hAnsi="sans-serif"/>
                <w:color w:val="000000"/>
                <w:sz w:val="20"/>
              </w:rPr>
            </w:pPr>
            <w:r>
              <w:rPr>
                <w:rFonts w:ascii="sans-serif" w:hAnsi="sans-serif"/>
                <w:color w:val="000000"/>
                <w:sz w:val="20"/>
              </w:rPr>
              <w:t>-100%</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gene therapy programs</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sans-serif" w:hAnsi="sans-serif"/>
                <w:color w:val="000000"/>
                <w:sz w:val="20"/>
              </w:rPr>
            </w:pPr>
            <w:r>
              <w:rPr>
                <w:rFonts w:ascii="sans-serif" w:hAnsi="sans-serif"/>
                <w:color w:val="000000"/>
                <w:sz w:val="20"/>
              </w:rPr>
              <w:t>22%</w:t>
            </w:r>
          </w:p>
        </w:tc>
      </w:tr>
      <w:tr>
        <w:trPr/>
        <w:tc>
          <w:tcPr>
            <w:tcW w:w="476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Biologic and nucleic acid programs</w:t>
            </w:r>
          </w:p>
        </w:tc>
        <w:tc>
          <w:tcPr>
            <w:tcW w:w="1179"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9"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GTX-102</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sans-serif" w:hAnsi="sans-serif"/>
                <w:color w:val="000000"/>
                <w:sz w:val="20"/>
              </w:rPr>
            </w:pPr>
            <w:r>
              <w:rPr>
                <w:rFonts w:ascii="sans-serif" w:hAnsi="sans-serif"/>
                <w:color w:val="000000"/>
                <w:sz w:val="20"/>
              </w:rPr>
              <w:t>38%</w:t>
            </w:r>
          </w:p>
        </w:tc>
      </w:tr>
      <w:tr>
        <w:trPr/>
        <w:tc>
          <w:tcPr>
            <w:tcW w:w="476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UX143</w:t>
            </w:r>
          </w:p>
        </w:tc>
        <w:tc>
          <w:tcPr>
            <w:tcW w:w="3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center"/>
              <w:rPr>
                <w:rFonts w:ascii="sans-serif" w:hAnsi="sans-serif"/>
                <w:color w:val="000000"/>
                <w:sz w:val="20"/>
              </w:rPr>
            </w:pPr>
            <w:r>
              <w:rPr>
                <w:rFonts w:ascii="sans-serif" w:hAnsi="sans-serif"/>
                <w:color w:val="000000"/>
                <w:sz w:val="20"/>
              </w:rPr>
              <w:t>-64%</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biologic and nucleic acid programs</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-27%</w:t>
            </w:r>
          </w:p>
        </w:tc>
      </w:tr>
      <w:tr>
        <w:trPr/>
        <w:tc>
          <w:tcPr>
            <w:tcW w:w="476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Translational research</w:t>
            </w:r>
          </w:p>
        </w:tc>
        <w:tc>
          <w:tcPr>
            <w:tcW w:w="3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11%</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Approved products</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-11%</w:t>
            </w:r>
          </w:p>
        </w:tc>
      </w:tr>
      <w:tr>
        <w:trPr/>
        <w:tc>
          <w:tcPr>
            <w:tcW w:w="476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Infrastructure</w:t>
            </w:r>
          </w:p>
        </w:tc>
        <w:tc>
          <w:tcPr>
            <w:tcW w:w="3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Stock-based compensation</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-14%</w:t>
            </w:r>
          </w:p>
        </w:tc>
      </w:tr>
      <w:tr>
        <w:trPr/>
        <w:tc>
          <w:tcPr>
            <w:tcW w:w="476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research and development</w:t>
            </w:r>
          </w:p>
        </w:tc>
        <w:tc>
          <w:tcPr>
            <w:tcW w:w="3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24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tcBorders/>
            <w:shd w:fill="CCECFF" w:val="clear"/>
            <w:tcMar>
              <w:top w:w="0" w:type="dxa"/>
              <w:left w:w="0" w:type="dxa"/>
              <w:bottom w:w="0" w:type="dxa"/>
              <w:right w:w="0" w:type="dxa"/>
            </w:tcMar>
            <w:vAlign w:val="center"/>
          </w:tcPr>
          <w:p>
            <w:pPr>
              <w:pStyle w:val="TableContents"/>
              <w:bidi w:val="0"/>
              <w:spacing w:before="0" w:after="283"/>
              <w:ind w:left="0" w:right="0" w:firstLine="500"/>
              <w:jc w:val="center"/>
              <w:rPr>
                <w:rFonts w:ascii="sans-serif" w:hAnsi="sans-serif"/>
                <w:color w:val="000000"/>
                <w:sz w:val="20"/>
              </w:rPr>
            </w:pPr>
            <w:r>
              <w:rPr>
                <w:rFonts w:ascii="sans-serif" w:hAnsi="sans-serif"/>
                <w:color w:val="000000"/>
                <w:sz w:val="20"/>
              </w:rPr>
              <w:t>42%</w:t>
            </w:r>
          </w:p>
        </w:tc>
      </w:tr>
      <w:tr>
        <w:trPr/>
        <w:tc>
          <w:tcPr>
            <w:tcW w:w="476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0"/>
              </w:rPr>
            </w:pPr>
            <w:r>
              <w:rPr>
                <w:rFonts w:ascii="sans-serif" w:hAnsi="sans-serif"/>
                <w:color w:val="000000"/>
                <w:sz w:val="20"/>
              </w:rPr>
              <w:t>Total research and development expenses</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w:t>
            </w:r>
          </w:p>
        </w:tc>
      </w:tr>
    </w:tbl>
    <w:p>
      <w:pPr>
        <w:pStyle w:val="TextBody"/>
        <w:bidi w:val="0"/>
        <w:spacing w:before="90" w:after="283"/>
        <w:jc w:val="left"/>
        <w:rPr/>
      </w:pPr>
      <w:r>
        <w:rPr/>
        <w:t> </w:t>
      </w:r>
    </w:p>
    <w:tbl>
      <w:tblPr>
        <w:tblW w:w="9981" w:type="dxa"/>
        <w:jc w:val="left"/>
        <w:tblInd w:w="0" w:type="dxa"/>
        <w:tblLayout w:type="fixed"/>
        <w:tblCellMar>
          <w:top w:w="28" w:type="dxa"/>
          <w:left w:w="28" w:type="dxa"/>
          <w:bottom w:w="28" w:type="dxa"/>
          <w:right w:w="28" w:type="dxa"/>
        </w:tblCellMar>
      </w:tblPr>
      <w:tblGrid>
        <w:gridCol w:w="4776"/>
        <w:gridCol w:w="354"/>
        <w:gridCol w:w="730"/>
        <w:gridCol w:w="228"/>
        <w:gridCol w:w="228"/>
        <w:gridCol w:w="354"/>
        <w:gridCol w:w="730"/>
        <w:gridCol w:w="146"/>
        <w:gridCol w:w="146"/>
        <w:gridCol w:w="314"/>
        <w:gridCol w:w="482"/>
        <w:gridCol w:w="181"/>
        <w:gridCol w:w="146"/>
        <w:gridCol w:w="1166"/>
      </w:tblGrid>
      <w:tr>
        <w:trPr/>
        <w:tc>
          <w:tcPr>
            <w:tcW w:w="477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Dollar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r>
      <w:tr>
        <w:trPr/>
        <w:tc>
          <w:tcPr>
            <w:tcW w:w="477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Clinical programs:</w:t>
            </w:r>
          </w:p>
        </w:tc>
        <w:tc>
          <w:tcPr>
            <w:tcW w:w="108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 therapy programs</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477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DTX301</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center"/>
              <w:rPr>
                <w:rFonts w:ascii="sans-serif" w:hAnsi="sans-serif"/>
                <w:color w:val="000000"/>
                <w:sz w:val="20"/>
              </w:rPr>
            </w:pPr>
            <w:r>
              <w:rPr>
                <w:rFonts w:ascii="sans-serif" w:hAnsi="sans-serif"/>
                <w:color w:val="000000"/>
                <w:sz w:val="20"/>
              </w:rPr>
              <w:t>-36%</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DTX401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sans-serif" w:hAnsi="sans-serif"/>
                <w:color w:val="000000"/>
                <w:sz w:val="20"/>
              </w:rPr>
            </w:pPr>
            <w:r>
              <w:rPr>
                <w:rFonts w:ascii="sans-serif" w:hAnsi="sans-serif"/>
                <w:color w:val="000000"/>
                <w:sz w:val="20"/>
              </w:rPr>
              <w:t>72%</w:t>
            </w:r>
          </w:p>
        </w:tc>
      </w:tr>
      <w:tr>
        <w:trPr/>
        <w:tc>
          <w:tcPr>
            <w:tcW w:w="477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UX701</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center"/>
              <w:rPr>
                <w:rFonts w:ascii="sans-serif" w:hAnsi="sans-serif"/>
                <w:color w:val="000000"/>
                <w:sz w:val="20"/>
              </w:rPr>
            </w:pPr>
            <w:r>
              <w:rPr>
                <w:rFonts w:ascii="sans-serif" w:hAnsi="sans-serif"/>
                <w:color w:val="000000"/>
                <w:sz w:val="20"/>
              </w:rPr>
              <w:t>-47%</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UX111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sans-serif" w:hAnsi="sans-serif"/>
                <w:color w:val="000000"/>
                <w:sz w:val="20"/>
              </w:rPr>
            </w:pPr>
            <w:r>
              <w:rPr>
                <w:rFonts w:ascii="sans-serif" w:hAnsi="sans-serif"/>
                <w:color w:val="000000"/>
                <w:sz w:val="20"/>
              </w:rPr>
              <w:t>59%</w:t>
            </w:r>
          </w:p>
        </w:tc>
      </w:tr>
      <w:tr>
        <w:trPr/>
        <w:tc>
          <w:tcPr>
            <w:tcW w:w="477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CMC costs</w:t>
            </w:r>
          </w:p>
        </w:tc>
        <w:tc>
          <w:tcPr>
            <w:tcW w:w="3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center"/>
              <w:rPr>
                <w:rFonts w:ascii="sans-serif" w:hAnsi="sans-serif"/>
                <w:color w:val="000000"/>
                <w:sz w:val="20"/>
              </w:rPr>
            </w:pPr>
            <w:r>
              <w:rPr>
                <w:rFonts w:ascii="sans-serif" w:hAnsi="sans-serif"/>
                <w:color w:val="000000"/>
                <w:sz w:val="20"/>
              </w:rPr>
              <w:t>-100%</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gene therapy programs</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sans-serif" w:hAnsi="sans-serif"/>
                <w:color w:val="000000"/>
                <w:sz w:val="20"/>
              </w:rPr>
            </w:pPr>
            <w:r>
              <w:rPr>
                <w:rFonts w:ascii="sans-serif" w:hAnsi="sans-serif"/>
                <w:color w:val="000000"/>
                <w:sz w:val="20"/>
              </w:rPr>
              <w:t>25%</w:t>
            </w:r>
          </w:p>
        </w:tc>
      </w:tr>
      <w:tr>
        <w:trPr/>
        <w:tc>
          <w:tcPr>
            <w:tcW w:w="47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Biologic and nucleic acid programs</w:t>
            </w:r>
          </w:p>
        </w:tc>
        <w:tc>
          <w:tcPr>
            <w:tcW w:w="1084"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084"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GTX-102</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rFonts w:ascii="sans-serif" w:hAnsi="sans-serif"/>
                <w:color w:val="000000"/>
                <w:sz w:val="20"/>
              </w:rPr>
            </w:pPr>
            <w:r>
              <w:rPr>
                <w:rFonts w:ascii="sans-serif" w:hAnsi="sans-serif"/>
                <w:color w:val="000000"/>
                <w:sz w:val="20"/>
              </w:rPr>
              <w:t>31%</w:t>
            </w:r>
          </w:p>
        </w:tc>
      </w:tr>
      <w:tr>
        <w:trPr/>
        <w:tc>
          <w:tcPr>
            <w:tcW w:w="4776" w:type="dxa"/>
            <w:tcBorders/>
            <w:shd w:fill="CCEC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UX143</w:t>
            </w:r>
          </w:p>
        </w:tc>
        <w:tc>
          <w:tcPr>
            <w:tcW w:w="3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22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tcBorders/>
            <w:shd w:fill="CCECFF" w:val="clear"/>
            <w:tcMar>
              <w:top w:w="0" w:type="dxa"/>
              <w:left w:w="0" w:type="dxa"/>
              <w:bottom w:w="0" w:type="dxa"/>
              <w:right w:w="0" w:type="dxa"/>
            </w:tcMar>
            <w:vAlign w:val="center"/>
          </w:tcPr>
          <w:p>
            <w:pPr>
              <w:pStyle w:val="TableContents"/>
              <w:bidi w:val="0"/>
              <w:spacing w:before="0" w:after="283"/>
              <w:ind w:left="0" w:right="0" w:firstLine="400"/>
              <w:jc w:val="center"/>
              <w:rPr>
                <w:rFonts w:ascii="sans-serif" w:hAnsi="sans-serif"/>
                <w:color w:val="000000"/>
                <w:sz w:val="20"/>
              </w:rPr>
            </w:pPr>
            <w:r>
              <w:rPr>
                <w:rFonts w:ascii="sans-serif" w:hAnsi="sans-serif"/>
                <w:color w:val="000000"/>
                <w:sz w:val="20"/>
              </w:rPr>
              <w:t>-10%</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biologic and nucleic acid programs</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w:t>
            </w:r>
          </w:p>
        </w:tc>
      </w:tr>
      <w:tr>
        <w:trPr/>
        <w:tc>
          <w:tcPr>
            <w:tcW w:w="477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Translational research</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11%</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Approved products</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6%</w:t>
            </w:r>
          </w:p>
        </w:tc>
      </w:tr>
      <w:tr>
        <w:trPr/>
        <w:tc>
          <w:tcPr>
            <w:tcW w:w="477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Infrastructure</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CEC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0%</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Stock-based compensation</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-19%</w:t>
            </w:r>
          </w:p>
        </w:tc>
      </w:tr>
      <w:tr>
        <w:trPr/>
        <w:tc>
          <w:tcPr>
            <w:tcW w:w="477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research and development</w:t>
            </w:r>
          </w:p>
        </w:tc>
        <w:tc>
          <w:tcPr>
            <w:tcW w:w="3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22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tcBorders/>
            <w:shd w:fill="CCECFF" w:val="clear"/>
            <w:tcMar>
              <w:top w:w="0" w:type="dxa"/>
              <w:left w:w="0" w:type="dxa"/>
              <w:bottom w:w="0" w:type="dxa"/>
              <w:right w:w="0" w:type="dxa"/>
            </w:tcMar>
            <w:vAlign w:val="center"/>
          </w:tcPr>
          <w:p>
            <w:pPr>
              <w:pStyle w:val="TableContents"/>
              <w:bidi w:val="0"/>
              <w:spacing w:before="0" w:after="283"/>
              <w:ind w:left="0" w:right="0" w:firstLine="500"/>
              <w:jc w:val="center"/>
              <w:rPr>
                <w:rFonts w:ascii="sans-serif" w:hAnsi="sans-serif"/>
                <w:color w:val="000000"/>
                <w:sz w:val="20"/>
              </w:rPr>
            </w:pPr>
            <w:r>
              <w:rPr>
                <w:rFonts w:ascii="sans-serif" w:hAnsi="sans-serif"/>
                <w:color w:val="000000"/>
                <w:sz w:val="20"/>
              </w:rPr>
              <w:t>0%</w:t>
            </w:r>
          </w:p>
        </w:tc>
      </w:tr>
      <w:tr>
        <w:trPr/>
        <w:tc>
          <w:tcPr>
            <w:tcW w:w="477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0"/>
              </w:rPr>
            </w:pPr>
            <w:r>
              <w:rPr>
                <w:rFonts w:ascii="sans-serif" w:hAnsi="sans-serif"/>
                <w:color w:val="000000"/>
                <w:sz w:val="20"/>
              </w:rPr>
              <w:t>Total research and development expenses</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354</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7%</w:t>
            </w:r>
          </w:p>
        </w:tc>
      </w:tr>
    </w:tbl>
    <w:p>
      <w:pPr>
        <w:pStyle w:val="TextBody"/>
        <w:bidi w:val="0"/>
        <w:spacing w:before="90" w:after="283"/>
        <w:jc w:val="left"/>
        <w:rPr>
          <w:rFonts w:ascii="sans-serif" w:hAnsi="sans-serif"/>
          <w:color w:val="000000"/>
          <w:sz w:val="20"/>
        </w:rPr>
      </w:pPr>
      <w:r>
        <w:rPr>
          <w:rFonts w:ascii="sans-serif" w:hAnsi="sans-serif"/>
          <w:color w:val="000000"/>
          <w:sz w:val="20"/>
        </w:rPr>
        <w:t>Total research and development expenses increased for the three and six months ended June 30, 2026, compared to the same periods in 2025. The increase in research and development expenses was primarily due to:</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for gene therapy programs, an increase for the three and six months primarily due to DTX401 and UX111 manufacturing costs in preparation for commercial launch, partially offset by timing of UX701 manufacturing runs;</w:t>
      </w:r>
    </w:p>
    <w:p>
      <w:pPr>
        <w:pStyle w:val="TextBody"/>
        <w:bidi w:val="0"/>
        <w:jc w:val="center"/>
        <w:rPr>
          <w:rFonts w:ascii="sans-serif" w:hAnsi="sans-serif"/>
          <w:color w:val="000000"/>
          <w:sz w:val="20"/>
        </w:rPr>
      </w:pPr>
      <w:r>
        <w:rPr>
          <w:rFonts w:ascii="sans-serif" w:hAnsi="sans-serif"/>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for biologic and nucleic acid programs, a decrease for the three months and an increase for the six months, respectively, primarily related to the closeout of existing manufacturing commitments for UX143 as well as the continued clinical progress of the GTX-102 program and associated clinical development and manufacturing expenses; and</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for stock-based compensation, a decrease for the three and six months, due to the timing of grants and lower expense from lower headcount associated with the restructuring plan.</w:t>
      </w:r>
    </w:p>
    <w:p>
      <w:pPr>
        <w:pStyle w:val="TextBody"/>
        <w:bidi w:val="0"/>
        <w:spacing w:before="90" w:after="283"/>
        <w:jc w:val="left"/>
        <w:rPr>
          <w:rFonts w:ascii="sans-serif" w:hAnsi="sans-serif"/>
          <w:color w:val="000000"/>
          <w:sz w:val="20"/>
        </w:rPr>
      </w:pPr>
      <w:r>
        <w:rPr>
          <w:rFonts w:ascii="sans-serif" w:hAnsi="sans-serif"/>
          <w:color w:val="000000"/>
          <w:sz w:val="20"/>
        </w:rPr>
        <w:t>We expect a decrease in research and development expenses in the near term. This expected decline is primarily driven by the expected completion of several Phase 3 clinical programs and a strategic restructuring of our workforce and expenditures to better match our current pipeline requirements.</w:t>
      </w:r>
    </w:p>
    <w:p>
      <w:pPr>
        <w:pStyle w:val="TextBody"/>
        <w:bidi w:val="0"/>
        <w:spacing w:before="270" w:after="283"/>
        <w:jc w:val="left"/>
        <w:rPr>
          <w:rFonts w:ascii="sans-serif" w:hAnsi="sans-serif"/>
          <w:i/>
          <w:color w:val="000000"/>
          <w:sz w:val="20"/>
          <w:u w:val="single"/>
        </w:rPr>
      </w:pPr>
      <w:r>
        <w:rPr>
          <w:rFonts w:ascii="sans-serif" w:hAnsi="sans-serif"/>
          <w:i/>
          <w:color w:val="000000"/>
          <w:sz w:val="20"/>
          <w:u w:val="single"/>
        </w:rPr>
        <w:t>Selling, General and Administrative Expenses (dollars in millions)</w:t>
      </w:r>
    </w:p>
    <w:p>
      <w:pPr>
        <w:pStyle w:val="TextBody"/>
        <w:bidi w:val="0"/>
        <w:jc w:val="left"/>
        <w:rPr/>
      </w:pPr>
      <w:r>
        <w:rPr/>
        <w:t> </w:t>
      </w:r>
    </w:p>
    <w:tbl>
      <w:tblPr>
        <w:tblW w:w="8912" w:type="dxa"/>
        <w:jc w:val="left"/>
        <w:tblInd w:w="0" w:type="dxa"/>
        <w:tblLayout w:type="fixed"/>
        <w:tblCellMar>
          <w:top w:w="28" w:type="dxa"/>
          <w:left w:w="28" w:type="dxa"/>
          <w:bottom w:w="28" w:type="dxa"/>
          <w:right w:w="28" w:type="dxa"/>
        </w:tblCellMar>
      </w:tblPr>
      <w:tblGrid>
        <w:gridCol w:w="3541"/>
        <w:gridCol w:w="451"/>
        <w:gridCol w:w="690"/>
        <w:gridCol w:w="291"/>
        <w:gridCol w:w="291"/>
        <w:gridCol w:w="451"/>
        <w:gridCol w:w="690"/>
        <w:gridCol w:w="146"/>
        <w:gridCol w:w="146"/>
        <w:gridCol w:w="397"/>
        <w:gridCol w:w="399"/>
        <w:gridCol w:w="146"/>
        <w:gridCol w:w="146"/>
        <w:gridCol w:w="312"/>
        <w:gridCol w:w="484"/>
        <w:gridCol w:w="331"/>
      </w:tblGrid>
      <w:tr>
        <w:trPr/>
        <w:tc>
          <w:tcPr>
            <w:tcW w:w="35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general and administrative</w:t>
            </w:r>
          </w:p>
        </w:tc>
        <w:tc>
          <w:tcPr>
            <w:tcW w:w="45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88</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9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9"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tbl>
      <w:tblPr>
        <w:tblW w:w="8672" w:type="dxa"/>
        <w:jc w:val="left"/>
        <w:tblInd w:w="0" w:type="dxa"/>
        <w:tblLayout w:type="fixed"/>
        <w:tblCellMar>
          <w:top w:w="28" w:type="dxa"/>
          <w:left w:w="28" w:type="dxa"/>
          <w:bottom w:w="28" w:type="dxa"/>
          <w:right w:w="28" w:type="dxa"/>
        </w:tblCellMar>
      </w:tblPr>
      <w:tblGrid>
        <w:gridCol w:w="3541"/>
        <w:gridCol w:w="354"/>
        <w:gridCol w:w="730"/>
        <w:gridCol w:w="228"/>
        <w:gridCol w:w="228"/>
        <w:gridCol w:w="354"/>
        <w:gridCol w:w="730"/>
        <w:gridCol w:w="146"/>
        <w:gridCol w:w="146"/>
        <w:gridCol w:w="397"/>
        <w:gridCol w:w="399"/>
        <w:gridCol w:w="146"/>
        <w:gridCol w:w="146"/>
        <w:gridCol w:w="312"/>
        <w:gridCol w:w="484"/>
        <w:gridCol w:w="331"/>
      </w:tblGrid>
      <w:tr>
        <w:trPr/>
        <w:tc>
          <w:tcPr>
            <w:tcW w:w="354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general and administrative</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176</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99"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90" w:after="283"/>
        <w:jc w:val="left"/>
        <w:rPr>
          <w:rFonts w:ascii="Times New Roman" w:hAnsi="Times New Roman"/>
          <w:sz w:val="20"/>
        </w:rPr>
      </w:pPr>
      <w:r>
        <w:rPr>
          <w:rFonts w:ascii="sans-serif" w:hAnsi="sans-serif"/>
          <w:color w:val="000000"/>
          <w:sz w:val="20"/>
        </w:rPr>
        <w:t>Selling, general and administrative expenses had a nominal increase for each of the three and six months ended June 30, 2026, compared to the same periods in 2025.</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We expect annual selling, general and administrative expenses to increase in the near term as we expand commercial activities in preparation for launches of additional products, while continuing to support our existing approved products and multiple clinical-stage product candidates.</w:t>
      </w:r>
    </w:p>
    <w:p>
      <w:pPr>
        <w:pStyle w:val="TextBody"/>
        <w:bidi w:val="0"/>
        <w:spacing w:before="270" w:after="283"/>
        <w:jc w:val="left"/>
        <w:rPr>
          <w:rFonts w:ascii="sans-serif" w:hAnsi="sans-serif"/>
          <w:i/>
          <w:color w:val="000000"/>
          <w:sz w:val="20"/>
          <w:u w:val="single"/>
        </w:rPr>
      </w:pPr>
      <w:r>
        <w:rPr>
          <w:rFonts w:ascii="sans-serif" w:hAnsi="sans-serif"/>
          <w:i/>
          <w:color w:val="000000"/>
          <w:sz w:val="20"/>
          <w:u w:val="single"/>
        </w:rPr>
        <w:t>Interest Income (dollars in millions)</w:t>
      </w:r>
    </w:p>
    <w:p>
      <w:pPr>
        <w:pStyle w:val="TextBody"/>
        <w:bidi w:val="0"/>
        <w:jc w:val="left"/>
        <w:rPr/>
      </w:pPr>
      <w:r>
        <w:rPr/>
        <w:t> </w:t>
      </w:r>
    </w:p>
    <w:tbl>
      <w:tblPr>
        <w:tblW w:w="7055" w:type="dxa"/>
        <w:jc w:val="left"/>
        <w:tblInd w:w="0" w:type="dxa"/>
        <w:tblLayout w:type="fixed"/>
        <w:tblCellMar>
          <w:top w:w="28" w:type="dxa"/>
          <w:left w:w="28" w:type="dxa"/>
          <w:bottom w:w="28" w:type="dxa"/>
          <w:right w:w="28" w:type="dxa"/>
        </w:tblCellMar>
      </w:tblPr>
      <w:tblGrid>
        <w:gridCol w:w="1651"/>
        <w:gridCol w:w="541"/>
        <w:gridCol w:w="541"/>
        <w:gridCol w:w="349"/>
        <w:gridCol w:w="349"/>
        <w:gridCol w:w="541"/>
        <w:gridCol w:w="541"/>
        <w:gridCol w:w="146"/>
        <w:gridCol w:w="146"/>
        <w:gridCol w:w="340"/>
        <w:gridCol w:w="456"/>
        <w:gridCol w:w="181"/>
        <w:gridCol w:w="146"/>
        <w:gridCol w:w="204"/>
        <w:gridCol w:w="592"/>
        <w:gridCol w:w="331"/>
      </w:tblGrid>
      <w:tr>
        <w:trPr/>
        <w:tc>
          <w:tcPr>
            <w:tcW w:w="165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Dollar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income</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tbl>
      <w:tblPr>
        <w:tblW w:w="6815" w:type="dxa"/>
        <w:jc w:val="left"/>
        <w:tblInd w:w="0" w:type="dxa"/>
        <w:tblLayout w:type="fixed"/>
        <w:tblCellMar>
          <w:top w:w="28" w:type="dxa"/>
          <w:left w:w="28" w:type="dxa"/>
          <w:bottom w:w="28" w:type="dxa"/>
          <w:right w:w="28" w:type="dxa"/>
        </w:tblCellMar>
      </w:tblPr>
      <w:tblGrid>
        <w:gridCol w:w="1651"/>
        <w:gridCol w:w="413"/>
        <w:gridCol w:w="632"/>
        <w:gridCol w:w="266"/>
        <w:gridCol w:w="266"/>
        <w:gridCol w:w="413"/>
        <w:gridCol w:w="632"/>
        <w:gridCol w:w="146"/>
        <w:gridCol w:w="146"/>
        <w:gridCol w:w="340"/>
        <w:gridCol w:w="456"/>
        <w:gridCol w:w="181"/>
        <w:gridCol w:w="146"/>
        <w:gridCol w:w="204"/>
        <w:gridCol w:w="592"/>
        <w:gridCol w:w="331"/>
      </w:tblGrid>
      <w:tr>
        <w:trPr/>
        <w:tc>
          <w:tcPr>
            <w:tcW w:w="165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Dollar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income</w:t>
            </w:r>
          </w:p>
        </w:tc>
        <w:tc>
          <w:tcPr>
            <w:tcW w:w="413"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90" w:after="283"/>
        <w:jc w:val="left"/>
        <w:rPr>
          <w:rFonts w:ascii="sans-serif" w:hAnsi="sans-serif"/>
          <w:color w:val="000000"/>
          <w:sz w:val="20"/>
        </w:rPr>
      </w:pPr>
      <w:r>
        <w:rPr>
          <w:rFonts w:ascii="sans-serif" w:hAnsi="sans-serif"/>
          <w:color w:val="000000"/>
          <w:sz w:val="20"/>
        </w:rPr>
        <w:t>Interest income decreased for the three and six months ended June 30, 2026, compared to the same periods in 2025, primarily due to lower marketable securities balances.</w:t>
      </w:r>
    </w:p>
    <w:p>
      <w:pPr>
        <w:pStyle w:val="TextBody"/>
        <w:bidi w:val="0"/>
        <w:spacing w:before="270" w:after="283"/>
        <w:jc w:val="left"/>
        <w:rPr>
          <w:rFonts w:ascii="sans-serif" w:hAnsi="sans-serif"/>
          <w:i/>
          <w:color w:val="000000"/>
          <w:sz w:val="20"/>
          <w:u w:val="single"/>
        </w:rPr>
      </w:pPr>
      <w:r>
        <w:rPr>
          <w:rFonts w:ascii="sans-serif" w:hAnsi="sans-serif"/>
          <w:i/>
          <w:color w:val="000000"/>
          <w:sz w:val="20"/>
          <w:u w:val="single"/>
        </w:rPr>
        <w:t>Non-cash Interest Expense on Liabilities for Sales of Future Royalties (dollars in millions)</w:t>
      </w:r>
    </w:p>
    <w:p>
      <w:pPr>
        <w:pStyle w:val="TextBody"/>
        <w:bidi w:val="0"/>
        <w:jc w:val="left"/>
        <w:rPr/>
      </w:pPr>
      <w:r>
        <w:rPr/>
        <w:t> </w:t>
      </w:r>
    </w:p>
    <w:tbl>
      <w:tblPr>
        <w:tblW w:w="9762" w:type="dxa"/>
        <w:jc w:val="left"/>
        <w:tblInd w:w="0" w:type="dxa"/>
        <w:tblLayout w:type="fixed"/>
        <w:tblCellMar>
          <w:top w:w="28" w:type="dxa"/>
          <w:left w:w="28" w:type="dxa"/>
          <w:bottom w:w="28" w:type="dxa"/>
          <w:right w:w="28" w:type="dxa"/>
        </w:tblCellMar>
      </w:tblPr>
      <w:tblGrid>
        <w:gridCol w:w="4321"/>
        <w:gridCol w:w="399"/>
        <w:gridCol w:w="744"/>
        <w:gridCol w:w="320"/>
        <w:gridCol w:w="258"/>
        <w:gridCol w:w="399"/>
        <w:gridCol w:w="744"/>
        <w:gridCol w:w="181"/>
        <w:gridCol w:w="146"/>
        <w:gridCol w:w="340"/>
        <w:gridCol w:w="456"/>
        <w:gridCol w:w="181"/>
        <w:gridCol w:w="146"/>
        <w:gridCol w:w="236"/>
        <w:gridCol w:w="560"/>
        <w:gridCol w:w="331"/>
      </w:tblGrid>
      <w:tr>
        <w:trPr/>
        <w:tc>
          <w:tcPr>
            <w:tcW w:w="432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8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Dollar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Non-cash interest expense on liabilities for</w:t>
              <w:br/>
              <w:t>    sales of future royalties</w:t>
            </w:r>
          </w:p>
        </w:tc>
        <w:tc>
          <w:tcPr>
            <w:tcW w:w="399"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32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5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4"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56"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tbl>
      <w:tblPr>
        <w:tblW w:w="9523" w:type="dxa"/>
        <w:jc w:val="left"/>
        <w:tblInd w:w="0" w:type="dxa"/>
        <w:tblLayout w:type="fixed"/>
        <w:tblCellMar>
          <w:top w:w="28" w:type="dxa"/>
          <w:left w:w="28" w:type="dxa"/>
          <w:bottom w:w="28" w:type="dxa"/>
          <w:right w:w="28" w:type="dxa"/>
        </w:tblCellMar>
      </w:tblPr>
      <w:tblGrid>
        <w:gridCol w:w="4321"/>
        <w:gridCol w:w="366"/>
        <w:gridCol w:w="682"/>
        <w:gridCol w:w="293"/>
        <w:gridCol w:w="236"/>
        <w:gridCol w:w="366"/>
        <w:gridCol w:w="682"/>
        <w:gridCol w:w="181"/>
        <w:gridCol w:w="146"/>
        <w:gridCol w:w="276"/>
        <w:gridCol w:w="520"/>
        <w:gridCol w:w="181"/>
        <w:gridCol w:w="146"/>
        <w:gridCol w:w="236"/>
        <w:gridCol w:w="560"/>
        <w:gridCol w:w="331"/>
      </w:tblGrid>
      <w:tr>
        <w:trPr/>
        <w:tc>
          <w:tcPr>
            <w:tcW w:w="432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Dollar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Non-cash interest expense on liabilities for</w:t>
              <w:br/>
              <w:t>    sales of future royalties</w:t>
            </w:r>
          </w:p>
        </w:tc>
        <w:tc>
          <w:tcPr>
            <w:tcW w:w="36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293"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2"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CCEC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90" w:after="283"/>
        <w:jc w:val="left"/>
        <w:rPr>
          <w:rFonts w:ascii="sans-serif" w:hAnsi="sans-serif"/>
          <w:color w:val="000000"/>
          <w:sz w:val="20"/>
        </w:rPr>
      </w:pPr>
      <w:r>
        <w:rPr>
          <w:rFonts w:ascii="sans-serif" w:hAnsi="sans-serif"/>
          <w:color w:val="000000"/>
          <w:sz w:val="20"/>
        </w:rPr>
        <w:t>The non-cash interest expense on liabilities for sales of future royalties increased for the three and six months ended June 30, 2026, compared to the same periods in 2025, primarily due to additional interest expense from the sale of future royalties to OMERS in November 2025. To the extent the royalty payments are greater or less than our initial estimates or the timing of such payments is materially different than our original estimates, we prospectively adjust the effective interest rate.</w:t>
      </w:r>
    </w:p>
    <w:p>
      <w:pPr>
        <w:pStyle w:val="TextBody"/>
        <w:bidi w:val="0"/>
        <w:jc w:val="center"/>
        <w:rPr>
          <w:rFonts w:ascii="sans-serif" w:hAnsi="sans-serif"/>
          <w:color w:val="000000"/>
          <w:sz w:val="20"/>
        </w:rPr>
      </w:pPr>
      <w:r>
        <w:rPr>
          <w:rFonts w:ascii="sans-serif" w:hAnsi="sans-serif"/>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sans-serif" w:hAnsi="sans-serif"/>
          <w:b/>
          <w:color w:val="000000"/>
          <w:sz w:val="20"/>
        </w:rPr>
      </w:pPr>
      <w:r>
        <w:rPr>
          <w:rFonts w:ascii="sans-serif" w:hAnsi="sans-serif"/>
          <w:b/>
          <w:color w:val="000000"/>
          <w:sz w:val="20"/>
        </w:rPr>
        <w:t>Liquidity and Capital Resources</w:t>
      </w:r>
    </w:p>
    <w:p>
      <w:pPr>
        <w:pStyle w:val="TextBody"/>
        <w:bidi w:val="0"/>
        <w:spacing w:before="90" w:after="283"/>
        <w:jc w:val="left"/>
        <w:rPr>
          <w:rFonts w:ascii="Times New Roman" w:hAnsi="Times New Roman"/>
          <w:sz w:val="20"/>
        </w:rPr>
      </w:pPr>
      <w:r>
        <w:rPr>
          <w:rFonts w:ascii="sans-serif" w:hAnsi="sans-serif"/>
          <w:color w:val="000000"/>
          <w:sz w:val="20"/>
        </w:rPr>
        <w:t>To date, we have funded our operations primarily from the sale of our equity securities, revenue from our commercial products, the sale of certain future royalties, and strategic collaboration arrangements.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As of June 30, 2026, we had $436 million in available cash, cash equivalents, and marketable securities. We believe that our existing capital resources will be sufficient to fund our projected operating requirements for at least the next 12 months. Our cash, cash equivalents, and marketable securities are held in a variety of deposit accounts, interest-bearing accounts, corporate bond securities, commercial paper, U.S. government securities, and money market funds. Cash in excess of immediate requirements is invested with a view toward liquidity and capital preservation, and we seek to minimize the potential effects of concentration and credit risk.</w:t>
      </w:r>
    </w:p>
    <w:p>
      <w:pPr>
        <w:pStyle w:val="TextBody"/>
        <w:bidi w:val="0"/>
        <w:spacing w:before="90" w:after="283"/>
        <w:jc w:val="left"/>
        <w:rPr>
          <w:rFonts w:ascii="sans-serif" w:hAnsi="sans-serif"/>
          <w:color w:val="000000"/>
          <w:sz w:val="20"/>
        </w:rPr>
      </w:pPr>
      <w:r>
        <w:rPr>
          <w:rFonts w:ascii="sans-serif" w:hAnsi="sans-serif"/>
          <w:color w:val="000000"/>
          <w:sz w:val="20"/>
        </w:rPr>
        <w:t>In November 2025, we received net proceeds of $392 million from OMERS for the sale of a percentage of our future royalties on Crysvita in the U.S. and Canada.</w:t>
      </w:r>
    </w:p>
    <w:p>
      <w:pPr>
        <w:pStyle w:val="TextBody"/>
        <w:bidi w:val="0"/>
        <w:spacing w:before="90" w:after="283"/>
        <w:jc w:val="left"/>
        <w:rPr>
          <w:rFonts w:ascii="sans-serif" w:hAnsi="sans-serif"/>
          <w:color w:val="000000"/>
          <w:sz w:val="20"/>
        </w:rPr>
      </w:pPr>
      <w:r>
        <w:rPr>
          <w:rFonts w:ascii="sans-serif" w:hAnsi="sans-serif"/>
          <w:color w:val="000000"/>
          <w:sz w:val="20"/>
        </w:rPr>
        <w:t>In February 2024, we entered into a Sales Agreement with Cowen and Company, LLC, or Cowen, pursuant to which the Company may offer and sell shares of the Company’s common stock having an aggregate offering proceeds up to $350 million, from time to time, in ATM offerings through Cowen. To date, we have sold 2.2 million shares under the ATM for net proceeds of $80 million. No shares were sold under the ATM during the three and six months ended June 30, 2026.</w:t>
      </w:r>
    </w:p>
    <w:p>
      <w:pPr>
        <w:pStyle w:val="TextBody"/>
        <w:bidi w:val="0"/>
        <w:spacing w:before="90" w:after="240"/>
        <w:jc w:val="left"/>
        <w:rPr>
          <w:rFonts w:ascii="sans-serif" w:hAnsi="sans-serif"/>
          <w:color w:val="000000"/>
          <w:sz w:val="20"/>
        </w:rPr>
      </w:pPr>
      <w:r>
        <w:rPr>
          <w:rFonts w:ascii="sans-serif" w:hAnsi="sans-serif"/>
          <w:color w:val="000000"/>
          <w:sz w:val="20"/>
        </w:rPr>
        <w:t>The following table summarizes our cash flows for the periods indicated (in millions):</w:t>
      </w:r>
    </w:p>
    <w:tbl>
      <w:tblPr>
        <w:tblW w:w="10100" w:type="dxa"/>
        <w:jc w:val="left"/>
        <w:tblInd w:w="0" w:type="dxa"/>
        <w:tblLayout w:type="fixed"/>
        <w:tblCellMar>
          <w:top w:w="28" w:type="dxa"/>
          <w:left w:w="28" w:type="dxa"/>
          <w:bottom w:w="28" w:type="dxa"/>
          <w:right w:w="28" w:type="dxa"/>
        </w:tblCellMar>
      </w:tblPr>
      <w:tblGrid>
        <w:gridCol w:w="7086"/>
        <w:gridCol w:w="318"/>
        <w:gridCol w:w="763"/>
        <w:gridCol w:w="255"/>
        <w:gridCol w:w="206"/>
        <w:gridCol w:w="318"/>
        <w:gridCol w:w="763"/>
        <w:gridCol w:w="391"/>
      </w:tblGrid>
      <w:tr>
        <w:trPr/>
        <w:tc>
          <w:tcPr>
            <w:tcW w:w="708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8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used in operating activities</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(294</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(275</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(used in) provided by investing activities</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86" w:type="dxa"/>
            <w:tcBorders/>
            <w:shd w:fill="CCEE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 provided by financing activities</w:t>
            </w:r>
          </w:p>
        </w:tc>
        <w:tc>
          <w:tcPr>
            <w:tcW w:w="3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5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70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 of exchange rate changes on cash</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8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(decrease) increase in cash, cash equivalents and restricted cash</w:t>
            </w:r>
          </w:p>
        </w:tc>
        <w:tc>
          <w:tcPr>
            <w:tcW w:w="31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(296</w:t>
            </w:r>
          </w:p>
        </w:tc>
        <w:tc>
          <w:tcPr>
            <w:tcW w:w="25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70" w:after="283"/>
        <w:jc w:val="left"/>
        <w:rPr>
          <w:rFonts w:ascii="sans-serif" w:hAnsi="sans-serif"/>
          <w:b/>
          <w:i/>
          <w:color w:val="000000"/>
          <w:sz w:val="20"/>
        </w:rPr>
      </w:pPr>
      <w:r>
        <w:rPr>
          <w:rFonts w:ascii="sans-serif" w:hAnsi="sans-serif"/>
          <w:b/>
          <w:i/>
          <w:color w:val="000000"/>
          <w:sz w:val="20"/>
        </w:rPr>
        <w:t>Cash Used in Operating Activities</w:t>
      </w:r>
    </w:p>
    <w:p>
      <w:pPr>
        <w:pStyle w:val="TextBody"/>
        <w:bidi w:val="0"/>
        <w:spacing w:before="90" w:after="283"/>
        <w:jc w:val="left"/>
        <w:rPr>
          <w:rFonts w:ascii="Times New Roman" w:hAnsi="Times New Roman"/>
          <w:sz w:val="20"/>
        </w:rPr>
      </w:pPr>
      <w:r>
        <w:rPr>
          <w:rFonts w:ascii="sans-serif" w:hAnsi="sans-serif"/>
          <w:color w:val="000000"/>
          <w:sz w:val="20"/>
        </w:rPr>
        <w:t>Our primary use of cash is to fund operating expenses, which consist primarily of research and development and commercial expenditures. Due to our significant research and development expenditures, we have generated significant operating losses since our inception. Cash used to fund operating expenses is affected by the timing of when we pay these expenses, as reflected in the change in our outstanding accounts payable and accrued expenses.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Cash used in operating activities for the six months ended June 30, 2026 was $294 million and primarily reflected a net loss of $277 million, partially offset by non-cash items of $63 million, net, which consisted primarily of stock-based compensation, amortization of discounts on marketable securities, depreciation and amortization, non-cash royalty revenue, and non-cash interest expense related to the sale of future royalties. The change in operating assets and liabilities also reflected a net use of cash of $80 million, primarily due to a net increase of accounts receivable related to timing of orders and collections, combined with a decrease in accounts payable, accrued and other liabilities primarily due to decreases in accrued manufacturing due to payment or settlement of accrued costs related to stoppage of manufacturing for UX143 and the payout of 2025 annual bonuses.</w:t>
      </w:r>
    </w:p>
    <w:p>
      <w:pPr>
        <w:pStyle w:val="TextBody"/>
        <w:bidi w:val="0"/>
        <w:spacing w:before="90" w:after="283"/>
        <w:jc w:val="left"/>
        <w:rPr>
          <w:rFonts w:ascii="sans-serif" w:hAnsi="sans-serif"/>
          <w:color w:val="000000"/>
          <w:sz w:val="20"/>
        </w:rPr>
      </w:pPr>
      <w:r>
        <w:rPr>
          <w:rFonts w:ascii="sans-serif" w:hAnsi="sans-serif"/>
          <w:color w:val="000000"/>
          <w:sz w:val="20"/>
        </w:rPr>
        <w:t>Cash used in operating activities for the six months ended June 30, 2025 was $275 million and primarily reflected a net loss of $266 million, partially offset by non-cash items of $70 million, net, which consisted primarily of stock-based compensation, amortization of discounts on marketable debt securities, depreciation and amortization, non-cash royalty revenue, and non-cash interest expense related to the sale of future royalties. The change in operating assets and liabilities also reflected a net use of cash of $79 million, primarily due to a net decrease in accounts payable, accrued and other liabilities primarily due to the payout of the 2024 annual bonuses and decreases in accrued collaboration for payment of a milestone to a collaboration partner of $30 million, an increase in prepaid manufacturing expense.</w:t>
      </w:r>
    </w:p>
    <w:p>
      <w:pPr>
        <w:pStyle w:val="TextBody"/>
        <w:bidi w:val="0"/>
        <w:spacing w:before="270" w:after="283"/>
        <w:jc w:val="left"/>
        <w:rPr>
          <w:rFonts w:ascii="sans-serif" w:hAnsi="sans-serif"/>
          <w:b/>
          <w:i/>
          <w:color w:val="000000"/>
          <w:sz w:val="20"/>
        </w:rPr>
      </w:pPr>
      <w:r>
        <w:rPr>
          <w:rFonts w:ascii="sans-serif" w:hAnsi="sans-serif"/>
          <w:b/>
          <w:i/>
          <w:color w:val="000000"/>
          <w:sz w:val="20"/>
        </w:rPr>
        <w:t>Cash (Used in) Provided by Investing Activities</w:t>
      </w:r>
    </w:p>
    <w:p>
      <w:pPr>
        <w:pStyle w:val="TextBody"/>
        <w:bidi w:val="0"/>
        <w:spacing w:before="90" w:after="283"/>
        <w:jc w:val="left"/>
        <w:rPr>
          <w:rFonts w:ascii="sans-serif" w:hAnsi="sans-serif"/>
          <w:color w:val="000000"/>
          <w:sz w:val="20"/>
        </w:rPr>
      </w:pPr>
      <w:r>
        <w:rPr>
          <w:rFonts w:ascii="sans-serif" w:hAnsi="sans-serif"/>
          <w:color w:val="000000"/>
          <w:sz w:val="20"/>
        </w:rPr>
        <w:t>Cash used in investing activities for the six months ended June 30, 2026 was $5 million and was primarily related to the payment to a collaboration partner for the achievement of a milestone under the collaboration agreement recorded as an intangible asset.</w:t>
      </w:r>
    </w:p>
    <w:p>
      <w:pPr>
        <w:pStyle w:val="TextBody"/>
        <w:bidi w:val="0"/>
        <w:spacing w:before="90" w:after="283"/>
        <w:jc w:val="left"/>
        <w:rPr>
          <w:rFonts w:ascii="sans-serif" w:hAnsi="sans-serif"/>
          <w:color w:val="000000"/>
          <w:sz w:val="20"/>
        </w:rPr>
      </w:pPr>
      <w:r>
        <w:rPr>
          <w:rFonts w:ascii="sans-serif" w:hAnsi="sans-serif"/>
          <w:color w:val="000000"/>
          <w:sz w:val="20"/>
        </w:rPr>
        <w:t>Cash provided by investing activities for the six months ended June 30, 2025 was $191 million and was primarily related to $210 million from net activities in marketable debt securities, partially offset by the payment to a collaboration partner of $15 million for the achievement of a milestone under the collaboration agreement recorded as an intangible asset.</w:t>
      </w:r>
    </w:p>
    <w:p>
      <w:pPr>
        <w:pStyle w:val="TextBody"/>
        <w:bidi w:val="0"/>
        <w:jc w:val="center"/>
        <w:rPr>
          <w:rFonts w:ascii="sans-serif" w:hAnsi="sans-serif"/>
          <w:color w:val="000000"/>
          <w:sz w:val="20"/>
        </w:rPr>
      </w:pPr>
      <w:r>
        <w:rPr>
          <w:rFonts w:ascii="sans-serif" w:hAnsi="sans-serif"/>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sans-serif" w:hAnsi="sans-serif"/>
          <w:b/>
          <w:i/>
          <w:color w:val="000000"/>
          <w:sz w:val="20"/>
        </w:rPr>
      </w:pPr>
      <w:r>
        <w:rPr>
          <w:rFonts w:ascii="sans-serif" w:hAnsi="sans-serif"/>
          <w:b/>
          <w:i/>
          <w:color w:val="000000"/>
          <w:sz w:val="20"/>
        </w:rPr>
        <w:t>Cash Provided by Financing Activities</w:t>
      </w:r>
    </w:p>
    <w:p>
      <w:pPr>
        <w:pStyle w:val="TextBody"/>
        <w:bidi w:val="0"/>
        <w:spacing w:before="90" w:after="283"/>
        <w:jc w:val="left"/>
        <w:rPr>
          <w:rFonts w:ascii="sans-serif" w:hAnsi="sans-serif"/>
          <w:color w:val="000000"/>
          <w:sz w:val="20"/>
        </w:rPr>
      </w:pPr>
      <w:r>
        <w:rPr>
          <w:rFonts w:ascii="sans-serif" w:hAnsi="sans-serif"/>
          <w:color w:val="000000"/>
          <w:sz w:val="20"/>
        </w:rPr>
        <w:t>Cash provided by financing activities for the six months ended June 30, 2026 was $3 million and was primarily related to net proceeds from the issuance of common stock under equity plans.</w:t>
      </w:r>
    </w:p>
    <w:p>
      <w:pPr>
        <w:pStyle w:val="TextBody"/>
        <w:bidi w:val="0"/>
        <w:spacing w:before="90" w:after="283"/>
        <w:jc w:val="left"/>
        <w:rPr>
          <w:rFonts w:ascii="sans-serif" w:hAnsi="sans-serif"/>
          <w:color w:val="000000"/>
          <w:sz w:val="20"/>
        </w:rPr>
      </w:pPr>
      <w:r>
        <w:rPr>
          <w:rFonts w:ascii="sans-serif" w:hAnsi="sans-serif"/>
          <w:color w:val="000000"/>
          <w:sz w:val="20"/>
        </w:rPr>
        <w:t>Cash provided by financing activities for the six months ended June 30, 2025 was $84 million and was primarily related to net proceeds from our ATM offering.</w:t>
      </w:r>
    </w:p>
    <w:p>
      <w:pPr>
        <w:pStyle w:val="TextBody"/>
        <w:bidi w:val="0"/>
        <w:spacing w:before="270" w:after="283"/>
        <w:jc w:val="left"/>
        <w:rPr>
          <w:rFonts w:ascii="sans-serif" w:hAnsi="sans-serif"/>
          <w:b/>
          <w:color w:val="000000"/>
          <w:sz w:val="20"/>
        </w:rPr>
      </w:pPr>
      <w:r>
        <w:rPr>
          <w:rFonts w:ascii="sans-serif" w:hAnsi="sans-serif"/>
          <w:b/>
          <w:color w:val="000000"/>
          <w:sz w:val="20"/>
        </w:rPr>
        <w:t>Funding Requirements</w:t>
      </w:r>
    </w:p>
    <w:p>
      <w:pPr>
        <w:pStyle w:val="TextBody"/>
        <w:bidi w:val="0"/>
        <w:spacing w:before="90" w:after="283"/>
        <w:jc w:val="left"/>
        <w:rPr>
          <w:rFonts w:ascii="sans-serif" w:hAnsi="sans-serif"/>
          <w:color w:val="000000"/>
          <w:sz w:val="20"/>
        </w:rPr>
      </w:pPr>
      <w:r>
        <w:rPr>
          <w:rFonts w:ascii="sans-serif" w:hAnsi="sans-serif"/>
          <w:color w:val="000000"/>
          <w:sz w:val="20"/>
        </w:rPr>
        <w:t>We anticipate that, excluding non-recurring items, we will continue to generate annual losses in the near term as we continue the development of, and seek regulatory approvals for, our product candidates, and continue with commercialization of approved products. We may require additional capital to fund our operations, to complete our ongoing and planned clinical studies, to commercialize our products, to continue investing in early-stage research capabilities to promote our pipeline growth, to continue to acquire or invest in businesses or products that complement or expand our business, including future milestone payments thereunder, and to further develop our general infrastructure and such funding may not be available to us on acceptable terms or at all.</w:t>
      </w:r>
    </w:p>
    <w:p>
      <w:pPr>
        <w:pStyle w:val="TextBody"/>
        <w:bidi w:val="0"/>
        <w:spacing w:before="90" w:after="283"/>
        <w:jc w:val="left"/>
        <w:rPr>
          <w:rFonts w:ascii="sans-serif" w:hAnsi="sans-serif"/>
          <w:color w:val="000000"/>
          <w:sz w:val="20"/>
        </w:rPr>
      </w:pPr>
      <w:r>
        <w:rPr>
          <w:rFonts w:ascii="sans-serif" w:hAnsi="sans-serif"/>
          <w:color w:val="000000"/>
          <w:sz w:val="20"/>
        </w:rPr>
        <w:t>If we are unable to raise additional capital in sufficient amounts or on terms acceptable to us, we may be required to delay, limit, reduce the scope of, or terminate one or more of our clinical studies, research and development programs, future commercialization efforts, or grant rights to develop and market product candidates that we would otherwise prefer to develop and market ourselves.</w:t>
      </w:r>
    </w:p>
    <w:p>
      <w:pPr>
        <w:pStyle w:val="TextBody"/>
        <w:bidi w:val="0"/>
        <w:spacing w:before="90" w:after="283"/>
        <w:jc w:val="left"/>
        <w:rPr>
          <w:rFonts w:ascii="sans-serif" w:hAnsi="sans-serif"/>
          <w:color w:val="000000"/>
          <w:sz w:val="20"/>
        </w:rPr>
      </w:pPr>
      <w:r>
        <w:rPr>
          <w:rFonts w:ascii="sans-serif" w:hAnsi="sans-serif"/>
          <w:color w:val="000000"/>
          <w:sz w:val="20"/>
        </w:rPr>
        <w:t>Our future funding requirements will depend on many factors, including the following:</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scope, rate of progress, results and cost of our clinical studies, nonclinical testing, and other related activities;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the cost of manufacturing clinical supplies, and establishing commercial supplies, of our product candidates, products that we have begun to commercialize, and any products that we may develop in the future;</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the cost of operating our GMP gene therapy manufacturing facility;</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number and characteristics of product candidates that we pursue;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cost, timing, and outcomes of regulatory interactions and approvals;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cost and timing of establishing our commercial infrastructure, and distribution capabilities;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the impact of macroeconomic conditions, including general economic slowdowns, changing interest rates and inflation on our business operations and operating results; and</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the terms and timing of any collaborative, licensing, marketing, distribution, acquisition and other arrangements that we may establish, including any required upfront milestone, royalty, reimbursements or other payments thereunder.</w:t>
      </w:r>
    </w:p>
    <w:p>
      <w:pPr>
        <w:pStyle w:val="TextBody"/>
        <w:bidi w:val="0"/>
        <w:jc w:val="center"/>
        <w:rPr>
          <w:rFonts w:ascii="sans-serif" w:hAnsi="sans-serif"/>
          <w:color w:val="000000"/>
          <w:sz w:val="20"/>
        </w:rPr>
      </w:pPr>
      <w:r>
        <w:rPr>
          <w:rFonts w:ascii="sans-serif" w:hAnsi="sans-serif"/>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We expect to satisfy future cash needs through existing capital balances, revenue from our commercial products, and a combination of public or private equity offerings, debt financings, collaborations, strategic alliances, licensing arrangements, sales of future royalties and other marketing and distribution arrangements. Please see “Risk Factors—Risks Related to Our Financial Condition and Capital Requirements.”</w:t>
      </w:r>
    </w:p>
    <w:p>
      <w:pPr>
        <w:pStyle w:val="TextBody"/>
        <w:bidi w:val="0"/>
        <w:spacing w:before="270" w:after="283"/>
        <w:jc w:val="left"/>
        <w:rPr>
          <w:rFonts w:ascii="sans-serif" w:hAnsi="sans-serif"/>
          <w:b/>
          <w:color w:val="000000"/>
          <w:sz w:val="20"/>
        </w:rPr>
      </w:pPr>
      <w:r>
        <w:rPr>
          <w:rFonts w:ascii="sans-serif" w:hAnsi="sans-serif"/>
          <w:b/>
          <w:color w:val="000000"/>
          <w:sz w:val="20"/>
        </w:rPr>
        <w:t>Contractual Obligations and Commitments</w:t>
      </w:r>
    </w:p>
    <w:p>
      <w:pPr>
        <w:pStyle w:val="TextBody"/>
        <w:bidi w:val="0"/>
        <w:spacing w:before="90" w:after="90"/>
        <w:jc w:val="left"/>
        <w:rPr>
          <w:rFonts w:ascii="Times New Roman" w:hAnsi="Times New Roman"/>
          <w:sz w:val="20"/>
        </w:rPr>
      </w:pPr>
      <w:r>
        <w:rPr>
          <w:rFonts w:ascii="sans-serif" w:hAnsi="sans-serif"/>
          <w:color w:val="000000"/>
          <w:sz w:val="20"/>
        </w:rPr>
        <w:t>Material contractual obligations arising in the normal course of business primarily consist of operating and finance leases and manufacturing and service contract obligations.</w:t>
      </w:r>
      <w:r>
        <w:rPr>
          <w:rFonts w:ascii="Times New Roman" w:hAnsi="Times New Roman"/>
          <w:color w:val="000000"/>
          <w:sz w:val="20"/>
        </w:rPr>
        <w:t xml:space="preserve"> </w:t>
      </w:r>
    </w:p>
    <w:p>
      <w:pPr>
        <w:pStyle w:val="TextBody"/>
        <w:bidi w:val="0"/>
        <w:spacing w:before="0" w:after="90"/>
        <w:jc w:val="left"/>
        <w:rPr>
          <w:rFonts w:ascii="sans-serif" w:hAnsi="sans-serif"/>
          <w:color w:val="000000"/>
          <w:sz w:val="20"/>
        </w:rPr>
      </w:pPr>
      <w:r>
        <w:rPr>
          <w:rFonts w:ascii="sans-serif" w:hAnsi="sans-serif"/>
          <w:color w:val="000000"/>
          <w:sz w:val="20"/>
        </w:rPr>
        <w:t>Future minimum lease payments under non-cancellable leases as of June 30, 2026, were approximately $36 million, of which $13 million is due within one year.</w:t>
      </w:r>
    </w:p>
    <w:p>
      <w:pPr>
        <w:pStyle w:val="TextBody"/>
        <w:bidi w:val="0"/>
        <w:spacing w:before="0" w:after="90"/>
        <w:jc w:val="left"/>
        <w:rPr>
          <w:rFonts w:ascii="sans-serif" w:hAnsi="sans-serif"/>
          <w:color w:val="000000"/>
          <w:sz w:val="20"/>
        </w:rPr>
      </w:pPr>
      <w:r>
        <w:rPr>
          <w:rFonts w:ascii="sans-serif" w:hAnsi="sans-serif"/>
          <w:color w:val="000000"/>
          <w:sz w:val="20"/>
        </w:rPr>
        <w:t>Manufacturing and service contract obligations primarily relate to manufacturing of product for our clinical stage pipeline, the majority of which are due in the next 12 months.</w:t>
      </w:r>
    </w:p>
    <w:p>
      <w:pPr>
        <w:pStyle w:val="TextBody"/>
        <w:bidi w:val="0"/>
        <w:jc w:val="left"/>
        <w:rPr>
          <w:rFonts w:ascii="Times New Roman" w:hAnsi="Times New Roman"/>
          <w:sz w:val="20"/>
        </w:rPr>
      </w:pPr>
      <w:r>
        <w:rPr>
          <w:rFonts w:ascii="sans-serif" w:hAnsi="sans-serif"/>
          <w:color w:val="000000"/>
          <w:sz w:val="20"/>
        </w:rPr>
        <w:t>We generally expect to satisfy these commitments with cash on hand and cash provided by operating activities. The terms of certain of our licenses, royalties, development and collaboration agreements, as well as other research and development activities, require us to pay potential future milestone payments based on product development success. The amount and timing of such obligations are unknown or uncertain.</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bookmarkStart w:id="12" w:name="item_3_quantitative"/>
      <w:bookmarkEnd w:id="12"/>
      <w:r>
        <w:rPr>
          <w:rFonts w:ascii="sans-serif" w:hAnsi="sans-serif"/>
          <w:b/>
          <w:color w:val="000000"/>
          <w:sz w:val="20"/>
        </w:rPr>
        <w:t>Item 3.</w:t>
      </w:r>
      <w:r>
        <w:rPr>
          <w:rFonts w:ascii="Times New Roman" w:hAnsi="Times New Roman"/>
          <w:color w:val="000000"/>
          <w:sz w:val="20"/>
        </w:rPr>
        <w:t xml:space="preserve"> </w:t>
      </w:r>
      <w:r>
        <w:rPr>
          <w:rFonts w:ascii="sans-serif" w:hAnsi="sans-serif"/>
          <w:b/>
          <w:i/>
          <w:color w:val="000000"/>
          <w:sz w:val="20"/>
        </w:rPr>
        <w:t>Quantitative and Qualitative Disclosures about Market Risk</w:t>
      </w:r>
      <w:r>
        <w:rPr>
          <w:rFonts w:ascii="Times New Roman" w:hAnsi="Times New Roman"/>
          <w:color w:val="000000"/>
          <w:sz w:val="20"/>
        </w:rPr>
        <w:t xml:space="preserve"> </w:t>
      </w:r>
    </w:p>
    <w:p>
      <w:pPr>
        <w:pStyle w:val="TextBody"/>
        <w:bidi w:val="0"/>
        <w:spacing w:before="90" w:after="283"/>
        <w:jc w:val="left"/>
        <w:rPr>
          <w:rFonts w:ascii="sans-serif" w:hAnsi="sans-serif"/>
          <w:b/>
          <w:color w:val="000000"/>
          <w:sz w:val="20"/>
        </w:rPr>
      </w:pPr>
      <w:r>
        <w:rPr>
          <w:rFonts w:ascii="sans-serif" w:hAnsi="sans-serif"/>
          <w:b/>
          <w:color w:val="000000"/>
          <w:sz w:val="20"/>
        </w:rPr>
        <w:t>Interest Rate Risk</w:t>
      </w:r>
    </w:p>
    <w:p>
      <w:pPr>
        <w:pStyle w:val="TextBody"/>
        <w:bidi w:val="0"/>
        <w:spacing w:before="90" w:after="283"/>
        <w:jc w:val="left"/>
        <w:rPr>
          <w:rFonts w:ascii="sans-serif" w:hAnsi="sans-serif"/>
          <w:color w:val="000000"/>
          <w:sz w:val="20"/>
        </w:rPr>
      </w:pPr>
      <w:r>
        <w:rPr>
          <w:rFonts w:ascii="sans-serif" w:hAnsi="sans-serif"/>
          <w:color w:val="000000"/>
          <w:sz w:val="20"/>
        </w:rPr>
        <w:t>Our exposure to market risk for changes in interest rates relates primarily to interest earned on our cash equivalents and marketable securities. The primary objective of our investment activities is to preserve our capital to fund operations. A secondary objective is to maximize income from our investments without assuming significant risk. Our investment policy provides for investments in low-risk, investment-grade debt instruments. As of June 30, 2026, we had cash, cash equivalents, and marketable securities totaling $436 million, compared to $737 million as of December 31, 2025, which included bank deposits, money market funds, U.S. government treasury and agency securities, and investment-grade corporate bond securities which are subject to default, changes in credit rating, and changes in market value. The securities in our investment portfolio are classified as available for sale and are subject to interest rate risk and will decrease in value if market interest rates increase. A hypothetical 100 basis point change in interest rates during any of the periods presented would not have had a material impact on the fair market value of our cash equivalents and marketable securities as of June 30, 2026 or December 31, 2025. To date, we have not experienced a loss of principal on any of our investments and as of June 30, 2026, we did not record any allowance for credit loss from our investments.</w:t>
      </w:r>
    </w:p>
    <w:p>
      <w:pPr>
        <w:pStyle w:val="TextBody"/>
        <w:bidi w:val="0"/>
        <w:spacing w:before="270" w:after="283"/>
        <w:jc w:val="left"/>
        <w:rPr>
          <w:rFonts w:ascii="sans-serif" w:hAnsi="sans-serif"/>
          <w:b/>
          <w:color w:val="000000"/>
          <w:sz w:val="20"/>
        </w:rPr>
      </w:pPr>
      <w:r>
        <w:rPr>
          <w:rFonts w:ascii="sans-serif" w:hAnsi="sans-serif"/>
          <w:b/>
          <w:color w:val="000000"/>
          <w:sz w:val="20"/>
        </w:rPr>
        <w:t>Foreign Currency Risk</w:t>
      </w:r>
    </w:p>
    <w:p>
      <w:pPr>
        <w:pStyle w:val="TextBody"/>
        <w:bidi w:val="0"/>
        <w:spacing w:before="90" w:after="283"/>
        <w:jc w:val="left"/>
        <w:rPr>
          <w:rFonts w:ascii="Times New Roman" w:hAnsi="Times New Roman"/>
          <w:sz w:val="20"/>
        </w:rPr>
      </w:pPr>
      <w:r>
        <w:rPr>
          <w:rFonts w:ascii="sans-serif" w:hAnsi="sans-serif"/>
          <w:color w:val="000000"/>
          <w:sz w:val="20"/>
        </w:rPr>
        <w:t>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Volatile market conditions arising from the macro-economic environment (including financial conditions affecting the banking system and financial institutions), inflation, or global political instability may result in significant changes in exchange rates, and in particular a weakening of foreign currencies relative to the U.S. dollar may negatively affect our revenue and operating income as expressed in U.S. dollars. An adverse movement in foreign exchange rates could have a material effect on payments made to foreign suppliers and payments related to license agreements. For the three and six months ended June 30, 2026, a majority of our revenue, expenses, and capital expenditures were denominated in U.S. dollars. A hypothetical 10% change in foreign exchange rates during any of the periods presented would not have had a material impact on our Condensed Consolidated Financial Statements.</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bookmarkStart w:id="13" w:name="item_4_controls"/>
      <w:bookmarkEnd w:id="13"/>
      <w:r>
        <w:rPr>
          <w:rFonts w:ascii="sans-serif" w:hAnsi="sans-serif"/>
          <w:b/>
          <w:i/>
          <w:color w:val="000000"/>
          <w:sz w:val="20"/>
        </w:rPr>
        <w:t>Item</w:t>
      </w:r>
      <w:r>
        <w:rPr>
          <w:rFonts w:ascii="Times New Roman" w:hAnsi="Times New Roman"/>
          <w:color w:val="000000"/>
          <w:sz w:val="20"/>
        </w:rPr>
        <w:t xml:space="preserve"> </w:t>
      </w:r>
      <w:r>
        <w:rPr>
          <w:rFonts w:ascii="sans-serif" w:hAnsi="sans-serif"/>
          <w:b/>
          <w:color w:val="000000"/>
          <w:sz w:val="20"/>
        </w:rPr>
        <w:t>4.</w:t>
      </w:r>
      <w:r>
        <w:rPr>
          <w:rFonts w:ascii="Times New Roman" w:hAnsi="Times New Roman"/>
          <w:color w:val="000000"/>
          <w:sz w:val="20"/>
        </w:rPr>
        <w:t xml:space="preserve"> </w:t>
      </w:r>
      <w:r>
        <w:rPr>
          <w:rFonts w:ascii="sans-serif" w:hAnsi="sans-serif"/>
          <w:b/>
          <w:i/>
          <w:color w:val="000000"/>
          <w:sz w:val="20"/>
        </w:rPr>
        <w:t>Controls and Procedures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b/>
          <w:color w:val="000000"/>
          <w:sz w:val="20"/>
        </w:rPr>
        <w:t>Evaluation of Disclosure Controls and Procedures</w:t>
      </w:r>
      <w:r>
        <w:rPr>
          <w:rFonts w:ascii="Times New Roman" w:hAnsi="Times New Roman"/>
          <w:color w:val="000000"/>
          <w:sz w:val="20"/>
        </w:rPr>
        <w:t xml:space="preserve"> </w:t>
      </w:r>
    </w:p>
    <w:p>
      <w:pPr>
        <w:pStyle w:val="TextBody"/>
        <w:bidi w:val="0"/>
        <w:spacing w:before="90" w:after="270"/>
        <w:jc w:val="left"/>
        <w:rPr>
          <w:rFonts w:ascii="sans-serif" w:hAnsi="sans-serif"/>
          <w:color w:val="000000"/>
          <w:sz w:val="20"/>
        </w:rPr>
      </w:pPr>
      <w:r>
        <w:rPr>
          <w:rFonts w:ascii="sans-serif" w:hAnsi="sans-serif"/>
          <w:color w:val="000000"/>
          <w:sz w:val="20"/>
        </w:rPr>
        <w:t>Management carried out an evaluation, under the supervision and with the participation of our Principal Executive Officer and Principal Financial Officer, of the effectiveness of our “disclosure controls and procedures” as of the end of the period covered by this Quarterly Report, pursuant to Rules 13a-15(b) and 15d-15(b) under the Securities Exchange Act of 1934, or the Exchange Act. In connection with that evaluation, our Principal Executive Officer and Principal Financial Officer concluded that our disclosure controls and procedures were effective and designed to provide reasonable assurance that the information required to be disclosed is recorded, processed, summarized, and reported within the time periods specified in the SEC rules and forms as of June 30, 2026. For the purpose of this review,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and Principal Financial Officer,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 and our management necessarily applies its judgment in evaluating the cost-benefit relationship of possible controls and procedures.</w:t>
      </w:r>
    </w:p>
    <w:p>
      <w:pPr>
        <w:pStyle w:val="TextBody"/>
        <w:bidi w:val="0"/>
        <w:jc w:val="left"/>
        <w:rPr>
          <w:rFonts w:ascii="Times New Roman" w:hAnsi="Times New Roman"/>
          <w:sz w:val="20"/>
        </w:rPr>
      </w:pPr>
      <w:r>
        <w:rPr>
          <w:rFonts w:ascii="sans-serif" w:hAnsi="sans-serif"/>
          <w:b/>
          <w:color w:val="000000"/>
          <w:sz w:val="20"/>
        </w:rPr>
        <w:t>Changes in Internal Control over Financial Reporting</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There have been no changes in our internal control over financial reporting (as defined in Rules 13a-15(f) and 15d-15(f) under the Exchange Act) during our quarter ended June 30, 2026, that has materially affected, or is reasonably likely to materially affect our internal control over financial reporting.</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bookmarkStart w:id="14" w:name="part_ii"/>
      <w:bookmarkEnd w:id="14"/>
      <w:r>
        <w:rPr>
          <w:rFonts w:ascii="sans-serif" w:hAnsi="sans-serif"/>
          <w:b/>
          <w:color w:val="000000"/>
          <w:sz w:val="20"/>
        </w:rPr>
        <w:t>PART II. OTHER INFORMATION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bookmarkStart w:id="15" w:name="item_1_legal"/>
      <w:bookmarkEnd w:id="15"/>
      <w:r>
        <w:rPr>
          <w:rFonts w:ascii="sans-serif" w:hAnsi="sans-serif"/>
          <w:b/>
          <w:color w:val="000000"/>
          <w:sz w:val="20"/>
        </w:rPr>
        <w:t>Item 1.</w:t>
      </w:r>
      <w:r>
        <w:rPr>
          <w:rFonts w:ascii="Times New Roman" w:hAnsi="Times New Roman"/>
          <w:color w:val="000000"/>
          <w:sz w:val="20"/>
        </w:rPr>
        <w:t xml:space="preserve"> </w:t>
      </w:r>
      <w:r>
        <w:rPr>
          <w:rFonts w:ascii="sans-serif" w:hAnsi="sans-serif"/>
          <w:b/>
          <w:i/>
          <w:color w:val="000000"/>
          <w:sz w:val="20"/>
        </w:rPr>
        <w:t>Legal Proceedings</w:t>
      </w:r>
    </w:p>
    <w:p>
      <w:pPr>
        <w:pStyle w:val="TextBody"/>
        <w:bidi w:val="0"/>
        <w:spacing w:before="90" w:after="283"/>
        <w:jc w:val="left"/>
        <w:rPr>
          <w:rFonts w:ascii="sans-serif" w:hAnsi="sans-serif"/>
          <w:i/>
          <w:color w:val="000000"/>
          <w:sz w:val="20"/>
        </w:rPr>
      </w:pPr>
      <w:r>
        <w:rPr>
          <w:rFonts w:ascii="sans-serif" w:hAnsi="sans-serif"/>
          <w:i/>
          <w:color w:val="000000"/>
          <w:sz w:val="20"/>
        </w:rPr>
        <w:t>Ultragenyx Pharmaceutical Inc. and Baylor Research Institute v. Navinta LLC, Aurobindo Pharma Limited, Aurobindo Pharma USA, Inc., Esjay Pharma Private Limited, and Esjay Pharma LLC</w:t>
      </w:r>
    </w:p>
    <w:p>
      <w:pPr>
        <w:pStyle w:val="TextBody"/>
        <w:bidi w:val="0"/>
        <w:spacing w:before="90" w:after="283"/>
        <w:jc w:val="left"/>
        <w:rPr>
          <w:rFonts w:ascii="Times New Roman" w:hAnsi="Times New Roman"/>
          <w:sz w:val="20"/>
        </w:rPr>
      </w:pPr>
      <w:r>
        <w:rPr>
          <w:rFonts w:ascii="sans-serif" w:hAnsi="sans-serif"/>
          <w:i/>
          <w:color w:val="000000"/>
          <w:sz w:val="20"/>
        </w:rPr>
        <w:t>Ultragenyx Pharmaceutical Inc. and Baylor Research Institute v. Somerset Therapeutics LLC, Somerset Pharma LLC, Somerset Therapeutics Private Limited, and Odin Pharmaceuticals LLC</w:t>
      </w:r>
      <w:r>
        <w:rPr>
          <w:rFonts w:ascii="Times New Roman" w:hAnsi="Times New Roman"/>
          <w:color w:val="000000"/>
          <w:sz w:val="20"/>
        </w:rPr>
        <w:t xml:space="preserve"> </w:t>
      </w:r>
    </w:p>
    <w:p>
      <w:pPr>
        <w:pStyle w:val="TextBody"/>
        <w:bidi w:val="0"/>
        <w:spacing w:before="90" w:after="283"/>
        <w:jc w:val="left"/>
        <w:rPr>
          <w:rFonts w:ascii="sans-serif" w:hAnsi="sans-serif"/>
          <w:i/>
          <w:color w:val="000000"/>
          <w:sz w:val="20"/>
        </w:rPr>
      </w:pPr>
      <w:r>
        <w:rPr>
          <w:rFonts w:ascii="sans-serif" w:hAnsi="sans-serif"/>
          <w:i/>
          <w:color w:val="000000"/>
          <w:sz w:val="20"/>
        </w:rPr>
        <w:t>Ultragenyx Pharmaceutical Inc. and Baylor Research Institute v. Sun Pharmaceutical Industries Limited and Sun Pharmaceutical Industries, Inc.</w:t>
      </w:r>
    </w:p>
    <w:p>
      <w:pPr>
        <w:pStyle w:val="TextBody"/>
        <w:bidi w:val="0"/>
        <w:spacing w:before="90" w:after="283"/>
        <w:jc w:val="left"/>
        <w:rPr>
          <w:rFonts w:ascii="Times New Roman" w:hAnsi="Times New Roman"/>
          <w:sz w:val="20"/>
        </w:rPr>
      </w:pPr>
      <w:r>
        <w:rPr>
          <w:rFonts w:ascii="sans-serif" w:hAnsi="sans-serif"/>
          <w:color w:val="000000"/>
          <w:sz w:val="20"/>
        </w:rPr>
        <w:t>In September 2024, we filed a patent infringement suit in the United States District Court for the District of New Jersey asserting U.S. Patent No. 8,697,748, or the ’748 patent, a 2029-expiring patent listed in the FDA’s Orange Book for Dojolvi® (triheptanoin), under the Hatch-Waxman Act against Navinta LLC, or Navinta; Aurobindo Pharma Limited and</w:t>
      </w:r>
      <w:r>
        <w:rPr>
          <w:rFonts w:ascii="Times New Roman" w:hAnsi="Times New Roman"/>
          <w:color w:val="000000"/>
          <w:sz w:val="20"/>
        </w:rPr>
        <w:t xml:space="preserve"> </w:t>
      </w:r>
      <w:r>
        <w:rPr>
          <w:rFonts w:ascii="sans-serif" w:hAnsi="sans-serif"/>
          <w:color w:val="000000"/>
          <w:sz w:val="20"/>
        </w:rPr>
        <w:t>Aurobindo Pharma USA, Inc., or collectively, Aurobindo; and Esjay Pharma LLC</w:t>
      </w:r>
      <w:r>
        <w:rPr>
          <w:rFonts w:ascii="Times New Roman" w:hAnsi="Times New Roman"/>
          <w:color w:val="000000"/>
          <w:sz w:val="20"/>
        </w:rPr>
        <w:t xml:space="preserve"> </w:t>
      </w:r>
      <w:r>
        <w:rPr>
          <w:rFonts w:ascii="sans-serif" w:hAnsi="sans-serif"/>
          <w:color w:val="000000"/>
          <w:sz w:val="20"/>
        </w:rPr>
        <w:t>and Esjay Pharma Private Limited, or collectively, Esjay. The suit was filed in response to notices from Navinta, Aurobindo, and Esjay concerning their submission of Abbreviated New Drug Applications, or ANDAs, with the FDA, seeking FDA approval to market a generic version of Dojolvi® prior to the expiration of the ’748 patent.</w:t>
      </w:r>
    </w:p>
    <w:p>
      <w:pPr>
        <w:pStyle w:val="TextBody"/>
        <w:bidi w:val="0"/>
        <w:spacing w:before="90" w:after="283"/>
        <w:jc w:val="left"/>
        <w:rPr>
          <w:rFonts w:ascii="sans-serif" w:hAnsi="sans-serif"/>
          <w:color w:val="000000"/>
          <w:sz w:val="20"/>
        </w:rPr>
      </w:pPr>
      <w:r>
        <w:rPr>
          <w:rFonts w:ascii="sans-serif" w:hAnsi="sans-serif"/>
          <w:color w:val="000000"/>
          <w:sz w:val="20"/>
        </w:rPr>
        <w:t>In February 2026, we were granted U.S. Patent No. 12,551,461, or the ’461 patent. The ’461 patent was listed in the FDA’s Orange Book for Dojolvi® shortly after issuance. In April 2026, we filed an additional patent infringement suit asserting the ’461 patent against Navinta, Aurobindo, and Esjay. The ’461 patent is expected to expire in 2034.</w:t>
      </w:r>
    </w:p>
    <w:p>
      <w:pPr>
        <w:pStyle w:val="TextBody"/>
        <w:bidi w:val="0"/>
        <w:spacing w:before="90" w:after="283"/>
        <w:jc w:val="left"/>
        <w:rPr>
          <w:rFonts w:ascii="sans-serif" w:hAnsi="sans-serif"/>
          <w:color w:val="000000"/>
          <w:sz w:val="20"/>
        </w:rPr>
      </w:pPr>
      <w:r>
        <w:rPr>
          <w:rFonts w:ascii="sans-serif" w:hAnsi="sans-serif"/>
          <w:color w:val="000000"/>
          <w:sz w:val="20"/>
        </w:rPr>
        <w:t>In April 2026, we filed a patent infringement suit asserting the ’748 and ’461 patents under the Hatch-Waxman Act against Somerset Therapeutics LLC, Somerset Pharma LLC, Somerset Therapeutics Private Limited, and Odin Pharmaceuticals LLC, or collectively, Somerset, in the United States District Court for the District of New Jersey. The suit was filed in response to a notice from Somerset concerning its submission of an ANDA with the FDA, seeking FDA approval to market a generic version of Dojolvi® prior to the expiration of the ’748 and ’461 patents.</w:t>
      </w:r>
    </w:p>
    <w:p>
      <w:pPr>
        <w:pStyle w:val="TextBody"/>
        <w:bidi w:val="0"/>
        <w:spacing w:before="90" w:after="283"/>
        <w:jc w:val="left"/>
        <w:rPr>
          <w:rFonts w:ascii="sans-serif" w:hAnsi="sans-serif"/>
          <w:color w:val="000000"/>
          <w:sz w:val="20"/>
        </w:rPr>
      </w:pPr>
      <w:r>
        <w:rPr>
          <w:rFonts w:ascii="sans-serif" w:hAnsi="sans-serif"/>
          <w:color w:val="000000"/>
          <w:sz w:val="20"/>
        </w:rPr>
        <w:t>In April 2026, the United States District Court for the District of New Jersey consolidated the above-referenced suits against Navinta, Aurobindo, Esjay, and Somerset.</w:t>
      </w:r>
    </w:p>
    <w:p>
      <w:pPr>
        <w:pStyle w:val="TextBody"/>
        <w:bidi w:val="0"/>
        <w:spacing w:before="90" w:after="283"/>
        <w:jc w:val="left"/>
        <w:rPr>
          <w:rFonts w:ascii="Times New Roman" w:hAnsi="Times New Roman"/>
          <w:sz w:val="20"/>
        </w:rPr>
      </w:pPr>
      <w:r>
        <w:rPr>
          <w:rFonts w:ascii="sans-serif" w:hAnsi="sans-serif"/>
          <w:color w:val="000000"/>
          <w:sz w:val="20"/>
        </w:rPr>
        <w:t>In July 2026, we filed a patent infringement suit asserting the ‘748 and ‘461 patents under the Hatch-Waxman Act against Sun Pharmaceutical Industries Limited and Sun Pharmaceutical Industries, Inc., or collectively Sun Pharma, in the United States District Court for the District of New Jersey. The suit was filed in response to a notice from Sun Pharma concerning the submission of an ANDA with the FDA, seeking FDA approval to market a generic version of Dojolvi® prior to the expiration of the ‘748 and ‘461 patents.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In addition to the ’748 and ’461 patents for Dojolvi listed in the Orange Book, Dojolvi is also protected in the U.S. by orphan drug exclusivity for the treatment of pediatric and adult patients with molecularly confirmed long-chain fatty acid oxidation disorders (LC-FAOD) until June 30, 2027.</w:t>
      </w:r>
    </w:p>
    <w:p>
      <w:pPr>
        <w:pStyle w:val="TextBody"/>
        <w:bidi w:val="0"/>
        <w:spacing w:before="90" w:after="283"/>
        <w:jc w:val="left"/>
        <w:rPr>
          <w:rFonts w:ascii="Times New Roman" w:hAnsi="Times New Roman"/>
          <w:sz w:val="20"/>
        </w:rPr>
      </w:pPr>
      <w:r>
        <w:rPr>
          <w:rFonts w:ascii="sans-serif" w:hAnsi="sans-serif"/>
          <w:i/>
          <w:color w:val="000000"/>
          <w:sz w:val="20"/>
        </w:rPr>
        <w:t>Ultragenyx Pharmaceutical Inc. v. Catalent Maryland, Inc. and Catalent Pharma Solutions LLC</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In October 2024, we filed a suit against Catalent Maryland, Inc. and Catalent Pharma Solutions, LLC, or collectively, Catalent, in the Superior Court of the State of Delaware alleging that Catalent fraudulently mispresented its manufacturing capabilities and serially breached the terms of its manufacturing agreement with us. Our suit seeks monetary damages from Catalent in excess of $100 million.</w:t>
      </w:r>
    </w:p>
    <w:p>
      <w:pPr>
        <w:pStyle w:val="TextBody"/>
        <w:bidi w:val="0"/>
        <w:spacing w:before="90" w:after="283"/>
        <w:jc w:val="left"/>
        <w:rPr>
          <w:rFonts w:ascii="sans-serif" w:hAnsi="sans-serif"/>
          <w:color w:val="000000"/>
          <w:sz w:val="20"/>
        </w:rPr>
      </w:pPr>
      <w:r>
        <w:rPr>
          <w:rFonts w:ascii="sans-serif" w:hAnsi="sans-serif"/>
          <w:color w:val="000000"/>
          <w:sz w:val="20"/>
        </w:rPr>
        <w:t>In February 2025, we filed an amended complaint following Catalent’s response and Catalent subsequently moved to dismiss the amended complaint. In December 2025, the court denied Catalent’s motion to dismiss our fraud claim. In January 2026, Catalent answered our complaint and filed a counterclaim against us for breach of contract related to disputed invoices, seeking damages of approximately $8 million plus interest. Discovery is ongoing.</w:t>
      </w:r>
    </w:p>
    <w:p>
      <w:pPr>
        <w:pStyle w:val="TextBody"/>
        <w:bidi w:val="0"/>
        <w:spacing w:before="90" w:after="283"/>
        <w:jc w:val="left"/>
        <w:rPr>
          <w:rFonts w:ascii="Times New Roman" w:hAnsi="Times New Roman"/>
          <w:sz w:val="20"/>
        </w:rPr>
      </w:pPr>
      <w:r>
        <w:rPr>
          <w:rFonts w:ascii="sans-serif" w:hAnsi="sans-serif"/>
          <w:i/>
          <w:color w:val="000000"/>
          <w:sz w:val="20"/>
        </w:rPr>
        <w:t>Stockholder Securities Litigation</w:t>
      </w:r>
      <w:r>
        <w:rPr>
          <w:rFonts w:ascii="Times New Roman" w:hAnsi="Times New Roman"/>
          <w:color w:val="000000"/>
          <w:sz w:val="20"/>
        </w:rPr>
        <w:t xml:space="preserve"> </w:t>
      </w:r>
    </w:p>
    <w:p>
      <w:pPr>
        <w:pStyle w:val="TextBody"/>
        <w:bidi w:val="0"/>
        <w:spacing w:before="90" w:after="283"/>
        <w:jc w:val="left"/>
        <w:rPr>
          <w:rFonts w:ascii="sans-serif" w:hAnsi="sans-serif"/>
          <w:i/>
          <w:color w:val="000000"/>
          <w:sz w:val="20"/>
        </w:rPr>
      </w:pPr>
      <w:r>
        <w:rPr>
          <w:rFonts w:ascii="sans-serif" w:hAnsi="sans-serif"/>
          <w:i/>
          <w:color w:val="000000"/>
          <w:sz w:val="20"/>
        </w:rPr>
        <w:t>Steven Bailey v. Ultragenyx Pharmaceutical Inc., Emil D. Kakkis, and Eric Crombez, M.D.</w:t>
      </w:r>
    </w:p>
    <w:p>
      <w:pPr>
        <w:pStyle w:val="TextBody"/>
        <w:bidi w:val="0"/>
        <w:spacing w:before="90" w:after="283"/>
        <w:jc w:val="left"/>
        <w:rPr>
          <w:rFonts w:ascii="Times New Roman" w:hAnsi="Times New Roman"/>
          <w:sz w:val="20"/>
        </w:rPr>
      </w:pPr>
      <w:r>
        <w:rPr>
          <w:rFonts w:ascii="sans-serif" w:hAnsi="sans-serif"/>
          <w:color w:val="000000"/>
          <w:sz w:val="20"/>
        </w:rPr>
        <w:t xml:space="preserve">In February 2026, Steven Bailey filed a putative class action on behalf of certain of our stockholders against the Company, our CEO and our Chief Medical Officer in the United States District Court for the Northern District of California. The complaint asserts claims under Sections 10(b) and 20(a) of the Securities Exchange Act of 1934, as amended, or Exchange Act, alleging that the Company made false and misleading statements about the design and prospects of the UX143 </w:t>
      </w:r>
      <w:r>
        <w:rPr>
          <w:rFonts w:ascii="sans-serif" w:hAnsi="sans-serif"/>
          <w:i/>
          <w:color w:val="000000"/>
          <w:sz w:val="20"/>
        </w:rPr>
        <w:t>Orbit</w:t>
      </w:r>
      <w:r>
        <w:rPr>
          <w:rFonts w:ascii="Times New Roman" w:hAnsi="Times New Roman"/>
          <w:color w:val="000000"/>
          <w:sz w:val="20"/>
        </w:rPr>
        <w:t xml:space="preserve"> </w:t>
      </w:r>
      <w:r>
        <w:rPr>
          <w:rFonts w:ascii="sans-serif" w:hAnsi="sans-serif"/>
          <w:color w:val="000000"/>
          <w:sz w:val="20"/>
        </w:rPr>
        <w:t xml:space="preserve">and </w:t>
      </w:r>
      <w:r>
        <w:rPr>
          <w:rFonts w:ascii="sans-serif" w:hAnsi="sans-serif"/>
          <w:i/>
          <w:color w:val="000000"/>
          <w:sz w:val="20"/>
        </w:rPr>
        <w:t>Cosmic</w:t>
      </w:r>
      <w:r>
        <w:rPr>
          <w:rFonts w:ascii="Times New Roman" w:hAnsi="Times New Roman"/>
          <w:color w:val="000000"/>
          <w:sz w:val="20"/>
        </w:rPr>
        <w:t xml:space="preserve"> </w:t>
      </w:r>
      <w:r>
        <w:rPr>
          <w:rFonts w:ascii="sans-serif" w:hAnsi="sans-serif"/>
          <w:color w:val="000000"/>
          <w:sz w:val="20"/>
        </w:rPr>
        <w:t>clinical trials. The lawsuit seeks unspecified damages and other relief.</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i/>
          <w:color w:val="000000"/>
          <w:sz w:val="20"/>
        </w:rPr>
        <w:t>Derivative Litigation</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 xml:space="preserve">In March 2026, a putative stockholder derivative complaint was filed in the United States District Court for the Northern District of California. The complaint named the members of our Board of Directors, our CEO and our Chief Medical Officer as defendants, and the Company as a nominal defendant. The complaint includes allegations of breaches of fiduciary duty, violations of Section 14(a) of the Exchange Act and gross mismanagement in connection with the UX143 </w:t>
      </w:r>
      <w:r>
        <w:rPr>
          <w:rFonts w:ascii="sans-serif" w:hAnsi="sans-serif"/>
          <w:i/>
          <w:color w:val="000000"/>
          <w:sz w:val="20"/>
        </w:rPr>
        <w:t>Orbit</w:t>
      </w:r>
      <w:r>
        <w:rPr>
          <w:rFonts w:ascii="Times New Roman" w:hAnsi="Times New Roman"/>
          <w:color w:val="000000"/>
          <w:sz w:val="20"/>
        </w:rPr>
        <w:t xml:space="preserve"> </w:t>
      </w:r>
      <w:r>
        <w:rPr>
          <w:rFonts w:ascii="sans-serif" w:hAnsi="sans-serif"/>
          <w:color w:val="000000"/>
          <w:sz w:val="20"/>
        </w:rPr>
        <w:t xml:space="preserve">and </w:t>
      </w:r>
      <w:r>
        <w:rPr>
          <w:rFonts w:ascii="sans-serif" w:hAnsi="sans-serif"/>
          <w:i/>
          <w:color w:val="000000"/>
          <w:sz w:val="20"/>
        </w:rPr>
        <w:t>Cosmic</w:t>
      </w:r>
      <w:r>
        <w:rPr>
          <w:rFonts w:ascii="Times New Roman" w:hAnsi="Times New Roman"/>
          <w:color w:val="000000"/>
          <w:sz w:val="20"/>
        </w:rPr>
        <w:t xml:space="preserve"> </w:t>
      </w:r>
      <w:r>
        <w:rPr>
          <w:rFonts w:ascii="sans-serif" w:hAnsi="sans-serif"/>
          <w:color w:val="000000"/>
          <w:sz w:val="20"/>
        </w:rPr>
        <w:t>clinical trials. The lawsuit seeks unspecified damages and other relief.</w:t>
      </w:r>
    </w:p>
    <w:p>
      <w:pPr>
        <w:pStyle w:val="TextBody"/>
        <w:bidi w:val="0"/>
        <w:spacing w:before="90" w:after="283"/>
        <w:jc w:val="left"/>
        <w:rPr>
          <w:rFonts w:ascii="sans-serif" w:hAnsi="sans-serif"/>
          <w:color w:val="000000"/>
          <w:sz w:val="20"/>
        </w:rPr>
      </w:pPr>
      <w:r>
        <w:rPr>
          <w:rFonts w:ascii="sans-serif" w:hAnsi="sans-serif"/>
          <w:color w:val="000000"/>
          <w:sz w:val="20"/>
        </w:rPr>
        <w:t>Except as disclosed above, we are not currently a party to any other material legal proceedings. We may, however, in the ordinary course of business face various claims brought by third parties or government regulators and, from time to time, make claims or take legal actions to assert our rights, including claims relating to our directors, officers, stockholders, intellectual property rights,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w:t>
      </w:r>
    </w:p>
    <w:p>
      <w:pPr>
        <w:pStyle w:val="TextBody"/>
        <w:bidi w:val="0"/>
        <w:spacing w:before="270" w:after="283"/>
        <w:jc w:val="left"/>
        <w:rPr>
          <w:rFonts w:ascii="Times New Roman" w:hAnsi="Times New Roman"/>
          <w:sz w:val="20"/>
        </w:rPr>
      </w:pPr>
      <w:bookmarkStart w:id="16" w:name="rf"/>
      <w:bookmarkEnd w:id="16"/>
      <w:r>
        <w:rPr>
          <w:rFonts w:ascii="sans-serif" w:hAnsi="sans-serif"/>
          <w:b/>
          <w:color w:val="000000"/>
          <w:sz w:val="20"/>
        </w:rPr>
        <w:t>Item 1A.</w:t>
      </w:r>
      <w:r>
        <w:rPr>
          <w:rFonts w:ascii="Times New Roman" w:hAnsi="Times New Roman"/>
          <w:color w:val="000000"/>
          <w:sz w:val="20"/>
        </w:rPr>
        <w:t xml:space="preserve"> </w:t>
      </w:r>
      <w:r>
        <w:rPr>
          <w:rFonts w:ascii="sans-serif" w:hAnsi="sans-serif"/>
          <w:b/>
          <w:i/>
          <w:color w:val="000000"/>
          <w:sz w:val="20"/>
        </w:rPr>
        <w:t>Risk Factors</w:t>
      </w:r>
    </w:p>
    <w:p>
      <w:pPr>
        <w:pStyle w:val="TextBody"/>
        <w:bidi w:val="0"/>
        <w:spacing w:before="90" w:after="283"/>
        <w:jc w:val="left"/>
        <w:rPr>
          <w:rFonts w:ascii="Times New Roman" w:hAnsi="Times New Roman"/>
          <w:sz w:val="20"/>
        </w:rPr>
      </w:pPr>
      <w:r>
        <w:rPr>
          <w:rFonts w:ascii="sans-serif" w:hAnsi="sans-serif"/>
          <w:i/>
          <w:color w:val="000000"/>
          <w:sz w:val="20"/>
        </w:rPr>
        <w:t>Investing in our common stock involves a high degree of risk. You should carefully consider the following material risks, together with all the other information in this Quarterly Report, including our financial statements and notes thereto, before deciding to invest in our common stock. The risks and uncertainties described below are not the only ones we face.</w:t>
      </w:r>
      <w:r>
        <w:rPr>
          <w:rFonts w:ascii="Times New Roman" w:hAnsi="Times New Roman"/>
          <w:color w:val="000000"/>
          <w:sz w:val="20"/>
        </w:rPr>
        <w:t xml:space="preserve"> </w:t>
      </w:r>
      <w:r>
        <w:rPr>
          <w:rFonts w:ascii="sans-serif" w:hAnsi="sans-serif"/>
          <w:i/>
          <w:color w:val="000000"/>
          <w:sz w:val="20"/>
        </w:rPr>
        <w:t>Moreover,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 Additional risk and uncertainties not presently known to us or that we presently deem less significant may also impair our business operations. If any of the following risks actually materialize, our operating results, financial condition, and liquidity could be materially adversely affected. As a result, the trading price of our common stock could decline and you could lose part or all of your investment. Our company’s business, financial condition and operating results can be affected by a number of factors, whether currently known or unknown, including but not limited to those described below,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prospects, financial condition, operating results and stock price.</w:t>
      </w:r>
      <w:r>
        <w:rPr>
          <w:rFonts w:ascii="Times New Roman" w:hAnsi="Times New Roman"/>
          <w:color w:val="000000"/>
          <w:sz w:val="20"/>
        </w:rPr>
        <w:t xml:space="preserve"> </w:t>
      </w:r>
    </w:p>
    <w:p>
      <w:pPr>
        <w:pStyle w:val="TextBody"/>
        <w:bidi w:val="0"/>
        <w:spacing w:before="90" w:after="283"/>
        <w:jc w:val="left"/>
        <w:rPr>
          <w:rFonts w:ascii="sans-serif" w:hAnsi="sans-serif"/>
          <w:i/>
          <w:color w:val="000000"/>
          <w:sz w:val="20"/>
        </w:rPr>
      </w:pPr>
      <w:r>
        <w:rPr>
          <w:rFonts w:ascii="sans-serif" w:hAnsi="sans-serif"/>
          <w:i/>
          <w:color w:val="000000"/>
          <w:sz w:val="20"/>
        </w:rPr>
        <w:t>Because of the following factors, as well as other factors affecting our financial condition and operating results, past financial performance should not be considered to be a reliable indicator of future performance, and investors should not use historical trends to anticipate results or trends in future periods.</w:t>
      </w:r>
    </w:p>
    <w:p>
      <w:pPr>
        <w:pStyle w:val="TextBody"/>
        <w:bidi w:val="0"/>
        <w:spacing w:before="270" w:after="283"/>
        <w:jc w:val="left"/>
        <w:rPr>
          <w:rFonts w:ascii="sans-serif" w:hAnsi="sans-serif"/>
          <w:b/>
          <w:color w:val="000000"/>
          <w:sz w:val="20"/>
        </w:rPr>
      </w:pPr>
      <w:r>
        <w:rPr>
          <w:rFonts w:ascii="sans-serif" w:hAnsi="sans-serif"/>
          <w:b/>
          <w:color w:val="000000"/>
          <w:sz w:val="20"/>
        </w:rPr>
        <w:t>Risk Factor Summary</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have a history of operating losses and expect to continue to incur operating losses in the near term.</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future financial performance depends on the successful commercialization of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may need to raise additional capital to fund our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Clinical drug development is a lengthy, complex, and expensive process with uncertain outcomes.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may experience delays in commercialization of our products if we do not achieve our projected development goals.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may experience difficulty in enrolling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regulatory approval processes are lengthy and inherently unpredictable.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Fast Track Product, Breakthrough Therapy, Priority Review or RMAT designations by the FDA, and analogous designations by the EMA, for our product candidates may not lead to faster development 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product candidates may cause undesirable or serious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face a multitude of manufacturing risks, particularly with respect to our gene therapy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products are subject to regulatory scrutiny, even after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Product liability lawsuits against us could cause us to incur substantial liabilities. </w:t>
      </w:r>
    </w:p>
    <w:p>
      <w:pPr>
        <w:pStyle w:val="TextBody"/>
        <w:bidi w:val="0"/>
        <w:jc w:val="center"/>
        <w:rPr>
          <w:rFonts w:ascii="sans-serif" w:hAnsi="sans-serif"/>
          <w:color w:val="000000"/>
          <w:sz w:val="20"/>
        </w:rPr>
      </w:pPr>
      <w:r>
        <w:rPr>
          <w:rFonts w:ascii="sans-serif" w:hAnsi="sans-serif"/>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may not realize the full commercial potential of our product candidates if we are unable to source and develop effective biomarkers.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rely on third parties to conduct our nonclinical and clinical studies and perform other tasks for us.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are dependent on KKC for the supply and commercialization of Crysvita in certain major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rely on third parties to manufacture our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failure to supply by any of our single-source suppliers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actions of distributors and specialty pharmacies could affect our ability to sell or market products profitably.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revenue may be adversely affected if the market opportunities for our products are smaller than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competitors may develop therapies that are similar, more advanced, or more effective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may not successfully manage expansion of our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Commercial success of our products depends on the degree of market acceptance.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face uncertainty related to insurance coverage and reimbursement status of our newly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If we, or our third-party partners, are unable to maintain effective proprietary rights for our products or product candidates, we may not be able to compete effectively.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Claims of intellectual property infringement may prevent or delay our development and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may not be successful in obtaining or maintaining necessary rights to our product candidates through acquisitions and in-licenses.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may face competition from biosimilars or from generic versions of our small-molecule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could lose license rights that are important to our business if we fail to comply with our obligations in the agreements under which we license intellectual property and other rights from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may become involved in lawsuits to protect or enforce our patents or the patents of our licensors.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Changes to patent laws in the U.S. and other jurisdictions could diminish the value of patents in general.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We may not be able to protect our intellectual property rights throughout the world.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have limited experience as a company operating our own manufacturing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success depends in part on our ability to retain our President and Chief Executive Officer and other qualified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revenue may be impacted if we fail to obtain or maintain orphan drug exclusivity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operating results may be adversely impacted if our intangible assets become impaired.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may not be successful in identifying, licensing, developing, or commercializing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Changing regulatory standards may make it difficult to accurately predict the likelihood of obtaining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may fail to comply with laws and regulations or changes in laws and regulations could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Increasing use of social media could give rise to additional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are exposed to risks related to international expansion of our business outside of the U.S.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If we are found to have promoted off-label uses for our products, we may become subject to significant liability from the FDA and other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Our business may be adversely affected in the event of computer system failures or security breaches.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or our third-party partners may be adversely affected by earthquakes or other serious natural disasters.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may incur various costs and expenses and risks related to acquisition of companies or products or strategic transactions.</w:t>
      </w:r>
    </w:p>
    <w:p>
      <w:pPr>
        <w:pStyle w:val="TextBody"/>
        <w:bidi w:val="0"/>
        <w:jc w:val="center"/>
        <w:rPr>
          <w:rFonts w:ascii="sans-serif" w:hAnsi="sans-serif"/>
          <w:color w:val="000000"/>
          <w:sz w:val="20"/>
        </w:rPr>
      </w:pPr>
      <w:r>
        <w:rPr>
          <w:rFonts w:ascii="sans-serif" w:hAnsi="sans-serif"/>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may experience unexpected costs or not achieve our anticipated savings from our strategic restructuring plan announced in February 2026.</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market price of our common stock is highly volatile.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Future sales and issuances of our common stock could dilute the percentage ownership of our current stockholders and result in a decline in stock price.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Provisions in our amended and restated certificate of incorporation and by-laws, as well as provisions of Delaware law, could make it more difficult for a third party to acquire us or increase the cost of acquiring us or could limit our stockholders’ ability to obtain a favorable judicial forum for disputes with us or our directors, officers or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We face general risks related to additional tax liabilities related to our operations, our ability to use our net operating loss carryforwards, costs of litigation, stockholder activism and scrutiny regarding our ESG practices and disclosures.</w:t>
      </w:r>
    </w:p>
    <w:p>
      <w:pPr>
        <w:pStyle w:val="TextBody"/>
        <w:bidi w:val="0"/>
        <w:spacing w:before="270" w:after="90"/>
        <w:jc w:val="left"/>
        <w:rPr>
          <w:rFonts w:ascii="Times New Roman" w:hAnsi="Times New Roman"/>
          <w:sz w:val="20"/>
        </w:rPr>
      </w:pPr>
      <w:r>
        <w:rPr>
          <w:rFonts w:ascii="sans-serif" w:hAnsi="sans-serif"/>
          <w:b/>
          <w:color w:val="000000"/>
          <w:sz w:val="20"/>
        </w:rPr>
        <w:t>Risks Related to Our Financial Condition and Capital Requirements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i/>
          <w:color w:val="000000"/>
          <w:sz w:val="20"/>
        </w:rPr>
        <w:t>We have a history of operating losses and expect to continue to incur operating losses in the near term.</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Since inception, we have been engaged in substantial research and development and capital investments, and we have operated at an operating loss each year and expect to continue doing so in the near term. While we currently expect to achieve profitability in 2027, our expectations are based on a variety of assumptions, and actual results, including whether we achieve profitability on our expected timeline or at all, may materially differ from our expectations. Our operating results, including our ability to achieve profitability, will depend, in part, on non-recurring events, our ability to obtain regulatory and marketing approval of our product candidates and within our anticipated timeframes, the success of our commercialization efforts, and the rate of our future expenditures. We anticipate that our expenses could increase if and as we,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continue our research and nonclinical and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expand the scope of our current clinical studies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advance our programs into more expensive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initiate additional nonclinical, clinical, or other studies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pursue preclinical and clinical development for additional indications for existing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change or add additional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expand upon our manufacturing-related facilities and capabilities, particularly as we continue to increase operations at our GMP gene therapy manufacturing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seek regulatory and marketing approvals for our product candidates that successfully complete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continue to establish Medical Affairs field teams to initiate relevant disease education;</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seek to identify, assess, license, acquire, and/or develop other product candidates, technologies, and/or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make milestone or other payments under any license or other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create additional infrastructure, including facilities and systems, to support the growth of our operations, our product development, and our commercialization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experience any delays or encounter issues with any of the above, including, but not limited to, failed studies, complex results, safety issues, inspection outcomes, or other regulatory challenges that require longer follow-up of existing studies, additional major studies, or additional supportive studies in order to pursue marketing approval.</w:t>
      </w:r>
    </w:p>
    <w:p>
      <w:pPr>
        <w:pStyle w:val="TextBody"/>
        <w:bidi w:val="0"/>
        <w:spacing w:before="90" w:after="283"/>
        <w:jc w:val="left"/>
        <w:rPr>
          <w:rFonts w:ascii="Times New Roman" w:hAnsi="Times New Roman"/>
          <w:sz w:val="20"/>
        </w:rPr>
      </w:pPr>
      <w:r>
        <w:rPr>
          <w:rFonts w:ascii="sans-serif" w:hAnsi="sans-serif"/>
          <w:color w:val="000000"/>
          <w:sz w:val="20"/>
        </w:rPr>
        <w:t>Even if we do achieve profitability, we may not be able to sustain or increase such profitability on a quarterly or yearly basis. Our operating results may fluctuate significantly from quarter to quarter and year to year, such that a period-to-period comparison of our results of operations may not be a good indication of our future performance.</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sans-serif" w:hAnsi="sans-serif"/>
          <w:b/>
          <w:i/>
          <w:color w:val="000000"/>
          <w:sz w:val="20"/>
        </w:rPr>
      </w:pPr>
      <w:r>
        <w:rPr>
          <w:rFonts w:ascii="sans-serif" w:hAnsi="sans-serif"/>
          <w:b/>
          <w:i/>
          <w:color w:val="000000"/>
          <w:sz w:val="20"/>
        </w:rPr>
        <w:t>Our future financial performance depends on the successful commercialization of our products and product candidates.</w:t>
      </w:r>
    </w:p>
    <w:p>
      <w:pPr>
        <w:pStyle w:val="TextBody"/>
        <w:bidi w:val="0"/>
        <w:spacing w:before="90" w:after="283"/>
        <w:jc w:val="left"/>
        <w:rPr>
          <w:rFonts w:ascii="Times New Roman" w:hAnsi="Times New Roman"/>
          <w:sz w:val="20"/>
        </w:rPr>
      </w:pPr>
      <w:r>
        <w:rPr>
          <w:rFonts w:ascii="sans-serif" w:hAnsi="sans-serif"/>
          <w:color w:val="000000"/>
          <w:sz w:val="20"/>
        </w:rPr>
        <w:t>Our ability to generate significant revenue from product sales depends on our ability, alone or with strategic collaboration partners, to successfully commercialize our products and to complete the development of, and obtain the regulatory and marketing approvals necessary to commercialize, our product candidates. Our ability to generate substantial future revenue from product sales, including named patient sales, depends heavily on our success in many areas, including, but not limited to:</w:t>
      </w:r>
      <w:r>
        <w:rPr>
          <w:rFonts w:ascii="Times New Roman" w:hAnsi="Times New Roman"/>
          <w:color w:val="000000"/>
          <w:sz w:val="20"/>
        </w:rPr>
        <w:t xml:space="preserve">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obtaining regulatory and marketing approvals with broad indications for product candidates for which we complete clinical studies;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developing a sustainable and scalable manufacturing process for our products and establishing and maintaining supply and manufacturing relationships with third parties that can provide adequate (in amount and quality) product supply to support market demand for our products;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obtaining adequate market share, reimbursement and pricing for our products and product candidates;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our ability to sell our products and product candidates on a named patient basis or through an equivalent mechanism and the amount of revenue generated from such sales;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our ability to find patients so they can be diagnosed and begin receiving treatment;</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addressing any competing technological and market developments;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negotiating favorable terms, including commercial rights, in collaboration, licensing, or other arrangements; and</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maintaining, protecting, and expanding our portfolio of intellectual property rights, including patents, trade secrets, and know-how.</w:t>
      </w:r>
    </w:p>
    <w:p>
      <w:pPr>
        <w:pStyle w:val="TextBody"/>
        <w:bidi w:val="0"/>
        <w:spacing w:before="90" w:after="283"/>
        <w:jc w:val="left"/>
        <w:rPr>
          <w:rFonts w:ascii="sans-serif" w:hAnsi="sans-serif"/>
          <w:color w:val="000000"/>
          <w:sz w:val="20"/>
        </w:rPr>
      </w:pPr>
      <w:r>
        <w:rPr>
          <w:rFonts w:ascii="sans-serif" w:hAnsi="sans-serif"/>
          <w:color w:val="000000"/>
          <w:sz w:val="20"/>
        </w:rPr>
        <w:t>If the number of our addressable rare disease patients is not as significant as we estimate, the indication approved by regulatory authorities is narrower than we expect, or the reasonably accepted population for treatment is narrowed by competition, physician choice, or treatment guidelines, or any other reasons, we may not generate significant revenue from sales of our products, even if they receive regulatory approval.</w:t>
      </w:r>
    </w:p>
    <w:p>
      <w:pPr>
        <w:pStyle w:val="TextBody"/>
        <w:bidi w:val="0"/>
        <w:spacing w:before="270" w:after="283"/>
        <w:jc w:val="left"/>
        <w:rPr>
          <w:rFonts w:ascii="Times New Roman" w:hAnsi="Times New Roman"/>
          <w:sz w:val="20"/>
        </w:rPr>
      </w:pPr>
      <w:r>
        <w:rPr>
          <w:rFonts w:ascii="sans-serif" w:hAnsi="sans-serif"/>
          <w:b/>
          <w:i/>
          <w:color w:val="000000"/>
          <w:sz w:val="20"/>
        </w:rPr>
        <w:t>We may need to raise additional capital to fund our activities. Such additional financing may not be available on acceptable terms, if at all. Failure to obtain this necessary capital when needed may force us to delay, limit, or terminate our product development efforts or other activities.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As of June 30, 2026, our available cash, cash equivalents, and marketable securities were $436 million. We may need additional capital to continue to commercialize our products, and to develop, obtain regulatory approval for, and to commercialize, all of our product candidates. In addition, our operating plans may change as a result of many factors that may currently be unknown to us, and we may need to seek additional funds sooner than planned. See “Item 2. Management’s Discussion and Analysis of Financial Condition and Results Of Operations—Funding Requirements” of this Quarterly Report for additional information on the factors affecting our funding requirements.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Any additional fundraising efforts may divert our management’s attention from their day-to-day activities, which can adversely affect our ability to develop our product candidates and commercialize our products. In addition, we cannot guarantee that future financing will be available in sufficient amounts or on terms acceptable to us, if at all, which are often impacted by changes in macroeconomic conditions, including changing interest rates, inflation and market instability arising from political and trade tensions (including government shutdowns). The terms of any financing may adversely affect the holdings or the rights of our stockholders and the issuance of additional securities by us, whether equity or debt, or the possibility of such issuance, may cause the market price of our shares to decline. The sale of additional equity or convertible securities would dilute all of our stockholders. If we incur debt, it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have in the past sought and may in the future seek funds through a sale of future royalty payments similar to our transactions with Royalty Pharma and OMERS or through collaborative partnerships, strategic alliances, and licensing or other arrangements, such as our transaction with Daiichi Sankyo Co., Ltd. and we may be required to relinquish rights to some of our technologies or product candidates, future revenue streams, research programs, and other product candidates or otherwise agree to terms unfavorable to us, any of which may have a material adverse effect on our business, operating results, and prospects. Even if we believe we have sufficient funds for our current or future operating plans, we may seek additional capital if market conditions are favorable or if we have specific strategic considerations.</w:t>
      </w:r>
    </w:p>
    <w:p>
      <w:pPr>
        <w:pStyle w:val="TextBody"/>
        <w:bidi w:val="0"/>
        <w:jc w:val="center"/>
        <w:rPr>
          <w:rFonts w:ascii="sans-serif" w:hAnsi="sans-serif"/>
          <w:color w:val="000000"/>
          <w:sz w:val="20"/>
        </w:rPr>
      </w:pPr>
      <w:r>
        <w:rPr>
          <w:rFonts w:ascii="sans-serif" w:hAnsi="sans-serif"/>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In addition, we purchase or enter into a variety of financial instruments and transactions, including investments in commercial paper, the extension of credit to corporations, institutions and governments. If any of the issuers or counterparties to these instruments were to default on their obligations, it could materially reduce the value of the transaction and adversely affect our cash flows.</w:t>
      </w:r>
    </w:p>
    <w:p>
      <w:pPr>
        <w:pStyle w:val="TextBody"/>
        <w:bidi w:val="0"/>
        <w:spacing w:before="90" w:after="283"/>
        <w:jc w:val="left"/>
        <w:rPr>
          <w:rFonts w:ascii="sans-serif" w:hAnsi="sans-serif"/>
          <w:color w:val="000000"/>
          <w:sz w:val="20"/>
        </w:rPr>
      </w:pPr>
      <w:r>
        <w:rPr>
          <w:rFonts w:ascii="sans-serif" w:hAnsi="sans-serif"/>
          <w:color w:val="000000"/>
          <w:sz w:val="20"/>
        </w:rPr>
        <w:t>If our cash flows are materially and adversely affected or if we are unable to access our existing cash, cash equivalents and investments and/or are unable to obtain funding on a timely basis, or at all, we may be required to significantly curtail, delay, or discontinue one or more of our research or development programs or the commercialization of our products and any approved product candidates or be unable to expand our operations or otherwise capitalize on our business opportunities, as desired, which could materially affect our business, financial condition, and results of operations.</w:t>
      </w:r>
    </w:p>
    <w:p>
      <w:pPr>
        <w:pStyle w:val="TextBody"/>
        <w:bidi w:val="0"/>
        <w:spacing w:before="270" w:after="283"/>
        <w:jc w:val="left"/>
        <w:rPr>
          <w:rFonts w:ascii="Times New Roman" w:hAnsi="Times New Roman"/>
          <w:sz w:val="20"/>
        </w:rPr>
      </w:pPr>
      <w:r>
        <w:rPr>
          <w:rFonts w:ascii="sans-serif" w:hAnsi="sans-serif"/>
          <w:b/>
          <w:color w:val="000000"/>
          <w:sz w:val="20"/>
        </w:rPr>
        <w:t>Risks Related to the Discovery and Development of Our Product Candidates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b/>
          <w:i/>
          <w:color w:val="000000"/>
          <w:sz w:val="20"/>
        </w:rPr>
        <w:t>Clinical drug development involves a lengthy, complex, and expensive process with uncertain outcomes and the potential for substantial delays, and the results of earlier studies may not be predictive of future study results.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 xml:space="preserve">Before obtaining marketing approval from regulatory authorities for the sale of our product candidates, we must conduct extensive clinical studies to demonstrate the safety and efficacy of the product candidates in humans. Clinical testing is expensive, complex, time consuming, and uncertain as to outcome. We cannot guarantee that any clinical studies will be conducted as planned or completed on schedule, if at all. We have also had difficulties in recruiting clinical site investigators and clinical staff for our studies, and may continue to experience such difficulties. In addition, clinical studies can fail at any stage of development and promising results observed in earlier-stage trials have not always translated into success in our later stage studies. For example, in December 2025, we announced that our UX143 Phase 3 </w:t>
      </w:r>
      <w:r>
        <w:rPr>
          <w:rFonts w:ascii="sans-serif" w:hAnsi="sans-serif"/>
          <w:i/>
          <w:color w:val="000000"/>
          <w:sz w:val="20"/>
        </w:rPr>
        <w:t>Orbit</w:t>
      </w:r>
      <w:r>
        <w:rPr>
          <w:rFonts w:ascii="Times New Roman" w:hAnsi="Times New Roman"/>
          <w:color w:val="000000"/>
          <w:sz w:val="20"/>
        </w:rPr>
        <w:t xml:space="preserve"> </w:t>
      </w:r>
      <w:r>
        <w:rPr>
          <w:rFonts w:ascii="sans-serif" w:hAnsi="sans-serif"/>
          <w:color w:val="000000"/>
          <w:sz w:val="20"/>
        </w:rPr>
        <w:t xml:space="preserve">and </w:t>
      </w:r>
      <w:r>
        <w:rPr>
          <w:rFonts w:ascii="sans-serif" w:hAnsi="sans-serif"/>
          <w:i/>
          <w:color w:val="000000"/>
          <w:sz w:val="20"/>
        </w:rPr>
        <w:t>Cosmic</w:t>
      </w:r>
      <w:r>
        <w:rPr>
          <w:rFonts w:ascii="Times New Roman" w:hAnsi="Times New Roman"/>
          <w:color w:val="000000"/>
          <w:sz w:val="20"/>
        </w:rPr>
        <w:t xml:space="preserve"> </w:t>
      </w:r>
      <w:r>
        <w:rPr>
          <w:rFonts w:ascii="sans-serif" w:hAnsi="sans-serif"/>
          <w:color w:val="000000"/>
          <w:sz w:val="20"/>
        </w:rPr>
        <w:t>studies did not achieve their primary endpoints despite promising Phase 2 results, and as a result, we subsequently initiated significant expense reductions. Further, a late-stage failure such as the results from our UX143 Phase 3 studies may reduce our expected future revenue opportunities, require us to reassess our pipeline priorities, and could result in delays in other programs, or decisions to discontinue or deprioritize one or more candidates. In addition, we have reported and expect to continue to report preliminary or interim data from our clinical trials. Preliminary or interim data from our clinical trials are subject to the risk that one or more of the clinical outcomes may materially change as patient enrollment continues and/or more patient data become available. Such data may show initial evidence of clinical benefit, but as patients continue to be assessed and more patient data become available, there is a risk that any therapeutic effects are no longer durable in patients and/or decrease over time or cease entirely. As a result, preliminary or interim data should be considered carefully and with caution until the final data are available. Results from investigator-sponsored studies or compassionate-use studies may not be confirmed in company-sponsored studies or may negatively impact the prospects for our programs. Additionally, given the nature of the rare diseases we are seeking to treat, we often devise newly-defined endpoints to be tested in our studies, which can lead to subjectivity in interpreting study results and could result in regulatory agencies not agreeing with the validity of our endpoints, or our interpretation of the clinical data, and therefore delaying or denying approval. Given the illness of the patients in our studies and the nature of their rare diseases, we have also been required to, or have chosen to, conduct certain studies on an open-label basis. We have in the past, and may in the future, elect to review interim clinical data at multiple time points during the studies, which could introduce bias into the study results, require alpha spending adjustments that reduce overall statistical power, and potentially result in denial of approval.</w:t>
      </w:r>
    </w:p>
    <w:p>
      <w:pPr>
        <w:pStyle w:val="TextBody"/>
        <w:bidi w:val="0"/>
        <w:spacing w:before="90" w:after="283"/>
        <w:jc w:val="left"/>
        <w:rPr>
          <w:rFonts w:ascii="sans-serif" w:hAnsi="sans-serif"/>
          <w:color w:val="000000"/>
          <w:sz w:val="20"/>
        </w:rPr>
      </w:pPr>
      <w:r>
        <w:rPr>
          <w:rFonts w:ascii="sans-serif" w:hAnsi="sans-serif"/>
          <w:color w:val="000000"/>
          <w:sz w:val="20"/>
        </w:rPr>
        <w:t>In the biopharmaceutical industry, there is a high failure rate for drugs and biologics proceeding through clinical studies, and product candidates in later stages of clinical studies may fail to show the desired safety and efficacy despite having progressed through nonclinical studies and initial clinical studies. A number of companies in the biopharmaceutical industry have suffered significant setbacks in advanced clinical studies due to lack of efficacy or adverse safety profiles, notwithstanding promising results in earlier studies.</w:t>
      </w:r>
    </w:p>
    <w:p>
      <w:pPr>
        <w:pStyle w:val="TextBody"/>
        <w:bidi w:val="0"/>
        <w:spacing w:before="90" w:after="283"/>
        <w:jc w:val="left"/>
        <w:rPr>
          <w:rFonts w:ascii="sans-serif" w:hAnsi="sans-serif"/>
          <w:color w:val="000000"/>
          <w:sz w:val="20"/>
        </w:rPr>
      </w:pPr>
      <w:r>
        <w:rPr>
          <w:rFonts w:ascii="sans-serif" w:hAnsi="sans-serif"/>
          <w:color w:val="000000"/>
          <w:sz w:val="20"/>
        </w:rPr>
        <w:t>Scenarios that can prevent successful or timely completion of clinical development include but are not limited to:</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sans-serif" w:hAnsi="sans-serif"/>
          <w:color w:val="000000"/>
          <w:sz w:val="20"/>
        </w:rPr>
        <w:t xml:space="preserve">delays or failures in generating sufficient preclinical, toxicology, or other </w:t>
      </w:r>
      <w:r>
        <w:rPr>
          <w:rFonts w:ascii="sans-serif" w:hAnsi="sans-serif"/>
          <w:i/>
          <w:color w:val="000000"/>
          <w:sz w:val="20"/>
        </w:rPr>
        <w:t>in vivo</w:t>
      </w:r>
      <w:r>
        <w:rPr>
          <w:color w:val="000000"/>
        </w:rPr>
        <w:t xml:space="preserve"> </w:t>
      </w:r>
      <w:r>
        <w:rPr>
          <w:rFonts w:ascii="sans-serif" w:hAnsi="sans-serif"/>
          <w:color w:val="000000"/>
          <w:sz w:val="20"/>
        </w:rPr>
        <w:t xml:space="preserve">or </w:t>
      </w:r>
      <w:r>
        <w:rPr>
          <w:rFonts w:ascii="sans-serif" w:hAnsi="sans-serif"/>
          <w:i/>
          <w:color w:val="000000"/>
          <w:sz w:val="20"/>
        </w:rPr>
        <w:t>in vitro</w:t>
      </w:r>
      <w:r>
        <w:rPr>
          <w:color w:val="000000"/>
        </w:rPr>
        <w:t xml:space="preserve"> </w:t>
      </w:r>
      <w:r>
        <w:rPr>
          <w:rFonts w:ascii="sans-serif" w:hAnsi="sans-serif"/>
          <w:color w:val="000000"/>
          <w:sz w:val="20"/>
        </w:rPr>
        <w:t xml:space="preserve">data to support the initiation or continuation of human clinical studies or filings for regulatory approval;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failure to demonstrate a starting dose for our product candidates in the clinic that might be reasonably expected to result in a clinical benefit;</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delays or failures in developing gene therapy, or other novel and complex product candidates, which are expensive and difficult to develop and manufacture;</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delays resulting from a shutdown, or uncertainty surrounding the potential for future shutdowns of the U.S. government, including the FDA;</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delays or failures in reaching a consensus with regulatory agencies on study design; </w:t>
      </w:r>
    </w:p>
    <w:p>
      <w:pPr>
        <w:pStyle w:val="TextBody"/>
        <w:bidi w:val="0"/>
        <w:jc w:val="center"/>
        <w:rPr>
          <w:rFonts w:ascii="sans-serif" w:hAnsi="sans-serif"/>
          <w:color w:val="000000"/>
          <w:sz w:val="20"/>
        </w:rPr>
      </w:pPr>
      <w:r>
        <w:rPr>
          <w:rFonts w:ascii="sans-serif" w:hAnsi="sans-serif"/>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delays in reaching agreement on acceptable terms with contract research organizations, or CROs, clinical study sites, and other clinical trial-related vendors;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failure or delays in obtaining required regulatory agency approval and/or IRB or EC approval at each clinical study site or in certain countries;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failure to correctly design clinical studies which may result in those studies failing to meet their endpoints or the expectations of regulatory agencies;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changes in clinical study design or development strategy resulting in delays related to obtaining approvals from IRBs or ECs and/or regulatory agencies to proceed with clinical studies;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imposition of a clinical hold by regulatory agencies;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delays in recruiting suitable patients to participate in our clinical studies;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difficulty collaborating with patient groups and investigators;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failure by our CROs, other third parties, or us to adhere to clinical study requirements;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failure to perform in accordance with the FDA’s and/or ICH’s good clinical practices requirements or applicable regulatory guidelines in other countries;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delays in patients’ completion of studies or their returns for post-treatment follow-up;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patients dropping out of a study;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adverse events associated with the product candidate occurring that are viewed to outweigh its potential benefits;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changes in regulatory requirements and guidance that require amending or submitting new clinical protocols;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greater than anticipated costs associated with clinical studies of our drug candidates, including as a result of inflation or tariffs;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clinical studies of our drug candidates producing negative or inconclusive results, which may result in us deciding, or regulators requiring us, to conduct additional clinical or nonclinical studies or to abandon drug development programs;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competing clinical studies of potential alternative product candidates or investigator-sponsored studies of our product candidates; and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delays in manufacturing, testing, releasing, validating, or importing/exporting sufficient stable quantities of our product candidates for use in clinical studies or the inability to do any of the foregoing.</w:t>
      </w:r>
    </w:p>
    <w:p>
      <w:pPr>
        <w:pStyle w:val="TextBody"/>
        <w:bidi w:val="0"/>
        <w:spacing w:before="90" w:after="283"/>
        <w:jc w:val="left"/>
        <w:rPr>
          <w:rFonts w:ascii="sans-serif" w:hAnsi="sans-serif"/>
          <w:color w:val="000000"/>
          <w:sz w:val="20"/>
        </w:rPr>
      </w:pPr>
      <w:r>
        <w:rPr>
          <w:rFonts w:ascii="sans-serif" w:hAnsi="sans-serif"/>
          <w:color w:val="000000"/>
          <w:sz w:val="20"/>
        </w:rPr>
        <w:t>Any inability to successfully complete nonclinical and clinical development could result in additional costs to us or negatively impact our ability to generate revenue. In addition, if we make manufacturing or formulation changes to our product candidates, we may need to conduct additional toxicology, comparability or other studies to bridge our modified product candidates to earlier versions. Clinical study delays could also shorten any periods during which our products have commercial exclusivity and may allow our competitors to bring products to market before we do, which could negatively impact our ability to obtain orphan exclusivity and to successfully commercialize our product candidates and may harm our business and results of operations.</w:t>
      </w:r>
    </w:p>
    <w:p>
      <w:pPr>
        <w:pStyle w:val="TextBody"/>
        <w:bidi w:val="0"/>
        <w:spacing w:before="270" w:after="283"/>
        <w:jc w:val="left"/>
        <w:rPr>
          <w:rFonts w:ascii="sans-serif" w:hAnsi="sans-serif"/>
          <w:b/>
          <w:i/>
          <w:color w:val="000000"/>
          <w:sz w:val="20"/>
        </w:rPr>
      </w:pPr>
      <w:r>
        <w:rPr>
          <w:rFonts w:ascii="sans-serif" w:hAnsi="sans-serif"/>
          <w:b/>
          <w:i/>
          <w:color w:val="000000"/>
          <w:sz w:val="20"/>
        </w:rPr>
        <w:t>If we do not achieve our projected development goals in the time frames we announce and expect, the commercialization of our products may be delayed and the credibility of our management may be adversely affected and, as a result, our stock price may decline.</w:t>
      </w:r>
    </w:p>
    <w:p>
      <w:pPr>
        <w:pStyle w:val="TextBody"/>
        <w:bidi w:val="0"/>
        <w:spacing w:before="90" w:after="283"/>
        <w:jc w:val="left"/>
        <w:rPr>
          <w:rFonts w:ascii="sans-serif" w:hAnsi="sans-serif"/>
          <w:color w:val="000000"/>
          <w:sz w:val="20"/>
        </w:rPr>
      </w:pPr>
      <w:r>
        <w:rPr>
          <w:rFonts w:ascii="sans-serif" w:hAnsi="sans-serif"/>
          <w:color w:val="000000"/>
          <w:sz w:val="20"/>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the timing of patient dosing, the timing, type or clarity of data from clinical trials, the submission or acceptance of regulatory filings, and the potential approval of such regulatory filings. We periodically make public announcements about the expected timing of some of these milestones. All of these milestones are based on a variety of assumptions, but the actual timing of these milestones can vary dramatically from our estimates. If we do not meet these publicly announced milestones, the commercialization of our products may be delayed and the credibility of our management may be adversely affected and, as a result, our stock price may decline.</w:t>
      </w:r>
    </w:p>
    <w:p>
      <w:pPr>
        <w:pStyle w:val="TextBody"/>
        <w:bidi w:val="0"/>
        <w:jc w:val="center"/>
        <w:rPr>
          <w:rFonts w:ascii="sans-serif" w:hAnsi="sans-serif"/>
          <w:color w:val="000000"/>
          <w:sz w:val="20"/>
        </w:rPr>
      </w:pPr>
      <w:r>
        <w:rPr>
          <w:rFonts w:ascii="sans-serif" w:hAnsi="sans-serif"/>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sans-serif" w:hAnsi="sans-serif"/>
          <w:b/>
          <w:i/>
          <w:color w:val="000000"/>
          <w:sz w:val="20"/>
        </w:rPr>
        <w:t>We may find it difficult to identify and enroll patients in our clinical studies due to a variety of factors, including the limited number of patients who have the diseases for which our product candidates are being studied and other unforeseen events. Difficulty in enrolling patients could delay or prevent clinical studies of our product candidates.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pStyle w:val="TextBody"/>
        <w:bidi w:val="0"/>
        <w:spacing w:before="90" w:after="283"/>
        <w:jc w:val="left"/>
        <w:rPr>
          <w:rFonts w:ascii="sans-serif" w:hAnsi="sans-serif"/>
          <w:color w:val="000000"/>
          <w:sz w:val="20"/>
        </w:rPr>
      </w:pPr>
      <w:r>
        <w:rPr>
          <w:rFonts w:ascii="sans-serif" w:hAnsi="sans-serif"/>
          <w:color w:val="000000"/>
          <w:sz w:val="20"/>
        </w:rPr>
        <w:t>Each of the conditions for which we plan to evaluate our current product candidates is a rare genetic disease. Accordingly, there are limited patient pools from which to draw for clinical studies. For example, we estimate that approximately 6,000 patients worldwide suffer from GSDIa, for which DTX401 is being studied, and these all may not be treatable if they are immune to the AAV viral vector.</w:t>
      </w:r>
    </w:p>
    <w:p>
      <w:pPr>
        <w:pStyle w:val="TextBody"/>
        <w:bidi w:val="0"/>
        <w:spacing w:before="90" w:after="283"/>
        <w:jc w:val="left"/>
        <w:rPr>
          <w:rFonts w:ascii="sans-serif" w:hAnsi="sans-serif"/>
          <w:color w:val="000000"/>
          <w:sz w:val="20"/>
        </w:rPr>
      </w:pPr>
      <w:r>
        <w:rPr>
          <w:rFonts w:ascii="sans-serif" w:hAnsi="sans-serif"/>
          <w:color w:val="000000"/>
          <w:sz w:val="20"/>
        </w:rPr>
        <w:t>In addition to the rarity of these diseases, the eligibility criteria of our clinical studies will further limit the pool of available study participants as we will require patients to have specific characteristics that we can measure or to assure their disease is either severe enough or not too advanced to include them in a study. The process of finding and diagnosing patients is costly and time-consuming, especially since the rare diseases we are studying are commonly underdiagnosed. We also may not be able to identify, recruit, and enroll a sufficient number of appropriate patients to complete our clinical studies because of demographic criteria for prospective patients, the perceived risks and benefits of the product candidate under study, the proximity and availability of clinical study sites for prospective patients, and the patient referral practices of physicians. The availability and efficacy of competing therapies and clinical studies can also adversely impact enrollment. If patients are unwilling to participate in our studies for any reason (such as drug-related side effects), the timeline for and our success in recruiting patients, conducting studies, and obtaining regulatory approval of potential products may be delayed or impaired, the commercial prospects of our product candidates will be harmed, and our ability to generate product sales from any of these product candidates could be delayed or prevented. Delays in completing our clinical studies will increase our costs, slow down our product candidate development and approval process, and jeopardize our ability to commence product sales and generate revenue.</w:t>
      </w:r>
    </w:p>
    <w:p>
      <w:pPr>
        <w:pStyle w:val="TextBody"/>
        <w:bidi w:val="0"/>
        <w:spacing w:before="270" w:after="283"/>
        <w:jc w:val="left"/>
        <w:rPr>
          <w:rFonts w:ascii="sans-serif" w:hAnsi="sans-serif"/>
          <w:b/>
          <w:i/>
          <w:color w:val="000000"/>
          <w:sz w:val="20"/>
        </w:rPr>
      </w:pPr>
      <w:r>
        <w:rPr>
          <w:rFonts w:ascii="sans-serif" w:hAnsi="sans-serif"/>
          <w:b/>
          <w:i/>
          <w:color w:val="000000"/>
          <w:sz w:val="20"/>
        </w:rPr>
        <w:t>The regulatory approval processes of the FDA and comparable foreign authorities are lengthy, time consuming, and inherently unpredictable. Even if we achieve positive results in our pre-clinical and clinical studies, if we are ultimately unable to obtain timely regulatory approval for our product candidates, our business will be substantially harmed.</w:t>
      </w:r>
    </w:p>
    <w:p>
      <w:pPr>
        <w:pStyle w:val="TextBody"/>
        <w:bidi w:val="0"/>
        <w:spacing w:before="90" w:after="283"/>
        <w:jc w:val="left"/>
        <w:rPr>
          <w:rFonts w:ascii="sans-serif" w:hAnsi="sans-serif"/>
          <w:color w:val="000000"/>
          <w:sz w:val="20"/>
        </w:rPr>
      </w:pPr>
      <w:r>
        <w:rPr>
          <w:rFonts w:ascii="sans-serif" w:hAnsi="sans-serif"/>
          <w:color w:val="000000"/>
          <w:sz w:val="20"/>
        </w:rPr>
        <w:t>Our future success is dependent on our ability to successfully develop, obtain regulatory approval for, and commercialize our products. We are not permitted to market or promote any of our product candidates before we receive regulatory approval from the FDA or comparable foreign regulatory authorities. We have only obtained regulatory approval for three products that we have developed, and it is possible that none of our existing product candidates or any future product candidates will ever obtain regulatory approval. Further, as the clinical trial requirements and criteria of regulatory authorities vary substantially according to the type, complexity, novelty and intended use and market of the product candidates, the regulatory approval process for novel product candidates, such as our gene therapy product candidates, can be more expensive and take longer than for other product candidates, leading to fewer product approvals. To date, very few gene therapy products have received regulatory approval in the U.S. or Europe. The regulatory framework and oversight over development of gene therapy products has evolved and may continue to evolve in the future. For more information, see “Item 1. Business – Government Regulation” of our Annual Report.</w:t>
      </w:r>
    </w:p>
    <w:p>
      <w:pPr>
        <w:pStyle w:val="TextBody"/>
        <w:bidi w:val="0"/>
        <w:jc w:val="center"/>
        <w:rPr>
          <w:rFonts w:ascii="sans-serif" w:hAnsi="sans-serif"/>
          <w:color w:val="000000"/>
          <w:sz w:val="20"/>
        </w:rPr>
      </w:pPr>
      <w:r>
        <w:rPr>
          <w:rFonts w:ascii="sans-serif" w:hAnsi="sans-serif"/>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To obtain regulatory approval in the U.S. and other jurisdictions, we must comply with numerous and varying requirements regarding safety, efficacy, chemistry, manufacturing and controls, clinical studies (including good clinical practices), commercial sales, pricing, and distribution of our product candidates, as described in “Item 1. Business – Government Regulation” of our Annual Report. Even if we are successful in obtaining approval in one jurisdiction, we cannot ensure that we will obtain approval in any other jurisdictions. In addition, approval policies, regulations, positions of the regulatory agencies on study design and/or endpoints, or the type and amount of clinical data necessary to gain approval may change during the course of a product candidate’s clinical development, which may cause delays in the approval or the decision not to approve an application. Communications with the regulatory agencies during the approval process are also unpredictable; favorable communications early in the process do not ensure that approval will be obtained and unfavorable communications early on do not guarantee that approval will be denied.</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The ability of the FDA to review and approve new products can be affected by a variety of factors, including government budget and funding levels, ability to hire and retain key personnel,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 Policies at the FDA and other federal agencies, including return-to-office policy, hiring freeze, and other policies, may lead to changes in the operations of the FDA, which may have a material impact on the industry and our clinical development plans. There have been widespread layoffs across various governmental agencies, including at the FDA, and other employees, including senior leaders at certain agencies, have resigned in response to the reforms, the full impact of which is unclear at this time. In addition, there is uncertainty around the funding, functioning and policy priorities of various governmental agencies, including the FDA. Disruptions or changes in how the FDA operates due to these policies could result in delays in FDA review or approval of our product candidate applications. If a prolonged government shutdown occurs, it could significantly impact the ability of the FDA to timely review and process our regulatory submissions, which could have a material adverse effect on our business.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Further, applications for our product candidates could fail to receive regulatory approval, or could be delayed in receiving regulatory approval, for several other reasons, including but not limited to the following:</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population studied in the clinical program may not be sufficiently broad or representative to assure efficacy and safety in the full population for which we seek approval;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regulatory authorities may disagree with our interpretation of data from nonclinical studies or clinical studies;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data collected from clinical studies of our product candidates may not be sufficient to support the submission of an NDA, BLA, or other submission or to obtain regulatory approval;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we may be unable to demonstrate to regulatory authorities that a product candidate’s risk-benefit ratio for its proposed indication is acceptable;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failure to comply with an agreed upon PIP which is a condition of marketing authorization in the EU; and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approval policies or regulations of regulatory authorities may significantly change in a manner rendering our clinical data insufficient for approval. </w:t>
      </w:r>
    </w:p>
    <w:p>
      <w:pPr>
        <w:pStyle w:val="TextBody"/>
        <w:bidi w:val="0"/>
        <w:spacing w:before="90" w:after="283"/>
        <w:jc w:val="left"/>
        <w:rPr>
          <w:rFonts w:ascii="Times New Roman" w:hAnsi="Times New Roman"/>
          <w:sz w:val="20"/>
        </w:rPr>
      </w:pPr>
      <w:r>
        <w:rPr>
          <w:rFonts w:ascii="sans-serif" w:hAnsi="sans-serif"/>
          <w:color w:val="000000"/>
          <w:sz w:val="20"/>
        </w:rPr>
        <w:t>Furthermore, the disease states we are evaluating often do not have clear regulatory paths for approval and/or do not have validated outcome measures. In these circumstances, we work closely with the regulatory authorities to define the approval path and may have to qualify outcome measures as part of our development programs. Additionally, many of the disease states we are targeting are highly heterogeneous in nature, which may impact our ability to determine the treatment benefit of our potential therapies.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This lengthy and uncertain approval process, as well as the unpredictability of the clinical and nonclinical studies, may result in our failure to obtain regulatory approval to market any of our product candidates, or delayed regulatory approval.</w:t>
      </w:r>
    </w:p>
    <w:p>
      <w:pPr>
        <w:pStyle w:val="TextBody"/>
        <w:bidi w:val="0"/>
        <w:spacing w:before="270" w:after="283"/>
        <w:jc w:val="left"/>
        <w:rPr>
          <w:rFonts w:ascii="Times New Roman" w:hAnsi="Times New Roman"/>
          <w:sz w:val="20"/>
        </w:rPr>
      </w:pPr>
      <w:r>
        <w:rPr>
          <w:rFonts w:ascii="sans-serif" w:hAnsi="sans-serif"/>
          <w:b/>
          <w:i/>
          <w:color w:val="000000"/>
          <w:sz w:val="20"/>
        </w:rPr>
        <w:t>Fast Track, Breakthrough Therapy, Priority Review, or Regenerative Medicine Advanced Therapy, or RMAT, designations by the FDA, or access to the Priority Medicine scheme, or PRIME, by the EMA, for our product candidates, if granted, may not lead to</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sans-serif" w:hAnsi="sans-serif"/>
          <w:b/>
          <w:i/>
          <w:color w:val="000000"/>
          <w:sz w:val="20"/>
        </w:rPr>
      </w:pPr>
      <w:r>
        <w:rPr>
          <w:rFonts w:ascii="sans-serif" w:hAnsi="sans-serif"/>
          <w:b/>
          <w:i/>
          <w:color w:val="000000"/>
          <w:sz w:val="20"/>
        </w:rPr>
        <w:t>faster development or regulatory review or approval process, and it does not increase the likelihood that our product candidates will receive marketing approval.</w:t>
      </w:r>
    </w:p>
    <w:p>
      <w:pPr>
        <w:pStyle w:val="TextBody"/>
        <w:bidi w:val="0"/>
        <w:spacing w:before="90" w:after="283"/>
        <w:jc w:val="left"/>
        <w:rPr>
          <w:rFonts w:ascii="sans-serif" w:hAnsi="sans-serif"/>
          <w:color w:val="000000"/>
          <w:sz w:val="20"/>
        </w:rPr>
      </w:pPr>
      <w:r>
        <w:rPr>
          <w:rFonts w:ascii="sans-serif" w:hAnsi="sans-serif"/>
          <w:color w:val="000000"/>
          <w:sz w:val="20"/>
        </w:rPr>
        <w:t>As described in “Item 1. Business – Government Regulation” of our Annual Report, we seek Fast Track, Breakthrough Therapy designation, RMAT designation, PRIME scheme access or Priority Review designation for our product candidates if supported by the results of clinical trials. Designation as such is within the discretion of the relevant regulatory agency. Accordingly, even if we believe one of our product candidates meets the criteria for one of these designations, the agency may disagree and instead determine not to make such designation. The receipt of such a designation for a product candidate also may not result in a faster development process, review or approval compared to drugs considered for approval under conventional regulatory procedures and does not assure that the product will ultimately be approved by the regulatory authority. In addition, the FDA may later decide that the products no longer meet the conditions for qualification as either a Fast Track product, RMAT, or a Breakthrough Therapy or, for Priority Review products, decide that period for FDA review or approval will not be shortened. Furthermore, with respect to PRIME designation by the EMA, PRIME eligibility does not change the standards for product approval, and there is no assurance that any such designation or eligibility will result in expedited review or approval.</w:t>
      </w:r>
    </w:p>
    <w:p>
      <w:pPr>
        <w:pStyle w:val="TextBody"/>
        <w:bidi w:val="0"/>
        <w:spacing w:before="270" w:after="283"/>
        <w:jc w:val="left"/>
        <w:rPr>
          <w:rFonts w:ascii="Times New Roman" w:hAnsi="Times New Roman"/>
          <w:sz w:val="20"/>
        </w:rPr>
      </w:pPr>
      <w:r>
        <w:rPr>
          <w:rFonts w:ascii="sans-serif" w:hAnsi="sans-serif"/>
          <w:b/>
          <w:i/>
          <w:color w:val="000000"/>
          <w:sz w:val="20"/>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Undesirable side effects caused by our product candidates could cause us or regulatory authorities to interrupt, delay, or halt clinical studies or further development, and could result in a more restrictive label, the delay or denial of regulatory approval by the FDA or other comparable foreign authorities, or a Risk Evaluation and Mitigation Strategy, or REMS, plan, which could include a medication guide outlining the risks of such side effects for distribution to patients, restricted distribution, a communication plan for healthcare providers, and/or other elements to assure safe use. Our product candidates are in development and the safety profile has not been established. Further, as one of the goals of Phase 1 and/or Phase 2 clinical trials is to identify the highest dose of treatment that can be safely provided to study participants, adverse side effects, including serious adverse effects, have occurred in certain studies as a result of changes to the dosing regimen during such studies and may occur in future studies. Results of our studies or investigator-sponsored trials that reveal a high and unacceptable severity and prevalence of adverse side effects can lead to suspension or termination, and the FDA or comparable foreign regulatory authorities could order us to cease further development of or deny or withdraw approval of our product candidates for any or all targeted indications.</w:t>
      </w:r>
    </w:p>
    <w:p>
      <w:pPr>
        <w:pStyle w:val="TextBody"/>
        <w:bidi w:val="0"/>
        <w:spacing w:before="90" w:after="283"/>
        <w:jc w:val="left"/>
        <w:rPr>
          <w:rFonts w:ascii="sans-serif" w:hAnsi="sans-serif"/>
          <w:color w:val="000000"/>
          <w:sz w:val="20"/>
        </w:rPr>
      </w:pPr>
      <w:r>
        <w:rPr>
          <w:rFonts w:ascii="sans-serif" w:hAnsi="sans-serif"/>
          <w:color w:val="000000"/>
          <w:sz w:val="20"/>
        </w:rPr>
        <w:t>Additionally, notwithstanding our prior or future regulatory approvals for our product candidates, if we or others later identify undesirable side effects caused by such products, a number of potentially significant negative consequences could result, including but not limited to:</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regulatory authorities may withdraw approvals of such product;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regulatory authorities may require additional warnings on the product’s label or restrict the product’s approved use;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we may be required to create a REMS plan;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we may be required to change the way the product is administered;</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patients and physicians may elect not to use our products, or reimbursement authorities may elect not to reimburse for them; and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our reputation may suffer. </w:t>
      </w:r>
    </w:p>
    <w:p>
      <w:pPr>
        <w:pStyle w:val="TextBody"/>
        <w:bidi w:val="0"/>
        <w:spacing w:before="90" w:after="283"/>
        <w:jc w:val="left"/>
        <w:rPr>
          <w:rFonts w:ascii="Times New Roman" w:hAnsi="Times New Roman"/>
          <w:sz w:val="20"/>
        </w:rPr>
      </w:pPr>
      <w:r>
        <w:rPr>
          <w:rFonts w:ascii="sans-serif" w:hAnsi="sans-serif"/>
          <w:color w:val="000000"/>
          <w:sz w:val="20"/>
        </w:rPr>
        <w:t>Any of these events could prevent us from achieving or maintaining market acceptance of the particular product candidate, if approved.</w:t>
      </w:r>
      <w:r>
        <w:rPr>
          <w:rFonts w:ascii="Times New Roman" w:hAnsi="Times New Roman"/>
          <w:color w:val="000000"/>
          <w:sz w:val="20"/>
        </w:rPr>
        <w:t xml:space="preserve"> </w:t>
      </w:r>
    </w:p>
    <w:p>
      <w:pPr>
        <w:pStyle w:val="TextBody"/>
        <w:bidi w:val="0"/>
        <w:spacing w:before="270" w:after="283"/>
        <w:jc w:val="left"/>
        <w:rPr>
          <w:rFonts w:ascii="sans-serif" w:hAnsi="sans-serif"/>
          <w:b/>
          <w:i/>
          <w:color w:val="000000"/>
          <w:sz w:val="20"/>
        </w:rPr>
      </w:pPr>
      <w:r>
        <w:rPr>
          <w:rFonts w:ascii="sans-serif" w:hAnsi="sans-serif"/>
          <w:b/>
          <w:i/>
          <w:color w:val="000000"/>
          <w:sz w:val="20"/>
        </w:rPr>
        <w:t>Serious adverse events in clinical trials involving gene therapy product candidates may damage public perception of the safety of our product candidates, increase government regulation, and adversely affect our ability to obtain regulatory approvals for our product candidates or conduct our business.</w:t>
      </w:r>
    </w:p>
    <w:p>
      <w:pPr>
        <w:pStyle w:val="TextBody"/>
        <w:bidi w:val="0"/>
        <w:spacing w:before="120" w:after="283"/>
        <w:jc w:val="left"/>
        <w:rPr>
          <w:rFonts w:ascii="Times New Roman" w:hAnsi="Times New Roman"/>
          <w:sz w:val="20"/>
        </w:rPr>
      </w:pPr>
      <w:r>
        <w:rPr>
          <w:rFonts w:ascii="sans-serif" w:hAnsi="sans-serif"/>
          <w:color w:val="000000"/>
          <w:sz w:val="20"/>
        </w:rPr>
        <w:t>Gene therapy remains a novel technology. Public perception may be influenced by claims that gene therapy is unsafe, and gene therapy may not gain the acceptance of the public or the medical community. For example, certain gene therapy trials using AAV8 vectors (although at significantly higher doses than those used in our gene therapy product candidates) and other vectors led to several well-publicized adverse events, including cases of leukemia and death. The risk of cancer or death remains a concern for gene therapy and there can be no assurance that it will not occur in any of our planned or future clinical studies. In addition, there is the potential risk of delayed adverse events following exposure to gene therapy products due to persistent biological activity of the genetic material or other components of products used to carry the genetic material. Serious adverse events in our clinical trials, or other clinical trials involving gene therapy products, particularly AAV gene therapy products such as candidates based on the same</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sans-serif" w:hAnsi="sans-serif"/>
          <w:color w:val="000000"/>
          <w:sz w:val="20"/>
        </w:rPr>
      </w:pPr>
      <w:r>
        <w:rPr>
          <w:rFonts w:ascii="sans-serif" w:hAnsi="sans-serif"/>
          <w:color w:val="000000"/>
          <w:sz w:val="20"/>
        </w:rPr>
        <w:t>capsid serotypes as our product candidates, or occurring during use of our competitors’ products, even if not ultimately attributable to the relevant product candidates, and the resulting publicity, could result in increased government regulation, unfavorable public perception, potential regulatory delays in the testing or approval of our gene therapy product candidates, stricter labeling requirements for those gene therapy product candidates that are approved and a decrease in demand for any such gene therapy product candidates.</w:t>
      </w:r>
    </w:p>
    <w:p>
      <w:pPr>
        <w:pStyle w:val="TextBody"/>
        <w:bidi w:val="0"/>
        <w:spacing w:before="270" w:after="283"/>
        <w:jc w:val="left"/>
        <w:rPr>
          <w:rFonts w:ascii="Times New Roman" w:hAnsi="Times New Roman"/>
          <w:sz w:val="20"/>
        </w:rPr>
      </w:pPr>
      <w:r>
        <w:rPr>
          <w:rFonts w:ascii="sans-serif" w:hAnsi="sans-serif"/>
          <w:b/>
          <w:i/>
          <w:color w:val="000000"/>
          <w:sz w:val="20"/>
        </w:rPr>
        <w:t>Gene therapy product candidates are novel, complex, expensive and difficult to manufacture. We could experience manufacturing problems that result in delays in developing and commercializing these programs or otherwise harm our business.</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0"/>
        </w:rPr>
      </w:pPr>
      <w:r>
        <w:rPr>
          <w:rFonts w:ascii="sans-serif" w:hAnsi="sans-serif"/>
          <w:color w:val="000000"/>
          <w:sz w:val="20"/>
        </w:rPr>
        <w:t>The manufacturing process used to produce our gene therapy product candidates is novel, complex, and has not been validated for commercial use. Several factors could cause production interruptions, including equipment malfunctions, malfunctions of internal information technology systems, regulatory inspections, facility contamination, raw material shortages or contamination, natural disasters, geopolitical instability, disruption in utility services, human error or disruptions in the operations of our suppliers. There are only a small number of CMOs with the experience necessary to manufacture our gene therapy product candidates and we may have difficulty finding or maintaining relationships with such CMOs or hiring experts for internal manufacturing and accordingly, our production capacity may be limited.</w:t>
      </w:r>
    </w:p>
    <w:p>
      <w:pPr>
        <w:pStyle w:val="TextBody"/>
        <w:bidi w:val="0"/>
        <w:spacing w:before="90" w:after="283"/>
        <w:jc w:val="left"/>
        <w:rPr>
          <w:rFonts w:ascii="sans-serif" w:hAnsi="sans-serif"/>
          <w:color w:val="000000"/>
          <w:sz w:val="20"/>
        </w:rPr>
      </w:pPr>
      <w:r>
        <w:rPr>
          <w:rFonts w:ascii="sans-serif" w:hAnsi="sans-serif"/>
          <w:color w:val="000000"/>
          <w:sz w:val="20"/>
        </w:rPr>
        <w:t>Our gene therapy product candidates require processing steps that are more complex than those required for most small molecule drugs. Moreover, unlike small molecules, the physical and chemical properties of a biologic such as gene therapy product candidates generally cannot be fully characterized. As a result, assays of the finished product candidate may not be sufficient to ensure that the product candidate is consistent from lot to lot or will perform in the intended manner. Accordingly, we employ multiple steps to control the manufacturing process to assure that the process works reproducibly, and the product candidate is made strictly and consistently in compliance with the process. Problems with the manufacturing process, even minor deviations from the normal process, could result in product defects or manufacturing failures that result in lot failures, noncompliance with regulatory requirements, product recalls, product liability claims or insufficient inventory. We may encounter problems achieving adequate quantities and quality of clinical-grade materials that meet FDA, EMA or other applicable standards or specifications with consistent and acceptable production yields and costs, and if we make changes to manufacturing sites, materials, methods, testing, or other aspects of our process, we may be required to demonstrate comparability or conduct additional studies or analyses to bridge product manufactured before and after such changes, which could delay development timelines and increase costs.</w:t>
      </w:r>
    </w:p>
    <w:p>
      <w:pPr>
        <w:pStyle w:val="TextBody"/>
        <w:bidi w:val="0"/>
        <w:spacing w:before="90" w:after="283"/>
        <w:jc w:val="left"/>
        <w:rPr>
          <w:rFonts w:ascii="Times New Roman" w:hAnsi="Times New Roman"/>
          <w:sz w:val="20"/>
        </w:rPr>
      </w:pPr>
      <w:r>
        <w:rPr>
          <w:rFonts w:ascii="sans-serif" w:hAnsi="sans-serif"/>
          <w:color w:val="000000"/>
          <w:sz w:val="20"/>
        </w:rPr>
        <w:t>In addition, the FDA, the EMA and other foreign regulatory authorities may require us to submit samples of any lot of any approved product together with the protocols showing the results of applicable tests at any time. Under some circumstances, the FDA, the EMA or other foreign regulatory authorities may require that we not distribute a lot until the agency authorizes its release. Lot failures or product recalls could cause us to delay product launches or clinical trials, which could be costly to us and otherwise harm our business, financial condition, results of operations and prospects.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sans-serif" w:hAnsi="sans-serif"/>
          <w:b/>
          <w:i/>
          <w:color w:val="000000"/>
          <w:sz w:val="20"/>
        </w:rPr>
        <w:t>Our products are subject to regulatory scrutiny, even after approval.</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0"/>
        </w:rPr>
      </w:pPr>
      <w:r>
        <w:rPr>
          <w:rFonts w:ascii="sans-serif" w:hAnsi="sans-serif"/>
          <w:color w:val="000000"/>
          <w:sz w:val="20"/>
        </w:rPr>
        <w:t>Our product candidates are subject to regulatory scrutiny, and our products and any product candidates that are approved in the future remain subject to ongoing regulatory requirements for manufacturing, labeling, packaging, storage, distribution, advertising, promotion, sampling, record-keeping, conduct of post-marketing studies, and submission of safety, efficacy, and other post-market information, including both federal and state requirements in the U.S. and requirements of comparable foreign regulatory authorities, as described in “Item 1. Business – Government Regulation” of our Annual Report.</w:t>
      </w:r>
    </w:p>
    <w:p>
      <w:pPr>
        <w:pStyle w:val="TextBody"/>
        <w:bidi w:val="0"/>
        <w:spacing w:before="120" w:after="283"/>
        <w:jc w:val="left"/>
        <w:rPr>
          <w:rFonts w:ascii="Times New Roman" w:hAnsi="Times New Roman"/>
          <w:sz w:val="20"/>
        </w:rPr>
      </w:pPr>
      <w:r>
        <w:rPr>
          <w:rFonts w:ascii="sans-serif" w:hAnsi="sans-serif"/>
          <w:color w:val="000000"/>
          <w:sz w:val="20"/>
        </w:rPr>
        <w:t>Manufacturers and manufacturers’ facilities are required to comply with extensive FDA, and comparable foreign regulatory authority, requirements, including ensuring that quality control and manufacturing procedures conform to Good Manufacturing Practices, or GMP, regulations. As such, we and our contract manufacturers are subject to inspection and continual review to assess compliance with GMP and adherence to commitments made in any NDA, BLA, MAA, or other comparable application for approval in another jurisdiction. With respect to our third-party contract manufacturers, although we are not involved in their day-to-day operations, we are ultimately responsible for ensuring that our products are manufactured in accordance with GMP regulations. Regulatory authorities may, at any time, audit or inspect a manufacturing facility involved with the preparation of our products, product candidates or the associated quality systems for compliance with the regulations applicable to the activities being conducted. Due to the complexity of the processes used to manufacture our products and product candidates, we or any of our collaborators or contract manufacturers have experienced, and may continue to experience, challenges complying with GMP regulations in a cost-effective manner and successful passing federal, national or international regulatory inspections. Such inspections may result in observations (including Form 483 observations), Warning Letters, untitled letters, import alerts, product detentions, restrictions on operations, or other enforcement actions, and remediation may require significant management attention and resources and may take extended periods of time to complete, including through reinspection or verification by regulatory authorities. For instance, in July 2025, we received a CRL from the FDA for our BLA for UX111, which cited information</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sans-serif" w:hAnsi="sans-serif"/>
          <w:color w:val="000000"/>
          <w:sz w:val="20"/>
        </w:rPr>
      </w:pPr>
      <w:r>
        <w:rPr>
          <w:rFonts w:ascii="sans-serif" w:hAnsi="sans-serif"/>
          <w:color w:val="000000"/>
          <w:sz w:val="20"/>
        </w:rPr>
        <w:t>and improvements related to the observations from the FDA’s inspections at our gene therapy manufacturing facility and that of our third-party manufacturer. If we, our collaborators, such as KKC or Regeneron, or any of our third-party manufacturers fail to maintain regulatory compliance, the FDA or other applicable regulatory authority can impose regulatory sanctions including, among other things, warning or untitled letters, fines, unanticipated compliance expenses, the temporary or permanent suspension of a clinical study or commercial sales, recalls or seizures of product or the temporary or permanent closure of a facility, denial of or delays to product approval, withdrawal of product approval, enforcement actions and criminal or civil prosecution. If our supply, or supply from one of our approved manufacturers is interrupted due to failure to maintain regulatory compliance, an alternative manufacturer would need to be qualified through an NDA or BLA supplement or MAA variation, or equivalent foreign regulatory filing, which could result in delays in product supply. The regulatory agencies may also require additional studies if a new manufacturer, material, testing method or standard is relied upon for commercial production. Switching manufacturers, materials, test methods or standards may involve substantial costs and may result in a delay in our desired clinical and commercial timelines. Accordingly, we and others with whom we work are required to continue to expend time, money, and effort in all areas of regulatory compliance, including manufacturing, production, and quality control.</w:t>
      </w:r>
    </w:p>
    <w:p>
      <w:pPr>
        <w:pStyle w:val="TextBody"/>
        <w:bidi w:val="0"/>
        <w:spacing w:before="90" w:after="283"/>
        <w:jc w:val="left"/>
        <w:rPr>
          <w:rFonts w:ascii="Times New Roman" w:hAnsi="Times New Roman"/>
          <w:sz w:val="20"/>
        </w:rPr>
      </w:pPr>
      <w:r>
        <w:rPr>
          <w:rFonts w:ascii="sans-serif" w:hAnsi="sans-serif"/>
          <w:color w:val="000000"/>
          <w:sz w:val="20"/>
        </w:rPr>
        <w:t>Any regulatory approvals that we receive for our product candidates may be subject to limitations on the approved indicated uses for which the product may be marketed or other conditions of approval, or contain requirements for potentially costly post-marketing testing, including Phase 4 clinical studies, and surveillance to monitor the safety and efficacy of the product candidate. We could also be asked to conduct post-marketing clinical studies to verify the safety and efficacy of our products in general or in specific patient subsets. If original marketing approval was obtained via the accelerated approval or conditional marketing authorization pathways, we would be required to conduct a successful post-marketing clinical study to confirm clinical benefit for our products. An unsuccessful post-marketing study or failure to complete such a study could result in the withdrawal of marketing approval. We will be required to report certain adverse events and manufacturing problems, if any, to the FDA and comparable foreign regulatory authorities. The holder of an approved NDA, BLA, MAA, or other comparable application must submit new or supplemental applications and obtain approval for certain changes to the approved product, product labeling, or manufacturing process.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If we fail to comply with applicable regulatory requirements, or there are safety or efficacy problems with a product, a regulatory agency or enforcement authority may, among other things:</w:t>
      </w:r>
      <w:r>
        <w:rPr>
          <w:rFonts w:ascii="Times New Roman" w:hAnsi="Times New Roman"/>
          <w:color w:val="000000"/>
          <w:sz w:val="20"/>
        </w:rPr>
        <w:t xml:space="preserve">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issue warning or notice of violation letters;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impose civil or criminal penalties;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suspend or withdraw regulatory approval;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suspend any of our ongoing clinical studies;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refuse to approve pending applications or supplements to approved applications submitted by us;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impose restrictions on our operations, including closing our contract manufacturers’ facilities;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seize or detain products, or require a product recall; or</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require entry into a consent decree.</w:t>
      </w:r>
    </w:p>
    <w:p>
      <w:pPr>
        <w:pStyle w:val="TextBody"/>
        <w:bidi w:val="0"/>
        <w:spacing w:before="90" w:after="283"/>
        <w:jc w:val="left"/>
        <w:rPr>
          <w:rFonts w:ascii="Times New Roman" w:hAnsi="Times New Roman"/>
          <w:sz w:val="20"/>
        </w:rPr>
      </w:pPr>
      <w:r>
        <w:rPr>
          <w:rFonts w:ascii="sans-serif" w:hAnsi="sans-serif"/>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sans-serif" w:hAnsi="sans-serif"/>
          <w:b/>
          <w:i/>
          <w:color w:val="000000"/>
          <w:sz w:val="20"/>
        </w:rPr>
        <w:t>Product liability lawsuits against us could cause us to incur substantial liabilities and could limit commercialization of our approved products or product candidates.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We face an inherent risk of product liability exposure related to the testing of our approved products and product candidates in human clinical trials, as well as in connection with commercialization of our products. If we cannot successfully defend ourselves against claims that any of our approved products or product candidates caused injuries, we could incur substantial liabilities. There can be no assurance that our product liability insurance, which provides coverage in the amount of $15 million in the aggregate, will be sufficient in light of our current or planned clinical programs. We may not be able to maintain insurance coverage at a reasonable cost or in sufficient amounts to protect us against losses due to liability, or losses may exceed the amount of insurance that we carry. A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products, and decreased demand for our products.</w:t>
      </w:r>
    </w:p>
    <w:p>
      <w:pPr>
        <w:pStyle w:val="TextBody"/>
        <w:bidi w:val="0"/>
        <w:spacing w:before="270" w:after="283"/>
        <w:jc w:val="left"/>
        <w:rPr>
          <w:rFonts w:ascii="sans-serif" w:hAnsi="sans-serif"/>
          <w:b/>
          <w:i/>
          <w:color w:val="000000"/>
          <w:sz w:val="20"/>
        </w:rPr>
      </w:pPr>
      <w:r>
        <w:rPr>
          <w:rFonts w:ascii="sans-serif" w:hAnsi="sans-serif"/>
          <w:b/>
          <w:i/>
          <w:color w:val="000000"/>
          <w:sz w:val="20"/>
        </w:rPr>
        <w:t>If we are unable to identify, source, and develop effective biomarkers, or our collaborators are unable to successfully develop and commercialize companion diagnostics for our product candidates, or experience significant delays in doing so, we may not realize the full commercial potential of our product candidates.</w:t>
      </w:r>
    </w:p>
    <w:p>
      <w:pPr>
        <w:pStyle w:val="TextBody"/>
        <w:bidi w:val="0"/>
        <w:spacing w:before="90" w:after="283"/>
        <w:jc w:val="left"/>
        <w:rPr>
          <w:rFonts w:ascii="sans-serif" w:hAnsi="sans-serif"/>
          <w:color w:val="000000"/>
          <w:sz w:val="20"/>
        </w:rPr>
      </w:pPr>
      <w:r>
        <w:rPr>
          <w:rFonts w:ascii="sans-serif" w:hAnsi="sans-serif"/>
          <w:color w:val="000000"/>
          <w:sz w:val="20"/>
        </w:rPr>
        <w:t>We are developing companion diagnostic tests to identify the right patients for certain of our product candidates and to monitor response to treatment. In certain cases, diagnostic tests may need to be developed as companion diagnostics and regulatory approval obtained in order to commercialize some product candidates. We currently use and expect to continue to use biomarkers to identify the right patients for certain of our product candidates. We may also need to develop predictive biomarkers in the future. We can offer no assurances that any current or future potential biomarker will in fact prove predictive, be reliably measured, or be accepted as a measure of efficacy by the FDA or other regulatory authorities. In addition, our success may depend, in part, on the development and commercialization of companion diagnostics. We also expect the FDA will require the development and regulatory approval of a companion diagnostic assay as a condition to approval of our gene therapy product candidates. There has been limited success to date industrywide in developing and commercializing these types of companion diagnostics. Development and manufacturing of companion diagnostics is complex and there are limited manufacturers with the necessary expertise and capability. Even if we are able to successfully develop companion diagnostics, we may not be able to manufacture the companion diagnostics at a cost or in quantities or on timelines necessary for use with our product candidates. To be successful, we need to address a number of scientific, technical and logistical challenges. We are currently working with a third party to develop companion diagnostics, however, we have little experience in the development and commercialization of diagnostics and may not ultimately be successful in developing and commercializing appropriate diagnostics to pair with any of our product candidates that receive marketing approval. We rely on third parties for the automation, characterization and validation, of our bioanalytical assays, companion diagnostics and the manufacture of critical reagents.</w:t>
      </w:r>
    </w:p>
    <w:p>
      <w:pPr>
        <w:pStyle w:val="TextBody"/>
        <w:bidi w:val="0"/>
        <w:spacing w:before="90" w:after="283"/>
        <w:jc w:val="left"/>
        <w:rPr>
          <w:rFonts w:ascii="sans-serif" w:hAnsi="sans-serif"/>
          <w:color w:val="000000"/>
          <w:sz w:val="20"/>
        </w:rPr>
      </w:pPr>
      <w:r>
        <w:rPr>
          <w:rFonts w:ascii="sans-serif" w:hAnsi="sans-serif"/>
          <w:color w:val="000000"/>
          <w:sz w:val="20"/>
        </w:rPr>
        <w:t>Companion diagnostics are subject to regulation by the FDA and similar regulatory authorities outside the U.S. as medical devices and require regulatory clearance or approval prior to commercialization. Changes in marketing approval policies during the development period, changes in or the enactment of additional statutes or regulations, or changes in regulatory review in jurisdictions in which we operate may cause delays in the approval, clearance or rejection of an application. Given our limited experience in developing and commercializing diagnostics, we expect to rely in part or in whole on third parties for companion diagnostic design and commercialization. We and our collaborators may encounter difficulties in developing and obtaining approval or clearance for the companion diagnostics, including issues relating to selectivity/specificity, analytical validation, reproducibility, or clinical validation. Any delay or failure by us or our collaborators to develop or obtain regulatory approval of the companion diagnostics could delay or prevent approval of our product candidates.</w:t>
      </w:r>
    </w:p>
    <w:p>
      <w:pPr>
        <w:pStyle w:val="TextBody"/>
        <w:bidi w:val="0"/>
        <w:spacing w:before="270" w:after="283"/>
        <w:jc w:val="left"/>
        <w:rPr>
          <w:rFonts w:ascii="Times New Roman" w:hAnsi="Times New Roman"/>
          <w:sz w:val="20"/>
        </w:rPr>
      </w:pPr>
      <w:r>
        <w:rPr>
          <w:rFonts w:ascii="sans-serif" w:hAnsi="sans-serif"/>
          <w:b/>
          <w:color w:val="000000"/>
          <w:sz w:val="20"/>
        </w:rPr>
        <w:t>Risks Related to Our Reliance on Third Parties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b/>
          <w:i/>
          <w:color w:val="000000"/>
          <w:sz w:val="20"/>
        </w:rPr>
        <w:t>We rely on third parties to conduct our nonclinical and clinical studies and perform other tasks for us. If these third parties do not successfully carry out their contractual duties, meet expected deadlines, or comply with regulatory requirements, we may be exposed to sub-optimal quality and reputational harm, we may not be able to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We have relied upon and plan to continue to rely upon third parties, including CROs, collaborative partners, and independent investigators to analyze, collect, monitor, and manage data for our ongoing nonclinical and clinical programs. We rely on third parties for execution of our nonclinical and clinical studies, and for estimates regarding costs and efforts completed, and we control only certain aspects of their activities. We and our CROs and other vendors and partners are required to comply with GMP, GCP, and</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GLP, which are regulations and guidelines enforced by the FDA, the Competent Authorities of the Member States of the European Economic Area, and comparable foreign regulatory authorities for all of our product candidates in development. If we or any of our CROs or other vendors and partners, including the sites at which clinical studies are conducted, fail to comply with applicable regulations, the data generated in our nonclinical and clinical studies may be deemed unreliable and the FDA, EMA, or comparable foreign regulatory authorities may deny approval and/or require us to perform additional nonclinical and clinical studies before approving our marketing applications, which would delay the approval process. We cannot make assurances that a given regulatory authority will determine that any of our clinical studies comply with GCP regulations or that nonclinical studies comply with GLP regulations. In addition, our clinical studies must be conducted with products produced under GMP regulations. Failure to comply with GLP, GMP, or GCP regulations may result in denial for approval of our product candidates and/or we may be required to repeat clinical or nonclinical studies, which would delay the regulatory approval process.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Our CROs and other vendors and partners are not our employees, and we cannot control whether or not they devote sufficient time and resources to our on-going nonclinical and clinical programs, except for the limited remedies available to us under our agreements with such third parties. If our vendors and partners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and other vendors and partners have also generated higher costs than anticipated as a result of changes in scope of work or otherwise. As a result, the commercial prospects for our product candidates could be harmed, our costs could increase, and our ability to generate revenue could be delayed.</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If any of our relationships with these third parties terminate, we may not be able to enter into arrangements with alternative vendors or do so on commercially reasonable terms. Switching or adding additional vendors involves additional cost and requires management time and focus, which can lead to delays and materially impacting our ability to meet our desired clinical development timelines. Our efforts to manage our relationships with our vendors and partners can provide no assurance that we will not encounter similar challenges or delays in the future or that these delays or challenges will not have a material adverse impact on our business, financial condition, and business prospects.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We also rely on third parties in other ways, including efforts to support patient diagnosis and identify patients, to assist our finance and legal departments, and to provide other resources for our business. Use of these third parties could expose us to sub-optimal quality, missed deadlines, and non-compliance with applicable laws, all of which could result in reputational harm to us and negatively affect our business.</w:t>
      </w:r>
    </w:p>
    <w:p>
      <w:pPr>
        <w:pStyle w:val="TextBody"/>
        <w:bidi w:val="0"/>
        <w:spacing w:before="270" w:after="283"/>
        <w:jc w:val="left"/>
        <w:rPr>
          <w:rFonts w:ascii="Times New Roman" w:hAnsi="Times New Roman"/>
          <w:sz w:val="20"/>
        </w:rPr>
      </w:pPr>
      <w:r>
        <w:rPr>
          <w:rFonts w:ascii="sans-serif" w:hAnsi="sans-serif"/>
          <w:b/>
          <w:i/>
          <w:color w:val="000000"/>
          <w:sz w:val="20"/>
        </w:rPr>
        <w:t>We are dependent on KKC for the commercialization of Crysvita in our markets, including the U.S. and Canada, and for our supply of Crysvita in our markets. Failure by KKC to commercialize Crysvita in those markets, or to supply Crysvita to us, could result in a material adverse effect on our business and operating results.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Pursuant to the terms of our collaboration and license agreement with KKC, or the collaboration agreement, commercialization responsibilities for Crysvita in the U.S. and Canada transitioned from us to KKC in April 2023. KKC also has the sole right to commercialize Crysvita in Europe and, at certain specified times, in Türkiye, subject to certain rights retained. A substantial portion of our total revenue has been based on revenue from Crysvita, including royalty revenue we receive from KKC for sales of the product in the U.S. and Canada. For the three and six months ended June 30, 2026, 48% and 43%, respectively, of our total revenue consisted of royalty revenue from KKC in the U.S., Canada and the European territory. The commercial success of Crysvita in territories in which KKC owns commercialization responsibilities, such as in the U.S. and Canada depends on, among other things, the efforts and allocation of resources of KKC in those territories, which we do not control. KKC has no obligation under the collaboration agreement to use diligent efforts to commercialize Crysvita in those territories. Our partnership with KKC may not be successful, and we may not realize the expected benefits from such partnership, due to a number of important factors, including but not limited to the following:</w:t>
      </w:r>
      <w:r>
        <w:rPr>
          <w:rFonts w:ascii="Times New Roman" w:hAnsi="Times New Roman"/>
          <w:color w:val="000000"/>
          <w:sz w:val="20"/>
        </w:rPr>
        <w:t xml:space="preserve">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KKC may change the focus of its commercialization efforts or pursue higher priority programs;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KKC may make decisions regarding the indications for our product candidates or regarding market access and pricing in countries where it has the sole right to commercialize the product candidates that limit or negatively impact our commercialization efforts in those countries or in countries where we have the right to commercialize our product candidates;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KKC may fail to manufacture or supply sufficient drug product of Crysvita in compliance with applicable laws and regulations or otherwise for our development and clinical use or commercial use, which could result in program delays or lost revenue;</w:t>
      </w:r>
    </w:p>
    <w:p>
      <w:pPr>
        <w:pStyle w:val="TextBody"/>
        <w:bidi w:val="0"/>
        <w:jc w:val="center"/>
        <w:rPr>
          <w:rFonts w:ascii="sans-serif" w:hAnsi="sans-serif"/>
          <w:color w:val="000000"/>
          <w:sz w:val="20"/>
        </w:rPr>
      </w:pPr>
      <w:r>
        <w:rPr>
          <w:rFonts w:ascii="sans-serif" w:hAnsi="sans-serif"/>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KKC may elect to develop and commercialize Crysvita indications with a larger market than XLH and at a lower price, thereby reducing the profit margin on sales of Crysvita for any orphan indications, including XLH;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if KKC were to breach or terminate the agreement with us, we would no longer have any rights to develop or commercialize Crysvita or such rights would be limited to non-terminated countries, which would adversely affect our potential revenue from licensed products; and</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the timing and amounts of expense reimbursement that we may receive are uncertain, and the total expenses for which we are obligated to reimburse KKC may be greater than anticipated.</w:t>
      </w:r>
    </w:p>
    <w:p>
      <w:pPr>
        <w:pStyle w:val="TextBody"/>
        <w:bidi w:val="0"/>
        <w:spacing w:before="270" w:after="283"/>
        <w:jc w:val="left"/>
        <w:rPr>
          <w:rFonts w:ascii="Times New Roman" w:hAnsi="Times New Roman"/>
          <w:sz w:val="20"/>
        </w:rPr>
      </w:pPr>
      <w:r>
        <w:rPr>
          <w:rFonts w:ascii="sans-serif" w:hAnsi="sans-serif"/>
          <w:b/>
          <w:i/>
          <w:color w:val="000000"/>
          <w:sz w:val="20"/>
        </w:rPr>
        <w:t>We rely on third parties to manufacture our products and our product candidates and we are subject to a multitude of manufacturing risks, any of which could substantially increase our costs and limit the supply of our products and product candidates.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We rely on third parties to manufacture, store and distribute our products and product candidates and, although we oversee the contract manufacturers, we cannot control the manufacturing process of, and are substantially dependent on, our contract manufacturing partners for compliance with the regulatory requirements. See the risk factor above entitled “- Our products are subject to regulatory scrutiny, even after approval.” Further, we depend on our manufacturers to purchase from third-party suppliers the materials necessary to produce our products and product candidates. There are a limited number of suppliers for raw materials that we use to manufacture our drugs, placebos, or active controls, and there may be a need to identify alternate suppliers to prevent or mitigate a possible disruption of the manufacture of the materials necessary to produce our products and product candidates for our clinical studies, and, if approved, ultimately for commercial sale. We also do not have any control over the process or timing of the acquisition of these raw materials by our manufacturers. We may also experience interruptions in supply of product if the product or raw material components fail to meet our quality control standards or the quality control standards of our suppliers. Qualification of alternate suppliers, manufacturers, facilities, materials, and components, and implementation of related change controls, can require significant lead time, technical effort, validation work, and, in some cases, regulatory submissions or approvals. Because we may maintain limited safety stock for certain products and product candidates, any prolonged interruption, quality issue, or delay in release testing could result in inventory shortages, delays in clinical studies, interruptions in commercial supply, lost sales, inventory write-offs, or product withdrawals or recalls.</w:t>
      </w:r>
    </w:p>
    <w:p>
      <w:pPr>
        <w:pStyle w:val="TextBody"/>
        <w:bidi w:val="0"/>
        <w:spacing w:before="90" w:after="283"/>
        <w:jc w:val="left"/>
        <w:rPr>
          <w:rFonts w:ascii="sans-serif" w:hAnsi="sans-serif"/>
          <w:color w:val="000000"/>
          <w:sz w:val="20"/>
        </w:rPr>
      </w:pPr>
      <w:r>
        <w:rPr>
          <w:rFonts w:ascii="sans-serif" w:hAnsi="sans-serif"/>
          <w:color w:val="000000"/>
          <w:sz w:val="20"/>
        </w:rPr>
        <w:t>Further, manufacturers that produce our products and product candidates may not have experience producing at commercial levels and may not produce our products and product candidates at the cost, quality, quantities, locations, and timing needed to support profitable commercialization. We have not yet secured manufacturing capabilities for commercial quantities of all of our product candidates and may be unable to negotiate binding agreements with manufacturers to support our commercialization activities on commercially reasonable terms. Even if our third-party product manufacturers develop acceptable manufacturing processes that provide the necessary quantities of our products and product candidates in a compliant and timely manner, the cost to us for the supply of our products and product candidates manufactured by such third parties may be high and could limit our profitability. For instance, KKC is our sole supplier of commercial quantities of Crysvita. The supply price to us for commercial sales of Crysvita in Latin America is 30% of net sales, which is higher than the typical cost of sales for companies focused on rare diseases.</w:t>
      </w:r>
    </w:p>
    <w:p>
      <w:pPr>
        <w:pStyle w:val="TextBody"/>
        <w:bidi w:val="0"/>
        <w:spacing w:before="90" w:after="283"/>
        <w:jc w:val="left"/>
        <w:rPr>
          <w:rFonts w:ascii="Times New Roman" w:hAnsi="Times New Roman"/>
          <w:sz w:val="20"/>
        </w:rPr>
      </w:pPr>
      <w:r>
        <w:rPr>
          <w:rFonts w:ascii="sans-serif" w:hAnsi="sans-serif"/>
          <w:color w:val="000000"/>
          <w:sz w:val="20"/>
        </w:rPr>
        <w:t>The process of manufacturing our products and product candidates is complex, highly regulated, and subject to several risks, including but not limited to those listed below.</w:t>
      </w:r>
      <w:r>
        <w:rPr>
          <w:rFonts w:ascii="Times New Roman" w:hAnsi="Times New Roman"/>
          <w:color w:val="000000"/>
          <w:sz w:val="20"/>
        </w:rPr>
        <w:t xml:space="preserve">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The process of manufacturing our products and product candidates is extremely susceptible to product loss due to contamination, equipment failure or improper installation or operation of equipment, or vendor or operator error. Even minor deviations from normal manufacturing processes for our products and any of our product candidates could result in reduced production yields, product defects, and other supply disruptions. If microbial, viral, or other contaminations are discovered in our products and product candidates or in the manufacturing facilities in which our products and product candidates are made, such manufacturing facilities may need to be closed for an extended period of time to investigate and remedy the contamination.</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manufacturing facilities in which our products and product candidates are made could be adversely affected by equipment failures, labor shortages, raw material shortages, natural disasters, power failures, actual or threatened public health emergencies, and numerous other factors. </w:t>
      </w:r>
    </w:p>
    <w:p>
      <w:pPr>
        <w:pStyle w:val="TextBody"/>
        <w:bidi w:val="0"/>
        <w:spacing w:before="90" w:after="283"/>
        <w:jc w:val="left"/>
        <w:rPr>
          <w:rFonts w:ascii="sans-serif" w:hAnsi="sans-serif"/>
          <w:color w:val="000000"/>
          <w:sz w:val="20"/>
        </w:rPr>
      </w:pPr>
      <w:r>
        <w:rPr>
          <w:rFonts w:ascii="sans-serif" w:hAnsi="sans-serif"/>
          <w:color w:val="000000"/>
          <w:sz w:val="20"/>
        </w:rPr>
        <w:t>Any adverse developments affecting manufacturing operations for our products and product candidates may result in shipment delays, inventory shortages, lot failures, withdrawals or recalls, or other interruptions in the supply of our products and product candidates. Due to their stage of development, small volume requirements, and infrequency of batch production runs, we carry limited amounts of safety stock for our products and product candidates. We have, and may in the future, be required to take inventory write-offs and incur other charges and expenses for products and product candidates that fail to meet specifications, undertake costly remediation efforts, or seek more costly manufacturing alternatives.</w:t>
      </w:r>
    </w:p>
    <w:p>
      <w:pPr>
        <w:pStyle w:val="TextBody"/>
        <w:bidi w:val="0"/>
        <w:jc w:val="center"/>
        <w:rPr>
          <w:rFonts w:ascii="sans-serif" w:hAnsi="sans-serif"/>
          <w:color w:val="000000"/>
          <w:sz w:val="20"/>
        </w:rPr>
      </w:pPr>
      <w:r>
        <w:rPr>
          <w:rFonts w:ascii="sans-serif" w:hAnsi="sans-serif"/>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sans-serif" w:hAnsi="sans-serif"/>
          <w:b/>
          <w:i/>
          <w:color w:val="000000"/>
          <w:sz w:val="20"/>
        </w:rPr>
      </w:pPr>
      <w:r>
        <w:rPr>
          <w:rFonts w:ascii="sans-serif" w:hAnsi="sans-serif"/>
          <w:b/>
          <w:i/>
          <w:color w:val="000000"/>
          <w:sz w:val="20"/>
        </w:rPr>
        <w:t>The drug substance and drug product for our products and most of our product candidates are currently acquired from single-source suppliers. The loss of these suppliers, or their failure to supply us with the necessary drug substance or drug product, could materially and adversely affect our business.</w:t>
      </w:r>
    </w:p>
    <w:p>
      <w:pPr>
        <w:pStyle w:val="TextBody"/>
        <w:bidi w:val="0"/>
        <w:spacing w:before="90" w:after="283"/>
        <w:jc w:val="left"/>
        <w:rPr>
          <w:rFonts w:ascii="sans-serif" w:hAnsi="sans-serif"/>
          <w:color w:val="000000"/>
          <w:sz w:val="20"/>
        </w:rPr>
      </w:pPr>
      <w:r>
        <w:rPr>
          <w:rFonts w:ascii="sans-serif" w:hAnsi="sans-serif"/>
          <w:color w:val="000000"/>
          <w:sz w:val="20"/>
        </w:rPr>
        <w:t>We acquire most of the drug substances and drug products for our products and product candidates from single sources. If any single source supplier breaches an agreement with us, or terminates the agreement in response to an alleged breach by us, ceases operations, is acquired, enters into exclusive arrangements with a competitor or otherwise becomes unable or unwilling to fulfill its supply obligations, we would not be able to manufacture and distribute the product or product candidate until a qualified alternative supplier is identified, which could significantly impair our ability to commercialize such product or delay the development of such product candidate. For example, the drug substance and drug product for Crysvita and Evkeeza are made, respectively, by KKC pursuant to a license and collaboration agreement and supply agreements and Regeneron pursuant to a supply agreement. Further, single source suppliers are also used for our gene therapy programs and for Dojolvi. We cannot provide assurances that qualifying alternate sources, if available at all, for any of our drug substances and drug products, and establishing relationships with such sources would not result in significant expense, supply disruptions or delay in the commercialization of our products or the development of our product candidates. Additionally, we may not be able to enter into supply arrangements with an alternative supplier on commercially reasonable terms or at all. The terms of any new agreement may also be less favorable or more costly than the terms we have with our current supplier. A delay in the commercialization of our products or the development of our product candidates or having to enter into a new agreement with a different third-party on less favorable terms than we have with our current suppliers could have a material adverse impact upon on our business. In addition, disruptions at a single-source supplier could require time-consuming investigations and remediation, and changes in suppliers, sites, materials, methods, or processes may require regulatory submissions, comparability assessments, additional testing, or validation activities that could delay product supply or development timelines and increase costs. Furthermore, geopolitical tensions with China and implementation of the BIOSECURE Act could disrupt biotechnology supply chains. The BIOSECURE Act establishes restrictions on the use of certain biotechnology equipment or services produced or provided by designated ‘biotechnology companies of concern’ in connection with certain U.S. federal contracts, grants, and loans, subject to phased implementation, designation procedures, transition periods, waivers, and implementing regulations. As companies in our industry evaluate and transition away from suppliers that are or may become subject to such restrictions, alternative suppliers, including our current or potential single source suppliers, may experience increased demand, capacity constraints, price increases, or delays. Any such developments could disrupt our supply chain, increase our costs or otherwise adversely affect our ability to manufacture, source, or obtain equipment, services, materials, or components on acceptable timelines or terms.</w:t>
      </w:r>
    </w:p>
    <w:p>
      <w:pPr>
        <w:pStyle w:val="TextBody"/>
        <w:bidi w:val="0"/>
        <w:spacing w:before="270" w:after="283"/>
        <w:jc w:val="left"/>
        <w:rPr>
          <w:rFonts w:ascii="Times New Roman" w:hAnsi="Times New Roman"/>
          <w:sz w:val="20"/>
        </w:rPr>
      </w:pPr>
      <w:r>
        <w:rPr>
          <w:rFonts w:ascii="sans-serif" w:hAnsi="sans-serif"/>
          <w:b/>
          <w:i/>
          <w:color w:val="000000"/>
          <w:sz w:val="20"/>
        </w:rPr>
        <w:t>The actions of distributors and specialty pharmacies could affect our ability to sell or market products profitably. Fluctuations in buying or distribution patterns by such distributors and specialty pharmacies could adversely affect our revenues, financial condition, or results of operations.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We rely on commercial distributors and specialty pharmacies for a considerable portion of our product sales and such sales are concentrated within a small number of distributors and specialty pharmacies. The financial failure of any of these parties could adversely affect our revenues, financial condition or results of operations. Our revenues, financial condition or results of operations may also be affected by fluctuations in buying or distribution patterns of such distributors and specialty pharmacies. These fluctuations may result from seasonality, pricing, wholesaler inventory objectives, or other factors.</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sans-serif" w:hAnsi="sans-serif"/>
          <w:b/>
          <w:color w:val="000000"/>
          <w:sz w:val="20"/>
        </w:rPr>
        <w:t>Risks Related to Commercialization of Our Products and Product Candidates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b/>
          <w:i/>
          <w:color w:val="000000"/>
          <w:sz w:val="20"/>
        </w:rPr>
        <w:t>If the market opportunities for our products and product candidates are smaller than we believe they are, our revenue may be adversely affected, and our business may suffer.</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We focus our research and product development on treatments for rare and ultra-rare genetic diseases. Given the small number of patients who have the diseases that we are targeting, it is critical to our ability to grow and become profitable that we continue to successfully identify patients with the rare and ultra-rare genetic diseases we are targeting. Some of our current products or clinical programs may also be most appropriate for patients with more severe forms of their disease. For instance, while adults make up the majority of the XLH patients, they often have less severe disease that may reduce the penetration of Crysvita in the adult population relative to the pediatric population. Given the overall rarity of the diseases we target, it is difficult to project the prevalence of the more severe forms, or the other subsets of patients that may be most suitable to address with our products and product candidates, which may further limit the addressable patient population to a small subset. Our projections of both 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products and product candidates may be limited or may not be amenable to treatment with our products and product candidates, and new patients may become increasingly difficult to identify or access. Further, even if we obtain significant market share for our products and product candidates, because the potential target populations are very small, we may never become or remain profitable nor generate sufficient revenue growth to sustain our business.</w:t>
      </w:r>
    </w:p>
    <w:p>
      <w:pPr>
        <w:pStyle w:val="TextBody"/>
        <w:bidi w:val="0"/>
        <w:spacing w:before="270" w:after="283"/>
        <w:jc w:val="left"/>
        <w:rPr>
          <w:rFonts w:ascii="Times New Roman" w:hAnsi="Times New Roman"/>
          <w:sz w:val="20"/>
        </w:rPr>
      </w:pPr>
      <w:r>
        <w:rPr>
          <w:rFonts w:ascii="sans-serif" w:hAnsi="sans-serif"/>
          <w:b/>
          <w:i/>
          <w:color w:val="000000"/>
          <w:sz w:val="20"/>
        </w:rPr>
        <w:t>We face intense competition and rapid technological change, including the use of artificial intelligence, or AI, and the possibility that our competitors may develop therapies that are similar, more advanced, or more effective than ours, which may adversely affect our financial condition and our ability to successfully commercialize our product candidates.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The biotechnology and pharmaceutical industries are intensely competitive and subject to rapid and significant technological change. We are currently aware of various existing treatments that may compete with our products and product candidates. See “Item 1. Business – Competition” of our Annual Report.</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We have competitors both in the U.S. and internationally, including major multinational pharmaceutical companies, specialty pharmaceutical companies, biotechnology companies, startups, academic research institutions, government agencies, and public and private research institutions. Many of our competitors have substantially greater financial, technical, and other resources, such as larger research and development staff and experienced marketing and manufacturing organizations. Additional mergers and acquisitions in the biotechnology and pharmaceutical industries can often result in even more resources being concentrated in our competitors. As a result, these companies may obtain regulatory approval more rapidly than we are able to and may be more effective in selling and marketing their products as well. 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 or achieve earlier patent protection, regulatory approval, product commercialization, and market penetration than we do. Additionally, technologies developed by our competitors may render our potential products and product candidates uneconomical or obsolete, and we may not be successful in marketing our products and product candidates against competitors. Moreover, we also face increased competition from other companies that are using AI, some of whom may be able to more quickly and effectively identify and develop novel drug candidates compared to us and our business partners, which could impair our ability to compete effectively and have a material adverse effect on our business, results of operations, or financial condition.</w:t>
      </w:r>
    </w:p>
    <w:p>
      <w:pPr>
        <w:pStyle w:val="TextBody"/>
        <w:bidi w:val="0"/>
        <w:spacing w:before="270" w:after="283"/>
        <w:jc w:val="left"/>
        <w:rPr>
          <w:rFonts w:ascii="Times New Roman" w:hAnsi="Times New Roman"/>
          <w:sz w:val="20"/>
        </w:rPr>
      </w:pPr>
      <w:r>
        <w:rPr>
          <w:rFonts w:ascii="sans-serif" w:hAnsi="sans-serif"/>
          <w:b/>
          <w:i/>
          <w:color w:val="000000"/>
          <w:sz w:val="20"/>
        </w:rPr>
        <w:t>If we are unable to expand our existing commercial infrastructure or enter into agreements with third parties to market and sell our products and product candidates, as needed, we may be unable to increase our revenue.</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As we increase the number and range of our commercialized products, particularly as we prepare for launches of our first gene therapy products, we will need to expand our commercial and support teams to include additional expertise in those products. We may also experience additional complexities in our sales process and strategy and may encounter difficulties in allocating sufficient resources to sales and marketing of certain products. Further, as we launch additional products or as demand for our products change, our initial estimate of the size of the required field force may be materially more or less than the size of the field force</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actually required to effectively commercialize our product candidates. As such, we may be required to hire larger teams to adequately support the commercialization of our products and product candidates or we may incur excess costs in an effort to optimize the hiring of commercial personnel. With respect to certain geographical markets, we may enter into collaborations with other entities to utilize their local marketing and distribution capabilities, but we may be unable to enter into such agreements on favorable terms, if at all. If our future collaborators do not commit sufficient resources to commercialize our future products, if any, and we are unable to develop the necessary marketing capabilities on our own, we will be unable to generate sufficient product sales to sustain our business. We face competition from companies that currently have extensive and well-funded marketing and sales operations. Without a large internal team or the support of a third party to perform key commercial functions, we may be unable to compete successfully against these more established companies.</w:t>
      </w:r>
    </w:p>
    <w:p>
      <w:pPr>
        <w:pStyle w:val="TextBody"/>
        <w:bidi w:val="0"/>
        <w:spacing w:before="270" w:after="283"/>
        <w:jc w:val="left"/>
        <w:rPr>
          <w:rFonts w:ascii="Times New Roman" w:hAnsi="Times New Roman"/>
          <w:sz w:val="20"/>
        </w:rPr>
      </w:pPr>
      <w:r>
        <w:rPr>
          <w:rFonts w:ascii="sans-serif" w:hAnsi="sans-serif"/>
          <w:b/>
          <w:i/>
          <w:color w:val="000000"/>
          <w:sz w:val="20"/>
        </w:rPr>
        <w:t>The commercial success of any current or future product will depend upon the degree of market acceptance by physicians, patients, third-party payors, and others in the medical community.</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Even with the requisite approvals from the FDA and comparable foreign regulatory authorities, the commercial success of our current and future products will depend in part on the medical community, patients, and payors accepting our current and future products as medically useful, cost-effective, and safe. Any product that we bring to the market may not gain market acceptance by physicians, patients, payors, and others in the medical community. The degree of market acceptance of any of our current and future products will depend on a number of factors, including:</w:t>
      </w:r>
      <w:r>
        <w:rPr>
          <w:rFonts w:ascii="Times New Roman" w:hAnsi="Times New Roman"/>
          <w:color w:val="000000"/>
          <w:sz w:val="20"/>
        </w:rPr>
        <w:t xml:space="preserve">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efficacy of the product as demonstrated in clinical studies and potential advantages over competing treatments;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prevalence and severity of any side effects, including any limitations or warnings contained in a product’s approved labeling;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clinical indications for which approval is granted;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relative convenience and ease of administration;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cost of treatment, particularly in relation to competing treatments;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willingness of the target patient population to try new therapies and of physicians to prescribe these therapies;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the effectiveness of our field forces and marketing efforts;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strength of marketing and distribution support and timing of market introduction of competitive products;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publicity concerning our products or competing products and treatments; and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sufficient third-party insurance coverage and reimbursement. </w:t>
      </w:r>
    </w:p>
    <w:p>
      <w:pPr>
        <w:pStyle w:val="TextBody"/>
        <w:bidi w:val="0"/>
        <w:spacing w:before="90" w:after="283"/>
        <w:jc w:val="left"/>
        <w:rPr>
          <w:rFonts w:ascii="sans-serif" w:hAnsi="sans-serif"/>
          <w:color w:val="000000"/>
          <w:sz w:val="20"/>
        </w:rPr>
      </w:pPr>
      <w:r>
        <w:rPr>
          <w:rFonts w:ascii="sans-serif" w:hAnsi="sans-serif"/>
          <w:color w:val="000000"/>
          <w:sz w:val="20"/>
        </w:rPr>
        <w:t>Even if a potential product displays a favorable efficacy and safety profile in nonclinical and clinical studies, market acceptance of the product will not be fully known until after it is launched. Our efforts to educate the medical community and payors on the benefits of the product candidates require significant resources and may never be successful. If our current and future products fail to achieve an adequate level of acceptance by physicians, patients, payors, and others in the medical community, we will not be able to generate sufficient revenue to become or remain profitable.</w:t>
      </w:r>
    </w:p>
    <w:p>
      <w:pPr>
        <w:pStyle w:val="TextBody"/>
        <w:bidi w:val="0"/>
        <w:jc w:val="center"/>
        <w:rPr>
          <w:rFonts w:ascii="sans-serif" w:hAnsi="sans-serif"/>
          <w:color w:val="000000"/>
          <w:sz w:val="20"/>
        </w:rPr>
      </w:pPr>
      <w:r>
        <w:rPr>
          <w:rFonts w:ascii="sans-serif" w:hAnsi="sans-serif"/>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sans-serif" w:hAnsi="sans-serif"/>
          <w:b/>
          <w:i/>
          <w:color w:val="000000"/>
          <w:sz w:val="20"/>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Our target patient populations are small, and accordingly the pricing, coverage, and reimbursement of our products must be adequate to support our commercial infrastructure. Our per-patient prices must be sufficient to recover our development and manufacturing costs and potentially achieve profitability. We expect the cost of a single administration of gene therapy products, such as those we are developing, to be substantial, when and if they achieve regulatory approval. Accordingly, the availability and adequacy of coverage and reimbursement by governmental and private payors are essential for most patients to afford expensive treatments such as ours, assuming approval. Sales of our products depend substantially, both domestically and abroad, on the extent to which their costs will be paid for by health maintenance, managed care, pharmacy benefit, and similar healthcare management organizations, or reimbursed by government authorities, private health insurers, and other payors. If coverage and reimbursement are not available, are available only to limited levels, or are not available on a timely basis, we may not be able to successfully commercialize our products. For example, deteriorating economic conditions and political instability in certain Latin American countries and in Türkiye continue to cause us to experience significant delays in receiving approval for reimbursement for our products and consequently impact our product commercialization timelines in such regions. Even if coverage is provided, the approved reimbursement amount may not be high enough to allow us to establish or maintain pricing sufficient to sustain our overall enterprise. In addition, we do not know the reimbursement rates until we are ready to market the product and we actually negotiate the rates.</w:t>
      </w:r>
    </w:p>
    <w:p>
      <w:pPr>
        <w:pStyle w:val="TextBody"/>
        <w:bidi w:val="0"/>
        <w:spacing w:before="90" w:after="283"/>
        <w:jc w:val="left"/>
        <w:rPr>
          <w:rFonts w:ascii="sans-serif" w:hAnsi="sans-serif"/>
          <w:color w:val="000000"/>
          <w:sz w:val="20"/>
        </w:rPr>
      </w:pPr>
      <w:r>
        <w:rPr>
          <w:rFonts w:ascii="sans-serif" w:hAnsi="sans-serif"/>
          <w:color w:val="000000"/>
          <w:sz w:val="20"/>
        </w:rPr>
        <w:t>There is significant uncertainty related to the insurance coverage and reimbursement of newly approved products. In the U.S., the Centers for Medicare &amp; Medicaid Services, or CMS, an agency within the HHS decides whether and to what extent a new drug will be covered and reimbursed under Medicare. Private payors tend to follow the coverage reimbursement policies established by CMS to a substantial degree. It is difficult to predict what CMS or private payors will decide with respect to reimbursement for products such as ours, especially our gene therapy product candidates as there is a limited body of established practices and precedents for gene therapy products. Furthermore, the OBBBA effected changes to Medicaid eligibility, cost sharing and financing that could result in relatively lower reimbursement due to decreased beneficiary enrollment and budgetary pressures.</w:t>
      </w:r>
    </w:p>
    <w:p>
      <w:pPr>
        <w:pStyle w:val="TextBody"/>
        <w:bidi w:val="0"/>
        <w:spacing w:before="90" w:after="283"/>
        <w:jc w:val="left"/>
        <w:rPr>
          <w:rFonts w:ascii="sans-serif" w:hAnsi="sans-serif"/>
          <w:color w:val="000000"/>
          <w:sz w:val="20"/>
        </w:rPr>
      </w:pPr>
      <w:r>
        <w:rPr>
          <w:rFonts w:ascii="sans-serif" w:hAnsi="sans-serif"/>
          <w:color w:val="000000"/>
          <w:sz w:val="20"/>
        </w:rPr>
        <w:t>Outside the U.S., international operations are generally subject to extensive governmental price controls and other market regulations, and we believe the increasing emphasis on cost-containment initiatives in Europe, Canada, and other countries will put pressure on the pricing and usage of our products.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foreign markets, the reimbursement for our products may be reduced compared with the U.S. and may be insufficient to generate commercially reasonable revenue and profits. The timing to complete the negotiation process in each country is highly uncertain, and in some instances can exceed several months. Even if a price can be negotiated, countries frequently request or require reductions to the price and other concessions over time, including retrospective “clawback” price reductions. Additionally, member states of the EU have regularly imposed new or additional cost containment measures for pharmaceuticals such as volume discounts, cost caps, clawbacks and free products for a portion of the expected therapy period. For example, in France, we estimate clawback reserves on Dojolvi and Evkeeza based on current regulations, our estimate of pricing on approval of Dojolvi and Evkeeza and other factors. However, if pricing is approved at levels lower than estimated, if at all, or if there are further changes in the regulatory framework, we may be required to pay back amounts higher than clawback reserves and reverse revenue that has been previously recorded.</w:t>
      </w:r>
    </w:p>
    <w:p>
      <w:pPr>
        <w:pStyle w:val="TextBody"/>
        <w:bidi w:val="0"/>
        <w:spacing w:before="90" w:after="283"/>
        <w:jc w:val="left"/>
        <w:rPr>
          <w:rFonts w:ascii="Times New Roman" w:hAnsi="Times New Roman"/>
          <w:sz w:val="20"/>
        </w:rPr>
      </w:pPr>
      <w:r>
        <w:rPr>
          <w:rFonts w:ascii="sans-serif" w:hAnsi="sans-serif"/>
          <w:color w:val="000000"/>
          <w:sz w:val="20"/>
        </w:rPr>
        <w:t>Moreover, increasing efforts by governmental and third-party payors in the U.S. and abroad to cap or reduce healthcare costs may cause such organizations to limit both coverage and the level of reimbursement for new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additional legislative changes, including the impact from the Inflation Reduction Act of 2022 (including, among other things, the potential for Medicare price negotiation and related changes that could affect net pricing and reimbursement dynamics for certain products over time), and statements and actions by elected officials. In addition, in May 2025, the Trump Administration issued an executive order entitled “Delivering Most-Favored-Nation Prescription Drug Pricing to American Patients”, which, among other things, directs the HHS and other agencies to communicate most-favored-nation price, or MFN, targets to pharmaceutical manufacturers to bring prices for U.S. patients in line with comparably developed nations and to facilitate direct-to-consumer purchasing programs. The HHS subsequently issued guidance indicating the MFN target price will be the lowest price paid in an Organisation for Economic Co-operation and Development country with a gross domestic product, or GDP, per capita of at least 60% of the U.S. GDP per capital. CMS also announced plans to extend MFN pricing to state Medicaid programs in exchange for those programs adopting uniform coverage criteria. It is currently unclear whether and to what extent these measures will be implemented and what impact any such implementation would have on our business. Recent developments, including CMS</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rulemaking to codify the Medicare Drug Price Negotiation Program beginning with continued implementation of negotiated prices and inflation rebate requirements, the inclusion of Part B drugs in future negotiation cycles, and proposed or potential most-favored-nation or international reference pricing models for Medicare or Medicaid, may increase pricing pressure even for products that are not currently selected for negotiation. Although orphan drug exclusions and other statutory or policy protections may reduce the near-term applicability of certain drug pricing measures to some of our products, those exclusions are subject to interpretation, may not apply to products with additional indications or changed approval status, and may not prevent future federal or state pricing, reimbursement, rebate or access restrictions from affecting our revenues. Further, there can be no assurance that the current administration or future administrations will not pursue different or additional measures that could impact drug pricing in the U.S. The downward pressure on healthcare costs in general, and with respect to prescription drugs, surgical procedures, and other treatments in particular, has become very intense. As a result, increasingly high barriers are being erected to the entry of new products.</w:t>
      </w:r>
    </w:p>
    <w:p>
      <w:pPr>
        <w:pStyle w:val="TextBody"/>
        <w:bidi w:val="0"/>
        <w:spacing w:before="270" w:after="283"/>
        <w:jc w:val="left"/>
        <w:rPr>
          <w:rFonts w:ascii="Times New Roman" w:hAnsi="Times New Roman"/>
          <w:sz w:val="20"/>
        </w:rPr>
      </w:pPr>
      <w:r>
        <w:rPr>
          <w:rFonts w:ascii="sans-serif" w:hAnsi="sans-serif"/>
          <w:b/>
          <w:color w:val="000000"/>
          <w:sz w:val="20"/>
        </w:rPr>
        <w:t>Risks Related to Our Intellectual Property</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b/>
          <w:i/>
          <w:color w:val="000000"/>
          <w:sz w:val="20"/>
        </w:rPr>
        <w:t>If we are unable to obtain and maintain effective patent rights for our products, product candidates, or any future product candidates, we may not be able to compete effectively in our markets.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We rely upon a combination of patents, trade secret protection, and confidentiality agreements to protect the intellectual property related to our technologies, our products, and our product candidates. Our success depends in large part on our and our licensors’ ability to obtain and maintain patent and other intellectual property protection in the U.S. and in other countries with respect to our proprietary technologies, our products, and our product candidates.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We have sought to protect our proprietary position by filing patent applications in the U.S. and abroad related to our novel technologies, products and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The patent position of biotechnology and pharmaceutical companies generally is highly uncertain and involves complex legal and factual questions for which legal principles remain unsettled. The patent applications that we own or in-license may fail to result in issued patents with claims that cover our products or product candidates in the U.S. or in foreign countries. There is no assurance that all potentially relevant prior art relating to our patents and patent applications has been found, which can prevent a patent from issuing from a pending patent application or provide the basis for third parties to challenge the validity of an issued patent. Third parties may challenge the validity, enforceability, or scope of any issued patents, which may result in such patents being narrowed, found unenforceable, or invalidated. Furthermore, even if the patents and patent applications we own or in-license are unchallenged, they may not adequately protect our intellectual property, provide exclusivity for our products or product candidates, or prevent others from designing around our claims. Any of these outcomes could impair our ability to prevent competition from third parties.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We, independently or together with our licensors, have filed several patent applications covering various aspects of our products or product candidates. We cannot offer any assurances about which, if any, patent applications will issue, the breadth of any issued patent, or whether any issued patents will be found invalid and unenforceable or will be threatened by third parties. Any successful opposition to these patents could impair the exclusivity position of our products or deprive us of rights necessary for the successful commercialization of any product candidates that are approved. Further, if we encounter delays in regulatory approvals, the period of time during which we could market a product candidate under patent protection could be reduced.</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Our current patents or applications covering methods of use and certain compositions of matter do not provide complete patent protection for our products and product candidates in all territories. For example, there are no issued patents covering the Crysvita composition of matter in Latin America, where we have rights to commercialize this product. Therefore, a competitor could develop the same antibody or a similar antibody as well as other approaches that target FGF23 for potential commercialization in Latin America, subject to any intellectual property rights or regulatory exclusivities awarded to us. If we cannot obtain and maintain effective patent rights for our products or product candidates, we may not be able to compete effectively and our business and results of operations would be harmed.</w:t>
      </w:r>
    </w:p>
    <w:p>
      <w:pPr>
        <w:pStyle w:val="TextBody"/>
        <w:bidi w:val="0"/>
        <w:spacing w:before="270" w:after="283"/>
        <w:jc w:val="left"/>
        <w:rPr>
          <w:rFonts w:ascii="Times New Roman" w:hAnsi="Times New Roman"/>
          <w:sz w:val="20"/>
        </w:rPr>
      </w:pPr>
      <w:r>
        <w:rPr>
          <w:rFonts w:ascii="sans-serif" w:hAnsi="sans-serif"/>
          <w:b/>
          <w:i/>
          <w:color w:val="000000"/>
          <w:sz w:val="20"/>
        </w:rPr>
        <w:t>We may not have sufficient patent terms to effectively protect our products and business.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Patents have a limited lifespan. In the U.S., the natural expiration of a patent is generally 20 years from its earliest non-provisional filing date. Although various extensions may be available, the life of a patent, and the protection it affords, is limited. Even if patents covering our products or product candidates are obtained, once the patent life has expired for a product, we may be open to competition from generic or biosimilar medications.</w:t>
      </w:r>
    </w:p>
    <w:p>
      <w:pPr>
        <w:pStyle w:val="TextBody"/>
        <w:bidi w:val="0"/>
        <w:jc w:val="center"/>
        <w:rPr>
          <w:rFonts w:ascii="sans-serif" w:hAnsi="sans-serif"/>
          <w:color w:val="000000"/>
          <w:sz w:val="20"/>
        </w:rPr>
      </w:pPr>
      <w:r>
        <w:rPr>
          <w:rFonts w:ascii="sans-serif" w:hAnsi="sans-serif"/>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Patent term extensions under the Hatch-Waxman Act in the U.S. and under supplementary protection certificates in Europe may not be available to extend the patent exclusivity term for our products and product candidates, and we cannot provide any assurances that any such patent term extension will be obtained and, if so, for how long. Furthermore, we may not receive an extension if we fail to apply within applicable deadlines, fail to apply prior to expiration of relevant patents, or otherwise fail to satisfy applicable requirements. Moreover, the length of the extension could be less than we request. If we do not have sufficient patent terms or regulatory exclusivity to protect our products, our business and results of operations may be adversely affected.</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sans-serif" w:hAnsi="sans-serif"/>
          <w:b/>
          <w:i/>
          <w:color w:val="000000"/>
          <w:sz w:val="20"/>
        </w:rPr>
        <w:t>Patent law and rule changes could increase the uncertainties and costs surrounding the prosecution of our patent applications and the enforcement or defense of our issued patents.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Changes in either the patent laws or interpretation of the patent laws in the U.S. and other countries may diminish the value of our patents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We therefore cannot be certain that we or our licensors were the first to make the inventions claimed in our owned and in-licensed patents or pending applications, or that we or our licensors were the first to file for patent protection of such inventions.</w:t>
      </w:r>
    </w:p>
    <w:p>
      <w:pPr>
        <w:pStyle w:val="TextBody"/>
        <w:bidi w:val="0"/>
        <w:spacing w:before="90" w:after="283"/>
        <w:jc w:val="left"/>
        <w:rPr>
          <w:rFonts w:ascii="sans-serif" w:hAnsi="sans-serif"/>
          <w:color w:val="000000"/>
          <w:sz w:val="20"/>
        </w:rPr>
      </w:pPr>
      <w:r>
        <w:rPr>
          <w:rFonts w:ascii="sans-serif" w:hAnsi="sans-serif"/>
          <w:color w:val="000000"/>
          <w:sz w:val="20"/>
        </w:rPr>
        <w:t>Since the enactment of the Leahy-Smith America Invents Act (the “Leahy-Smith Act”) in 2011, U.S. patent law has continued to evolve through USPTO rulemaking and court decisions interpreting the Leahy-Smith Act’s post-grant proceedings and related procedures. The Leahy</w:t>
        <w:noBreakHyphen/>
        <w:t>Smith Act created the Patent Trial and Appeal Board (“PTAB”) and administrative proceedings, such as inter partes review (“IPR”) and post</w:t>
        <w:noBreakHyphen/>
        <w:t>grant review (“PGR”), that allow third parties to challenge the validity of issued U.S. patents at the USPTO. These proceedings, as well as ongoing changes in PTAB procedures and institution practices, can increase the uncertainty and costs associated with prosecuting our patent applications and maintaining, enforcing, or defending our issued patents. Our defense of these proceedings may fail and, even if successful, may result in substantial costs and distraction of management and other employees, any of which could have a material adverse effect on our business and financial condition.</w:t>
      </w:r>
    </w:p>
    <w:p>
      <w:pPr>
        <w:pStyle w:val="TextBody"/>
        <w:bidi w:val="0"/>
        <w:spacing w:before="90" w:after="283"/>
        <w:jc w:val="left"/>
        <w:rPr>
          <w:rFonts w:ascii="sans-serif" w:hAnsi="sans-serif"/>
          <w:color w:val="000000"/>
          <w:sz w:val="20"/>
        </w:rPr>
      </w:pPr>
      <w:r>
        <w:rPr>
          <w:rFonts w:ascii="sans-serif" w:hAnsi="sans-serif"/>
          <w:color w:val="000000"/>
          <w:sz w:val="20"/>
        </w:rPr>
        <w:t>Outside the U.S., there have been changes to patent laws in certain jurisdictions that could impair our ability to obtain, maintain, or enforce our patents in those territories. For instance, Europe’s new Unitary Patent system and Unified Patent Court, or the UPC, may present uncertainties for our ability to protect and enforce our patent rights against competitors in Europe. In 2012, as part of the European Patent Package, or the EU Patent Package, regulations were passed with the goal of providing a single pan-European Unitary Patent system and a new UPC, for litigation involving European patents. Implementation of the EU Patent Package occurred in June 2023. Under the UPC, all European patents, including those issued prior to ratification of the European Patent Package, will by default automatically fall under the jurisdiction of the UPC. The UPC provides our competitors with a new forum in which to seek central revocation of our European patents and allows for the possibility of a competitor to obtain pan-European injunctions. It will be several years before we will understand the scope of patent rights that will be recognized and the strength of patent remedies that will be provided by the UPC. Under the EU Patent Package, we have the right to opt our patents out of the UPC over the first seven years of the court’s existence, but doing so may preclude us from realizing some of the benefits of the new unified court.</w:t>
      </w:r>
    </w:p>
    <w:p>
      <w:pPr>
        <w:pStyle w:val="TextBody"/>
        <w:bidi w:val="0"/>
        <w:spacing w:before="270" w:after="283"/>
        <w:jc w:val="left"/>
        <w:rPr>
          <w:rFonts w:ascii="Times New Roman" w:hAnsi="Times New Roman"/>
          <w:sz w:val="20"/>
        </w:rPr>
      </w:pPr>
      <w:r>
        <w:rPr>
          <w:rFonts w:ascii="sans-serif" w:hAnsi="sans-serif"/>
          <w:b/>
          <w:i/>
          <w:color w:val="000000"/>
          <w:sz w:val="20"/>
        </w:rPr>
        <w:t>If we are unable to maintain effective proprietary rights for our products, product candidates, or any future product candidates, we may not be able to compete effectively in our markets.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products or product candidate discovery and development processes that involve proprietary know-how, information, or technology that is not covered by patents. However, trade secrets can be difficult to protect. The confidentiality agreements entered into with our employees, consultants, scientific advisors, contractors and other third parties may not be sufficient to protect our proprietary technology and processes. This increases the risk that such trade secrets may become known by our competitors or may be inadvertently incorporated into the technology of others.</w:t>
      </w:r>
    </w:p>
    <w:p>
      <w:pPr>
        <w:pStyle w:val="TextBody"/>
        <w:bidi w:val="0"/>
        <w:spacing w:before="90" w:after="283"/>
        <w:jc w:val="left"/>
        <w:rPr>
          <w:rFonts w:ascii="Times New Roman" w:hAnsi="Times New Roman"/>
          <w:sz w:val="20"/>
        </w:rPr>
      </w:pPr>
      <w:r>
        <w:rPr>
          <w:rFonts w:ascii="sans-serif" w:hAnsi="sans-serif"/>
          <w:color w:val="000000"/>
          <w:sz w:val="20"/>
        </w:rPr>
        <w:t>The physical security of our premises and physical and electronic security of our information technology systems may not preserve the integrity and confidentiality of our data and trade secrets. These individuals, organizations and systems, agreements or security measures may be breached, and we may not have adequate remedies for any breach. In addition, our trade secrets may otherwise become known or be independently discovered by competitors.</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The assignment agreements we enter into with our employees and consultants to assign their inventions to us, and the confidentiality agreements we enter into with our employees, consultants, advisors, and any third parties who have access to our proprietary know-how, information, or technology do not necessarily assure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Furthermore, our efforts to assess our employees, consultants, and independent contractors and prevent their unauthorized use of the proprietary information or know-how of others, including former employers, in their work for us may not be successful, and we may in the future be subject to claims that such persons have wrongfully used or disclosed confidential information of third parties. Any resulting litigation could lead to, among other things, paying monetary damages, the loss of intellectual property rights or personnel, or substantial costs and the distraction of management and other personnel, any of which could adversely impact our business.</w:t>
      </w:r>
    </w:p>
    <w:p>
      <w:pPr>
        <w:pStyle w:val="TextBody"/>
        <w:bidi w:val="0"/>
        <w:spacing w:before="270" w:after="283"/>
        <w:jc w:val="left"/>
        <w:rPr>
          <w:rFonts w:ascii="sans-serif" w:hAnsi="sans-serif"/>
          <w:b/>
          <w:i/>
          <w:color w:val="000000"/>
          <w:sz w:val="20"/>
        </w:rPr>
      </w:pPr>
      <w:r>
        <w:rPr>
          <w:rFonts w:ascii="sans-serif" w:hAnsi="sans-serif"/>
          <w:b/>
          <w:i/>
          <w:color w:val="000000"/>
          <w:sz w:val="20"/>
        </w:rPr>
        <w:t>Claims of intellectual property infringement may prevent or delay our development and commercialization efforts.</w:t>
      </w:r>
    </w:p>
    <w:p>
      <w:pPr>
        <w:pStyle w:val="TextBody"/>
        <w:bidi w:val="0"/>
        <w:spacing w:before="90" w:after="283"/>
        <w:jc w:val="left"/>
        <w:rPr>
          <w:rFonts w:ascii="sans-serif" w:hAnsi="sans-serif"/>
          <w:color w:val="000000"/>
          <w:sz w:val="20"/>
        </w:rPr>
      </w:pPr>
      <w:r>
        <w:rPr>
          <w:rFonts w:ascii="sans-serif" w:hAnsi="sans-serif"/>
          <w:color w:val="000000"/>
          <w:sz w:val="20"/>
        </w:rPr>
        <w:t>Our commercial success depends in part on our avoiding infringement of the patents and proprietary rights of others. There have been many lawsuits and other proceedings involving patent and other intellectual property rights in the biotechnology and pharmaceutical industries, including patent infringement lawsuits, interferences, inter partes reviews, post grant reviews, oppositions, and reexamination proceedings before the USPTO and corresponding foreign patent offices. Numerous U.S. and foreign issued patents and pending patent applications, which are owned by other parties, exist in the fields in which we are developing product candidates. As the biotechnology and pharmaceutical industries expand and more patents are issued, the risk increases that our products or product candidates may be subject to claims of infringement of the patent rights of these other parties.</w:t>
      </w:r>
    </w:p>
    <w:p>
      <w:pPr>
        <w:pStyle w:val="TextBody"/>
        <w:bidi w:val="0"/>
        <w:spacing w:before="90" w:after="283"/>
        <w:jc w:val="left"/>
        <w:rPr>
          <w:rFonts w:ascii="Times New Roman" w:hAnsi="Times New Roman"/>
          <w:sz w:val="20"/>
        </w:rPr>
      </w:pPr>
      <w:r>
        <w:rPr>
          <w:rFonts w:ascii="sans-serif" w:hAnsi="sans-serif"/>
          <w:color w:val="000000"/>
          <w:sz w:val="20"/>
        </w:rPr>
        <w:t>Other parties may assert that we are employing their proprietary technology without authorization. There may be patents or patent applications with claims to materials, formulations, methods of manufacture, or methods for treatment relevant to the use or manufacture of our products or product candidates. We have conducted freedom to operate analyses with respect only to our products and certain of our product candidates, and therefore we do not know whether there are any patents of other parties that would impair our ability to commercialize all of our product candidates. We also cannot guarantee that any of our analyses are complete and thorough, nor can we be sure that we have identified each and every patent and pending application in the U.S. and abroad that covers technology relevant or necessary to the commercialization of our products or product candidates. Because patent applications can take many years to issue, there may be currently pending patent applications that may later result in issued patents that are relevant to our products or product candidates.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We are aware of certain U.S. and foreign patents owned by third parties that a court might construe to be valid and relevant to certain methods that may be used in the manufacture or delivery of one or more of our gene therapy product candidates. There is a risk that one or more third parties may choose to engage in litigation with us to enforce or to otherwise assert their patent rights against us. Even if we believe such claims are without merit, a court of competent jurisdiction could hold that one or more of these patents is valid, enforceable, and infringed, in which case the owners of any such patents may be able to block our ability to commercialize a product candidate unless we obtain a license under the applicable patents, or until such patents expire. However, such a license may not be available on commercially reasonable terms or at all.</w:t>
      </w:r>
    </w:p>
    <w:p>
      <w:pPr>
        <w:pStyle w:val="TextBody"/>
        <w:bidi w:val="0"/>
        <w:spacing w:before="90" w:after="283"/>
        <w:jc w:val="left"/>
        <w:rPr>
          <w:rFonts w:ascii="sans-serif" w:hAnsi="sans-serif"/>
          <w:color w:val="000000"/>
          <w:sz w:val="20"/>
        </w:rPr>
      </w:pPr>
      <w:r>
        <w:rPr>
          <w:rFonts w:ascii="sans-serif" w:hAnsi="sans-serif"/>
          <w:color w:val="000000"/>
          <w:sz w:val="20"/>
        </w:rPr>
        <w:t>Parties making claims against us may obtain injunctive or other equitable relief, which could effectively block our ability to continue commercialization of our products, or block our ability to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pStyle w:val="TextBody"/>
        <w:bidi w:val="0"/>
        <w:jc w:val="center"/>
        <w:rPr>
          <w:rFonts w:ascii="sans-serif" w:hAnsi="sans-serif"/>
          <w:color w:val="000000"/>
          <w:sz w:val="20"/>
        </w:rPr>
      </w:pPr>
      <w:r>
        <w:rPr>
          <w:rFonts w:ascii="sans-serif" w:hAnsi="sans-serif"/>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sans-serif" w:hAnsi="sans-serif"/>
          <w:b/>
          <w:i/>
          <w:color w:val="000000"/>
          <w:sz w:val="20"/>
        </w:rPr>
        <w:t>We may not be successful in obtaining or maintaining necessary rights to our product candidates through acquisitions and in-licenses.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Because our programs may require the use of proprietary rights held by third parties, the growth of our business will likely depend in part on our ability to acquire, in-license, or use these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advantageous.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We sometimes collaborate with U.S. and foreign academic institutions to accelerate our preclinical research or development under written agreements with these institutions. Typically, these institutions provide us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If we are unable to successfully obtain rights to required third-party intellectual property rights or maintain the existing intellectual property rights we have, we may have to abandon development of the corresponding program.</w:t>
      </w:r>
    </w:p>
    <w:p>
      <w:pPr>
        <w:pStyle w:val="TextBody"/>
        <w:bidi w:val="0"/>
        <w:spacing w:before="270" w:after="283"/>
        <w:jc w:val="left"/>
        <w:rPr>
          <w:rFonts w:ascii="sans-serif" w:hAnsi="sans-serif"/>
          <w:b/>
          <w:i/>
          <w:color w:val="000000"/>
          <w:sz w:val="20"/>
        </w:rPr>
      </w:pPr>
      <w:r>
        <w:rPr>
          <w:rFonts w:ascii="sans-serif" w:hAnsi="sans-serif"/>
          <w:b/>
          <w:i/>
          <w:color w:val="000000"/>
          <w:sz w:val="20"/>
        </w:rPr>
        <w:t>We may face competition from biosimilars, which may have a material adverse impact on the future commercial prospects of our biological products and product candidates.</w:t>
      </w:r>
    </w:p>
    <w:p>
      <w:pPr>
        <w:pStyle w:val="TextBody"/>
        <w:bidi w:val="0"/>
        <w:spacing w:before="90" w:after="283"/>
        <w:jc w:val="left"/>
        <w:rPr>
          <w:rFonts w:ascii="Times New Roman" w:hAnsi="Times New Roman"/>
          <w:sz w:val="20"/>
        </w:rPr>
      </w:pPr>
      <w:r>
        <w:rPr>
          <w:rFonts w:ascii="sans-serif" w:hAnsi="sans-serif"/>
          <w:color w:val="000000"/>
          <w:sz w:val="20"/>
        </w:rPr>
        <w:t>Even if we are successful in achieving regulatory approval to commercialize a product candidate faster than our competitors, we may face competition from biosimilars with respect to our biological products (Crysvita, Mepsevii and Evkeeza) and our biological product candidates. In the U.S., the Biologics Price Competition and Innovation Act of 2009, or BPCI Act, was included in the Affordable Care Act and created an abbreviated approval pathway for biological products that are demonstrated to be “highly similar,” or biosimilar, to or “interchangeable” with an FDA-approved biological product. The BPCI Act prohibits the FDA from approving a biosimilar or interchangeable product that references a brand biological product until 12 years after the licensure of the reference product, but permits submission of an application for a biosimilar or interchangeable product to the FDA four years after the reference product was first licensed. The BPCI Act does not prevent another company from developing a product that is highly similar to the innovative product, generating its own data, and seeking approval. The law is complex and continues to evolve through ongoing FDA implementation and judicial interpretation. As a result, its ultimate impact, implementation and meaning are subject to uncertainty. Modification of the BPCI Act, or changes to the interpretation or implementation of the BPCI Act, could have a material adverse effect on the future commercial prospects for our biological products and product candidates.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In Europe, the European Commission has granted marketing authorizations for several biosimilars pursuant to a set of general and product class-specific guidelines for biosimilar approvals issued over the past few years. Under the current EU regulatory framework, a competitor may be able to reference data supporting approval of an innovative biological product after expiration of the applicable data protection period, but may not place the biosimilar on the market until expiration of the applicable data and marketing protection periods (which, under current rules, generally occurs 10 years from initial approval, subject to a potential extension in certain circumstances, including for approval of a significant new therapeutic indication). The EU is considering reforms to its pharmaceutical legislation that could modify these protection periods which, if adopted, could allow for earlier biosimilar entry than under the current framework in certain circumstances. In addition, companies may be developing biosimilars in other countries that could compete with our products.</w:t>
      </w:r>
    </w:p>
    <w:p>
      <w:pPr>
        <w:pStyle w:val="TextBody"/>
        <w:bidi w:val="0"/>
        <w:spacing w:before="90" w:after="283"/>
        <w:jc w:val="left"/>
        <w:rPr>
          <w:rFonts w:ascii="sans-serif" w:hAnsi="sans-serif"/>
          <w:color w:val="000000"/>
          <w:sz w:val="20"/>
        </w:rPr>
      </w:pPr>
      <w:r>
        <w:rPr>
          <w:rFonts w:ascii="sans-serif" w:hAnsi="sans-serif"/>
          <w:color w:val="000000"/>
          <w:sz w:val="20"/>
        </w:rPr>
        <w:t>If competitors are able to obtain marketing approval for biosimilars referencing our products, our products may become subject to competition from such biosimilars, with the attendant competitive pressure and consequences which could adversely affect our business and financial results.</w:t>
      </w:r>
    </w:p>
    <w:p>
      <w:pPr>
        <w:pStyle w:val="TextBody"/>
        <w:bidi w:val="0"/>
        <w:spacing w:before="270" w:after="283"/>
        <w:jc w:val="left"/>
        <w:rPr>
          <w:rFonts w:ascii="Times New Roman" w:hAnsi="Times New Roman"/>
          <w:sz w:val="20"/>
        </w:rPr>
      </w:pPr>
      <w:r>
        <w:rPr>
          <w:rFonts w:ascii="sans-serif" w:hAnsi="sans-serif"/>
          <w:b/>
          <w:i/>
          <w:color w:val="000000"/>
          <w:sz w:val="20"/>
        </w:rPr>
        <w:t>Competitors could enter the market with generic versions of Dojolvi or our small-molecule product candidates, which may result in a material decline in sales of affected products.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Under the Hatch-Waxman Act, a pharmaceutical manufacturer may file an abbreviated new drug application, or ANDA, seeking approval of a generic copy of an approved, innovator small-molecule product such as Dojolvi. Under the Hatch-Waxman Act, a manufacturer may also submit an NDA under section 505(b)(2) that references the FDA’s finding of safety and effectiveness of a previously approved innovator small-molecule product. A 505(b)(2) NDA product may be for a new or improved version of the original innovator product. Innovative small-molecule drugs may be eligible for certain periods of regulatory exclusivity (e.g., five years for new chemical entities, three years for changes to an approved drug requiring a new clinical study, and seven years for</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orphan drugs), which preclude FDA approval (or in some circumstances, FDA filing and review of) an ANDA or 505(b)(2) NDA relying on the FDA’s finding of safety and effectiveness for the innovative drug. In addition to the benefits of regulatory exclusivity, an innovator NDA holder may have patents claiming the active ingredient, product formulation or an approved use of the drug, which would be listed with the product in the “Orange Book.” If there are patents listed in the Orange Book, a generic applicant that seeks to market its product before expiration of the patents must include in the ANDA or 505(b)(2)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enforce its patents, approval of the ANDA is stayed for 30 months, or as lengthened or shortened by the court.</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During the year ended December 31, 2024, Navinta, Aurobindo, and Esjay filed ANDAs seeking FDA approval to market generic versions of Dojolvi. We filed a patent infringement suit under the Hatch-Waxman Act against Navinta, Aurobindo and Esjay in the United States District Court for the District of New Jersey in response to the notices. We filed similar patent infringement suits in the same court in April 2026 and July 2026 against Somerset Therapeutics LLC (Somerset) and Sun Pharmaceutical Industries Ltd. (Sun Pharma), respectively. See “Item 1. Legal Proceedings” above for a description of these actions. We cannot predict the outcome of our suits, nor can we predict whether there will be additional ANDA filings for Dojolvi.</w:t>
      </w:r>
    </w:p>
    <w:p>
      <w:pPr>
        <w:pStyle w:val="TextBody"/>
        <w:bidi w:val="0"/>
        <w:spacing w:before="90" w:after="283"/>
        <w:jc w:val="left"/>
        <w:rPr>
          <w:rFonts w:ascii="Times New Roman" w:hAnsi="Times New Roman"/>
          <w:sz w:val="20"/>
        </w:rPr>
      </w:pPr>
      <w:r>
        <w:rPr>
          <w:rFonts w:ascii="sans-serif" w:hAnsi="sans-serif"/>
          <w:color w:val="000000"/>
          <w:sz w:val="20"/>
        </w:rPr>
        <w:t xml:space="preserve">There have been a number of recent regulatory and legislative initiatives designed to encourage generic competition for small-molecule pharmaceutical products. For instance, in December 2019, the Creating and Restoring Equal Access to Equivalent Samples Act, or the CREATES Act, was enacted, which provides a legislatively defined private right of action under which eligible product developers can bring suit against companies who refuse to sell sufficient quantities of their branded products on commercially reasonable, market-based terms to support such eligible product developers’ marketing applications. It is our policy to evaluate requests for samples of our branded products, and to provide samples in response to </w:t>
      </w:r>
      <w:r>
        <w:rPr>
          <w:rFonts w:ascii="sans-serif" w:hAnsi="sans-serif"/>
          <w:i/>
          <w:color w:val="000000"/>
          <w:sz w:val="20"/>
        </w:rPr>
        <w:t>bona fide</w:t>
      </w:r>
      <w:r>
        <w:rPr>
          <w:rFonts w:ascii="sans-serif" w:hAnsi="sans-serif"/>
          <w:color w:val="000000"/>
          <w:sz w:val="20"/>
        </w:rPr>
        <w:t>, CREATES Act-compliant requests from qualified third parties, including generic manufacturers.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more immediately face generic competition and its sales would likely decline materially. For instance, if the existing ANDA filers or additional competitors are able to enter the market with generic versions of Dojolvi, our sales of Dojolvi could materially decline which could have an adverse impact on our financial results.</w:t>
      </w:r>
    </w:p>
    <w:p>
      <w:pPr>
        <w:pStyle w:val="TextBody"/>
        <w:bidi w:val="0"/>
        <w:spacing w:before="270" w:after="283"/>
        <w:jc w:val="left"/>
        <w:rPr>
          <w:rFonts w:ascii="Times New Roman" w:hAnsi="Times New Roman"/>
          <w:sz w:val="20"/>
        </w:rPr>
      </w:pPr>
      <w:r>
        <w:rPr>
          <w:rFonts w:ascii="sans-serif" w:hAnsi="sans-serif"/>
          <w:b/>
          <w:i/>
          <w:color w:val="000000"/>
          <w:sz w:val="20"/>
        </w:rPr>
        <w:t>The patent protection and patent prosecution for some of our products and product candidates is dependent on third parties.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While we normally seek and gain the right to fully prosecute the patents relating to our products or product candidates, there may be times when patents relating to our products or product candidates are controlled by our licensors. This is the case with our license agreements with KKC and Regeneron, who are primarily responsible for the prosecution of certain patents and patent applications covering Crysvita and Evkeeza, respectively.</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In addition, we have in-licensed various patents and patent applications owned by the University of Pennsylvania relating to our DTX301 and UX701 product candidates. Some of these patents and patent applications are licensed by REGENX and sublicensed to us. We do not have the right to control the prosecution of these patent applications, or the maintenance of any of these patents. In addition, under our agreement with REGENX, we do not have the first right to enforce the licensed patents, and our enforcement rights are subject to certain limitations that may adversely impact our ability to use the licensed patents to exclude others from commercializing competitive products. Moreover, REGENX and the University of Pennsylvania may have interests which differ from ours in determining whether to enforce and the manner in which to enforce such patents.</w:t>
      </w:r>
    </w:p>
    <w:p>
      <w:pPr>
        <w:pStyle w:val="TextBody"/>
        <w:bidi w:val="0"/>
        <w:spacing w:before="90" w:after="283"/>
        <w:jc w:val="left"/>
        <w:rPr>
          <w:rFonts w:ascii="Times New Roman" w:hAnsi="Times New Roman"/>
          <w:sz w:val="20"/>
        </w:rPr>
      </w:pPr>
      <w:r>
        <w:rPr>
          <w:rFonts w:ascii="sans-serif" w:hAnsi="sans-serif"/>
          <w:color w:val="000000"/>
          <w:sz w:val="20"/>
        </w:rPr>
        <w:t>If KKC, Regeneron, the University of Pennsylvania, REGENX, or any of our future licensing partners fail to appropriately prosecute, maintain, and enforce patent protection for the patents covering any of our products or product candidates, our ability to develop and commercialize those products or product candidates may be adversely affected and we may not be able to prevent competitors from making, using, and selling competing products. In addition, even where we now have the right to control patent prosecution of patents and patent applications we have licensed from third parties, we may still be adversely affected or prejudiced by actions or inactions of our licensors and their counsel that took place prior to us assuming control over patent prosecution.</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sans-serif" w:hAnsi="sans-serif"/>
          <w:b/>
          <w:i/>
          <w:color w:val="000000"/>
          <w:sz w:val="20"/>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product candidates.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In certain cases, we control the prosecution of patents resulting from licensed technology. In the event we breach any of our obligations related to such prosecution, we may incur significant liability to our licensing partners. Licensing of intellectual property is of critical importance to our business and involves complex legal, business, and scientific issues. Disputes may arise regarding intellectual property subject to a licensing agreement, including but not limited to:</w:t>
      </w:r>
      <w:r>
        <w:rPr>
          <w:rFonts w:ascii="Times New Roman" w:hAnsi="Times New Roman"/>
          <w:color w:val="000000"/>
          <w:sz w:val="20"/>
        </w:rPr>
        <w:t xml:space="preserve">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scope of rights granted under the license agreement and other interpretation-related issues;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extent to which our technology and processes infringe on intellectual property of the licensor that is not subject to the licensing agreement;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sublicensing of patent and other rights;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our diligence obligations under the license agreement and what activities satisfy those diligence obligations;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ownership of inventions and know-how resulting from the joint creation or use of intellectual property by our licensors and us and our collaborators; and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priority of invention of patented technology. </w:t>
      </w:r>
    </w:p>
    <w:p>
      <w:pPr>
        <w:pStyle w:val="TextBody"/>
        <w:bidi w:val="0"/>
        <w:spacing w:before="90" w:after="283"/>
        <w:jc w:val="left"/>
        <w:rPr>
          <w:rFonts w:ascii="Times New Roman" w:hAnsi="Times New Roman"/>
          <w:sz w:val="20"/>
        </w:rPr>
      </w:pPr>
      <w:r>
        <w:rPr>
          <w:rFonts w:ascii="sans-serif" w:hAnsi="sans-serif"/>
          <w:color w:val="000000"/>
          <w:sz w:val="20"/>
        </w:rPr>
        <w:t>If disputes over intellectual property and other rights that we have licensed prevent or impair our ability to maintain our current licensing arrangements on acceptable terms, we may be unable to successfully develop and commercialize the affected product candidates.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sans-serif" w:hAnsi="sans-serif"/>
          <w:b/>
          <w:i/>
          <w:color w:val="000000"/>
          <w:sz w:val="20"/>
        </w:rPr>
        <w:t>From time to time, we are involved in lawsuits to protect or enforce our patents or the patents of our licensors, or may be subject to claims that challenge the inventorship or ownership of our patents or other intellectual property, which could be expensive, time consuming, and result in unfavorable outcomes.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Competitors may infringe our patents or the patents of our licensors. If we or one of our licensing partners were to initiate legal proceedings against a third party to enforce a patent covering our products or one of our product candidates, the defendant could counterclaim that the patent covering our product or product candidate is invalid and/or unenforceable. For example, in September 2024, we filed a patent infringement suit under the Hatch-Waxman Act against Navinta, Aurobindo, and Esjay. We filed similar patent infringement suits in April 2026 and July 2026 against Somerset and Sun Pharma, respectively. See “Item 1. Legal Proceedings” above for more information regarding our suit. In patent litigation in the U.S.,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w:t>
      </w:r>
    </w:p>
    <w:p>
      <w:pPr>
        <w:pStyle w:val="TextBody"/>
        <w:bidi w:val="0"/>
        <w:spacing w:before="90" w:after="283"/>
        <w:jc w:val="left"/>
        <w:rPr>
          <w:rFonts w:ascii="Times New Roman" w:hAnsi="Times New Roman"/>
          <w:sz w:val="20"/>
        </w:rPr>
      </w:pPr>
      <w:r>
        <w:rPr>
          <w:rFonts w:ascii="sans-serif" w:hAnsi="sans-serif"/>
          <w:color w:val="000000"/>
          <w:sz w:val="20"/>
        </w:rPr>
        <w:t>Interference proceedings or derivation proceedings now available under the Leahy-Smith Act provoked by third parties or brought by us or declared or instituted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In addition, the validity of our patents could be challenged in the USPTO by one of the new post grant proceedings (</w:t>
      </w:r>
      <w:r>
        <w:rPr>
          <w:rFonts w:ascii="sans-serif" w:hAnsi="sans-serif"/>
          <w:i/>
          <w:color w:val="000000"/>
          <w:sz w:val="20"/>
        </w:rPr>
        <w:t>i.e., inter partes</w:t>
      </w:r>
      <w:r>
        <w:rPr>
          <w:rFonts w:ascii="Times New Roman" w:hAnsi="Times New Roman"/>
          <w:color w:val="000000"/>
          <w:sz w:val="20"/>
        </w:rPr>
        <w:t xml:space="preserve"> </w:t>
      </w:r>
      <w:r>
        <w:rPr>
          <w:rFonts w:ascii="sans-serif" w:hAnsi="sans-serif"/>
          <w:color w:val="000000"/>
          <w:sz w:val="20"/>
        </w:rPr>
        <w:t>review or post grant review) now available under the Leahy-Smith Act. Our defense of litigation, interference proceedings, or post grant proceedings under the Leahy-Smith Act may fail and, even if successful, may result in substantial costs and distract our management and other employees.</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We may in the future also be subject to claims that former employees, collaborators, or other third parties have an interest in our patents as an inventor or co-inventor. In addition, we may have ownership disputes arise from conflicting obligations of consultants or others who are involved in developing our product candidates. Litigation may be necessary to defend against these and other claims challenging inventorship or ownership. If we fail to successfully defend against such litigation or claims, in addition to paying monetary damages, we may lose valuable intellectual property rights, such as exclusive ownership of, or right to use, valuable intellectual property.</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Even if we are successful in defending against such litigation and claims, such proceedings could result in substantial costs and distract our management and other employees.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related to such litigation or claims. If securities analysts or investors perceive these results to be negative, it could have a material adverse effect on the price of our common stock.</w:t>
      </w:r>
    </w:p>
    <w:p>
      <w:pPr>
        <w:pStyle w:val="TextBody"/>
        <w:bidi w:val="0"/>
        <w:spacing w:before="270" w:after="283"/>
        <w:jc w:val="left"/>
        <w:rPr>
          <w:rFonts w:ascii="Times New Roman" w:hAnsi="Times New Roman"/>
          <w:sz w:val="20"/>
        </w:rPr>
      </w:pPr>
      <w:r>
        <w:rPr>
          <w:rFonts w:ascii="sans-serif" w:hAnsi="sans-serif"/>
          <w:b/>
          <w:i/>
          <w:color w:val="000000"/>
          <w:sz w:val="20"/>
        </w:rPr>
        <w:t>Changes to patent laws in the U.S. and other jurisdictions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 consuming, and inherently uncertain.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The U.S. Supreme Court has ruled on several patent cases, and in some instances, narrowed the scope of patent protection available. In addition, there have been recent proposals for changes to U.S. laws that, if adopted, could impact our ability to obtain or maintain patent protection for our proprietary technologies. Depending on future actions by U.S. courts, U.S. Congress, the USPTO, and the relevant lawmaking bodies in other countries, the laws and regulations governing patents could change in unpredictable ways that could weaken our ability to obtain new patents, shorten the term of our existing patents and patents that we might obtain in the future, or impair the validity or enforceability of our patents that may be asserted against our competitors or other third parties. Any of these outcomes could have a material adverse effect on our business.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sans-serif" w:hAnsi="sans-serif"/>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Filing, prosecuting, and defending patents on our products or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Further, licensing partners such as KKC and Regeneron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may also export infringing products to territories where we have patent protection, but enforcement is not as strong as in the U.S. These products may compete with our products, and our patents or other intellectual property rights may not be effective or sufficient to prevent them from competing.</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70" w:after="283"/>
        <w:jc w:val="left"/>
        <w:rPr>
          <w:rFonts w:ascii="Times New Roman" w:hAnsi="Times New Roman"/>
          <w:sz w:val="20"/>
        </w:rPr>
      </w:pPr>
      <w:r>
        <w:rPr>
          <w:rFonts w:ascii="sans-serif" w:hAnsi="sans-serif"/>
          <w:b/>
          <w:color w:val="000000"/>
          <w:sz w:val="20"/>
        </w:rPr>
        <w:t>Risks Related to Our Business Operations</w:t>
      </w:r>
      <w:r>
        <w:rPr>
          <w:rFonts w:ascii="Times New Roman" w:hAnsi="Times New Roman"/>
          <w:color w:val="000000"/>
          <w:sz w:val="20"/>
        </w:rPr>
        <w:t xml:space="preserve"> </w:t>
      </w:r>
    </w:p>
    <w:p>
      <w:pPr>
        <w:pStyle w:val="TextBody"/>
        <w:bidi w:val="0"/>
        <w:spacing w:before="80" w:after="283"/>
        <w:jc w:val="left"/>
        <w:rPr>
          <w:rFonts w:ascii="sans-serif" w:hAnsi="sans-serif"/>
          <w:b/>
          <w:i/>
          <w:color w:val="000000"/>
          <w:sz w:val="20"/>
        </w:rPr>
      </w:pPr>
      <w:r>
        <w:rPr>
          <w:rFonts w:ascii="sans-serif" w:hAnsi="sans-serif"/>
          <w:b/>
          <w:i/>
          <w:color w:val="000000"/>
          <w:sz w:val="20"/>
        </w:rPr>
        <w:t>We have limited experience as a company operating our own manufacturing facility and may experience unexpected costs or challenges.</w:t>
      </w:r>
    </w:p>
    <w:p>
      <w:pPr>
        <w:pStyle w:val="TextBody"/>
        <w:bidi w:val="0"/>
        <w:jc w:val="center"/>
        <w:rPr>
          <w:rFonts w:ascii="sans-serif" w:hAnsi="sans-serif"/>
          <w:color w:val="000000"/>
          <w:sz w:val="20"/>
        </w:rPr>
      </w:pPr>
      <w:r>
        <w:rPr>
          <w:rFonts w:ascii="sans-serif" w:hAnsi="sans-serif"/>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Prior to construction of our Bedford, Massachusetts gene therapy manufacturing facility in 2023, we did not previously have experience as a company in operating our own manufacturing facility and at this point, we cannot assure that the facility will be fully utilized at all times. While our employees may be experienced in running a manufacturing facility, our limited experience as a company may contribute to unacceptable or inconsistent product quality success rates and yields, and we may be unable to maintain adequate quality control, quality assurance, and qualified personnel. We have incurred and will continue to incur significant expenses and costs to operate the facility, which may be subject to significant impairment if our gene therapy programs are unsuccessful. Before we can begin to commercially manufacture any of our product candidates at the facility, we must obtain regulatory approval from the FDA for our manufacturing processes and for the facility. In order to obtain approval, we will need to ensure that all of our processes, quality systems, methods, equipment, policies and procedures are compliant with cGMP. In July 2025, we received a CRL from the FDA for our BLA for UX111, which cited information and improvements related to the observations from the FDA’s inspection at our gene therapy manufacturing facility that will need to be resolved with the FDA before approval of UX111. If we are unable to resolve the FDA’s observations related to our manufacturing facility, approval for UX111 and potentially for our other gene therapy candidates manufactured at our facility would be further delayed or denied. The cGMP requirements govern quality control of the manufacturing process and documentation policies and procedures. Our efforts to comply with cGMP require that we spend time, money and effort on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 could be required to undertake costly investigations and remediation, and could experience delays in our development programs or any commercialization activities.</w:t>
      </w:r>
    </w:p>
    <w:p>
      <w:pPr>
        <w:pStyle w:val="TextBody"/>
        <w:bidi w:val="0"/>
        <w:spacing w:before="90" w:after="283"/>
        <w:jc w:val="left"/>
        <w:rPr>
          <w:rFonts w:ascii="sans-serif" w:hAnsi="sans-serif"/>
          <w:color w:val="000000"/>
          <w:sz w:val="20"/>
        </w:rPr>
      </w:pPr>
      <w:r>
        <w:rPr>
          <w:rFonts w:ascii="sans-serif" w:hAnsi="sans-serif"/>
          <w:color w:val="000000"/>
          <w:sz w:val="20"/>
        </w:rPr>
        <w:t>As we seek to optimize and operate our manufacturing process at the facility, we will likely face technical and scientific challenges, considerable capital costs and potential difficulty in recruiting and hiring experienced, qualified personnel at the facility which could result in delays in our production or difficulties in maintaining compliance with applicable regulatory requirements. We may also experience unexpected technical, regulatory, safety, quality or operational issues during manufacturing campaigns. As we expand our commercial footprint to multiple geographies, we may establish multiple manufacturing facilities, which may lead to regulatory delays or prove costly. Even if we are successful, we cannot assure that such additional capacity will be required or that our investment will be recouped. Further, our manufacturing capabilities could be affected by cost-overruns, unexpected delays, equipment failures, lack of capacity, labor shortages, natural disasters, power failures, program failures, actual or threatened public health emergencies, and numerous other factors that could prevent us from realizing the intended benefits of our manufacturing strategy.</w:t>
      </w:r>
    </w:p>
    <w:p>
      <w:pPr>
        <w:pStyle w:val="TextBody"/>
        <w:bidi w:val="0"/>
        <w:spacing w:before="270" w:after="283"/>
        <w:jc w:val="left"/>
        <w:rPr>
          <w:rFonts w:ascii="Times New Roman" w:hAnsi="Times New Roman"/>
          <w:sz w:val="20"/>
        </w:rPr>
      </w:pPr>
      <w:r>
        <w:rPr>
          <w:rFonts w:ascii="sans-serif" w:hAnsi="sans-serif"/>
          <w:b/>
          <w:i/>
          <w:color w:val="000000"/>
          <w:sz w:val="20"/>
        </w:rPr>
        <w:t>Our future success depends in part on our ability to retain our Founder, President, and Chief Executive Officer and to attract, retain, and motivate other qualified personnel.</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We are dependent on Emil D. Kakkis, M.D., Ph.D., our Founder, President, and Chief Executive Officer, the loss of whose services may adversely impact the achievement of our objectives. Dr. Kakkis could leave our employment at any time, as he is an “at will” employee. Recruiting and retaining other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In addition, failure to succeed in preclinical or clinical studies may make it more challenging to recruit and retain qualified personnel. Further, our recent strategic restructuring plan and workforce reduction could lead to additional recruitment challenges as well as increase in turnover of key employees. The inability to recruit and retain qualified personnel, or the loss of the services of Dr. Kakkis or any of other member of our executive leadership team or other key employee, may impede the progress of our research, development, and commercialization objectives.</w:t>
      </w:r>
    </w:p>
    <w:p>
      <w:pPr>
        <w:pStyle w:val="TextBody"/>
        <w:bidi w:val="0"/>
        <w:jc w:val="center"/>
        <w:rPr>
          <w:rFonts w:ascii="sans-serif" w:hAnsi="sans-serif"/>
          <w:color w:val="000000"/>
          <w:sz w:val="20"/>
        </w:rPr>
      </w:pPr>
      <w:r>
        <w:rPr>
          <w:rFonts w:ascii="sans-serif" w:hAnsi="sans-serif"/>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sans-serif" w:hAnsi="sans-serif"/>
          <w:b/>
          <w:i/>
          <w:color w:val="000000"/>
          <w:sz w:val="20"/>
        </w:rPr>
        <w:t>If we fail to obtain or maintain orphan drug exclusivity for our products, our competitors may sell products to treat the same conditions and our revenue will be reduced. If another party obtains orphan drug exclusivity for a product that is essentially the same as a product we are developing for a particular indication, we may be precluded or delayed from commercializing the product in that indication.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Our business strategy focuses on the development of drugs that are eligible for FDA and EU orphan drug designation. In the U.S.,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Because the extent and scope of patent protection for our products may in some cases be limited, orphan drug designation is especially important for our products for which orphan drug designation may be available. For eligible drugs, we plan to rely on the exclusivity period under the Orphan Drug Act to maintain a competitive position. If we do not obtain orphan drug exclusivity for our drug products and biologic products that do not have broad patent protection, our competitors may then sell the same drug to treat the same condition sooner than if we had obtained orphan drug exclusivity, and our revenue will be reduced. Additionally, if a competitor obtains approval of the same drug for the same indication before us, and the FDA grants such orphan drug exclusivity, we would be prohibited from obtaining approval for our product for seven or more years, unless our product can be shown to be clinically superior.</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Even though we have orphan drug designation for UX111, UX143, DTX301, DTX401 and UX701 in the U.S. and Europe and for GTX-102 in the U.S., we may not be the first to obtain marketing approval for any particular orphan indication due to the uncertainties associated with developing pharmaceutical products. Further, even if we obtain orphan drug exclusivity for a product, that exclusivity may not effectively protect the product from competition because different drugs with different active moieties can be approved for the same condition or the same drug can be approved for a different indication unless there are other exclusivities such as new chemical entity exclusivity preventing such approval. Even after an orphan drug is approved, the FDA or EMA can subsequently approve the same drug with the same active moiety for the same condition if the FDA or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 Additionally, there may be future healthcare reform measures that reduce the exclusivity protections provided to already approved biological products.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sans-serif" w:hAnsi="sans-serif"/>
          <w:b/>
          <w:i/>
          <w:color w:val="000000"/>
          <w:sz w:val="20"/>
        </w:rPr>
        <w:t>Our operating results would be adversely impacted if our intangible assets become impaired.</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We have recorded on our Condensed Consolidated Balance Sheets intangible assets for in-process research and development, or IPR&amp;D, related to DTX301 and DTX401 as a result of the accounting for our acquisition of Dimension Therapeutics. We also recorded intangible assets related to our licenses for Dojolvi and Evkeeza. We test the intangible assets for impairment annually during the fourth quarter and more frequently if events or changes in circumstances indicate that it is more likely than not that the asset is impaired. If the associated research and development effort is abandoned, the related assets will be written-off and we will record a noncash impairment loss on our Consolidated Statement of Operations. We have not recorded any impairments related to our intangible assets through June 30, 2026.</w:t>
      </w:r>
    </w:p>
    <w:p>
      <w:pPr>
        <w:pStyle w:val="TextBody"/>
        <w:bidi w:val="0"/>
        <w:spacing w:before="270" w:after="283"/>
        <w:jc w:val="left"/>
        <w:rPr>
          <w:rFonts w:ascii="Times New Roman" w:hAnsi="Times New Roman"/>
          <w:sz w:val="20"/>
        </w:rPr>
      </w:pPr>
      <w:r>
        <w:rPr>
          <w:rFonts w:ascii="sans-serif" w:hAnsi="sans-serif"/>
          <w:b/>
          <w:i/>
          <w:color w:val="000000"/>
          <w:sz w:val="20"/>
        </w:rPr>
        <w:t>We may not be successful in our efforts to identify, license, discover, develop, or commercialize additional product candidates.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The success of our business depends upon our ability to identify, license, discover, develop, or commercialize additional product candidates in addition to the continued clinical testing, potential approval, and commercialization of our existing product candidates.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research or business development methodology or search criteria and process may be unsuccessful in identifying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product candidates may not succeed in research, discovery, preclinical or clinical testing; </w:t>
      </w:r>
    </w:p>
    <w:p>
      <w:pPr>
        <w:pStyle w:val="TextBody"/>
        <w:bidi w:val="0"/>
        <w:jc w:val="center"/>
        <w:rPr>
          <w:rFonts w:ascii="sans-serif" w:hAnsi="sans-serif"/>
          <w:color w:val="000000"/>
          <w:sz w:val="20"/>
        </w:rPr>
      </w:pPr>
      <w:r>
        <w:rPr>
          <w:rFonts w:ascii="sans-serif" w:hAnsi="sans-serif"/>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our potential product candidates may be shown to have harmful side effects or may have other characteristics that may make the products unmarketable or unlikely to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the market for a product candidate may change during our program so that such a product may become unreasonable to continue to develop; and</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 product candidate may not be accepted as safe and effective by regulatory authorities, patients, the medical community, or payors. </w:t>
      </w:r>
    </w:p>
    <w:p>
      <w:pPr>
        <w:pStyle w:val="TextBody"/>
        <w:bidi w:val="0"/>
        <w:spacing w:before="90" w:after="283"/>
        <w:jc w:val="left"/>
        <w:rPr>
          <w:rFonts w:ascii="sans-serif" w:hAnsi="sans-serif"/>
          <w:color w:val="000000"/>
          <w:sz w:val="20"/>
        </w:rPr>
      </w:pPr>
      <w:r>
        <w:rPr>
          <w:rFonts w:ascii="sans-serif" w:hAnsi="sans-serif"/>
          <w:color w:val="000000"/>
          <w:sz w:val="20"/>
        </w:rPr>
        <w:t>If any of these events occur, we may be forced to abandon our development efforts for a program or programs, or we may not be able to identify, license, discover, develop, or commercialize additional product candidates, which would have a material adverse effect on our business and could potentially cause us to cease operations.</w:t>
      </w:r>
    </w:p>
    <w:p>
      <w:pPr>
        <w:pStyle w:val="TextBody"/>
        <w:bidi w:val="0"/>
        <w:spacing w:before="270" w:after="283"/>
        <w:jc w:val="left"/>
        <w:rPr>
          <w:rFonts w:ascii="sans-serif" w:hAnsi="sans-serif"/>
          <w:b/>
          <w:i/>
          <w:color w:val="212529"/>
          <w:sz w:val="20"/>
        </w:rPr>
      </w:pPr>
      <w:r>
        <w:rPr>
          <w:rFonts w:ascii="sans-serif" w:hAnsi="sans-serif"/>
          <w:b/>
          <w:i/>
          <w:color w:val="212529"/>
          <w:sz w:val="20"/>
        </w:rPr>
        <w:t>We may expend our limited resources to pursue a particular product, product candidate or indication and fail to capitalize on products, product candidates or indications that may be more profitable or for which there is a greater likelihood of success.</w:t>
      </w:r>
    </w:p>
    <w:p>
      <w:pPr>
        <w:pStyle w:val="TextBody"/>
        <w:bidi w:val="0"/>
        <w:spacing w:before="90" w:after="283"/>
        <w:jc w:val="left"/>
        <w:rPr>
          <w:rFonts w:ascii="sans-serif" w:hAnsi="sans-serif"/>
          <w:color w:val="000000"/>
          <w:sz w:val="20"/>
        </w:rPr>
      </w:pPr>
      <w:r>
        <w:rPr>
          <w:rFonts w:ascii="sans-serif" w:hAnsi="sans-serif"/>
          <w:color w:val="000000"/>
          <w:sz w:val="20"/>
        </w:rPr>
        <w:t>Because we have limited financial and managerial resources, we focus our sales, marketing and research programs on certain products, product candidates or for specific indications. As a result, we may forego or delay pursuit of opportunities with other products or product candidates or other indications that later prove to have greater commercial potential. Our resource allocation decisions may cause us to fail to capitalize on viable commercial products or profitable market opportunities and, even if our resources are allocated properly, may not necessarily lead to any commercially viable products. If we do not accurately evaluate the commercial potential or target market for a particular product or product candidate, we may relinquish valuable rights through collaboration, licensing, or other royalty arrangements in cases in which it would have been advantageous for us to retain sole development and commercialization rights or we may allocate internal resources to a product candidate in a therapeutic area in which it would have been more advantageous to enter into a partnering arrangement.</w:t>
      </w:r>
    </w:p>
    <w:p>
      <w:pPr>
        <w:pStyle w:val="TextBody"/>
        <w:bidi w:val="0"/>
        <w:spacing w:before="270" w:after="283"/>
        <w:jc w:val="left"/>
        <w:rPr>
          <w:rFonts w:ascii="sans-serif" w:hAnsi="sans-serif"/>
          <w:b/>
          <w:i/>
          <w:color w:val="000000"/>
          <w:sz w:val="20"/>
        </w:rPr>
      </w:pPr>
      <w:r>
        <w:rPr>
          <w:rFonts w:ascii="sans-serif" w:hAnsi="sans-serif"/>
          <w:b/>
          <w:i/>
          <w:color w:val="000000"/>
          <w:sz w:val="20"/>
        </w:rPr>
        <w:t>Regulatory standards are subject to change over time, making it difficult to accurately predict the likelihood of marketing approval even when clinical trials meet their endpoints.</w:t>
      </w:r>
    </w:p>
    <w:p>
      <w:pPr>
        <w:pStyle w:val="TextBody"/>
        <w:bidi w:val="0"/>
        <w:spacing w:before="90" w:after="283"/>
        <w:jc w:val="left"/>
        <w:rPr>
          <w:rFonts w:ascii="sans-serif" w:hAnsi="sans-serif"/>
          <w:color w:val="000000"/>
          <w:sz w:val="20"/>
        </w:rPr>
      </w:pPr>
      <w:r>
        <w:rPr>
          <w:rFonts w:ascii="sans-serif" w:hAnsi="sans-serif"/>
          <w:color w:val="000000"/>
          <w:sz w:val="20"/>
        </w:rPr>
        <w:t>Regulatory standards are promulgated by various government entities and are subject to change based on factors such as scientific developments, public perceptions of risk, and political forces. Because clinical trials often take years to complete, it is sometimes possible for standards that exist during the conception and initiation of a clinical trial to change before the clinical trial is completed or reviewed by government regulators. For example, we may initiate clinical trials that are designed to show benefits on relatively short-term endpoints, but ultimately be required to show benefits in longer-term outcome studies. While some government entities have safeguards intended to ensure standards agreed upon by sponsors and regulators at the outset of a clinical trial are applied during regulatory review processes, those safeguards generally permit regulators to apply more rigorous standards where regulators believe doing so is necessary. As such, there can be no assurance that regulatory standards that are appropriate at the outset of a clinical trial program will not become more rigorous during the regulatory approval process and could potentially result in a delayed approval or denial of marketing authorization.</w:t>
      </w:r>
    </w:p>
    <w:p>
      <w:pPr>
        <w:pStyle w:val="TextBody"/>
        <w:bidi w:val="0"/>
        <w:spacing w:before="90" w:after="283"/>
        <w:jc w:val="left"/>
        <w:rPr>
          <w:rFonts w:ascii="sans-serif" w:hAnsi="sans-serif"/>
          <w:color w:val="000000"/>
          <w:sz w:val="20"/>
        </w:rPr>
      </w:pPr>
      <w:r>
        <w:rPr>
          <w:rFonts w:ascii="sans-serif" w:hAnsi="sans-serif"/>
          <w:color w:val="000000"/>
          <w:sz w:val="20"/>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In June 2024, the Supreme Court overruled the Chevron doctrine, which had given deference to regulatory agencies’ statutory interpretations of ambiguous regulations in litigation against federal government agencies, such as the FDA. The overruling of the Chevron doctrine may significantly increase the number of challenges brought by companies and other stakeholders against federal agencies such as the FDA and its longstanding decisions and policies, including the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pStyle w:val="TextBody"/>
        <w:bidi w:val="0"/>
        <w:jc w:val="center"/>
        <w:rPr>
          <w:rFonts w:ascii="sans-serif" w:hAnsi="sans-serif"/>
          <w:color w:val="000000"/>
          <w:sz w:val="20"/>
        </w:rPr>
      </w:pPr>
      <w:r>
        <w:rPr>
          <w:rFonts w:ascii="sans-serif" w:hAnsi="sans-serif"/>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In January 2025, an executive order entitled “Unleashing Prosperity Through Deregulation,” was issued which calls for at least 10 existing regulations to be repealed whenever an executive department or agency publicly proposes for notice and comment or otherwise promulgates a new regulation. Recent developments at the FDA include announcement of a plan to phase out animal testing for monoclonal antibodies and certain other drugs, the proposed rare disease evidence principles (RDEP) program to facilitate approval of drugs to treat rare diseases with very small patient populations with significant unmet medical need and with a known genetic defect that is the major driver of the pathophysiology, and the announcement of a new Commissioner’s National Priority Voucher program for companies supporting certain U.S. national health priorities and interests. To the extent our competitors are selected for this new voucher pilot program, or are otherwise able to participate in any of these initiatives intended to accelerate drug development and application review, and obtain faster approval than us, our competitive position may be harmed. The FDA has also increased its scrutiny of foreign drug manufacturing facilities and other contractors based in China, especially with respect to the transfer of biological materials, genetic data, and other sensitive data of American patients to parties located in China. It is unclear how our industry and our clinical programs will be impacted by policies and regulations implemented under the current administration and FDA leadership, or other executive orders. There is significant uncertainty in the industry and how federal agencies like the FDA will change in the coming years under the current administration. To the extent the agency reorganization and other agency changes lead to disruptions in the FDA’s operations, our correspondence and regulatory review processes with the FDA may be materially delayed.</w:t>
      </w:r>
    </w:p>
    <w:p>
      <w:pPr>
        <w:pStyle w:val="TextBody"/>
        <w:bidi w:val="0"/>
        <w:spacing w:before="270" w:after="283"/>
        <w:jc w:val="left"/>
        <w:rPr>
          <w:rFonts w:ascii="Times New Roman" w:hAnsi="Times New Roman"/>
          <w:sz w:val="20"/>
        </w:rPr>
      </w:pPr>
      <w:r>
        <w:rPr>
          <w:rFonts w:ascii="sans-serif" w:hAnsi="sans-serif"/>
          <w:b/>
          <w:i/>
          <w:color w:val="000000"/>
          <w:sz w:val="20"/>
        </w:rPr>
        <w:t>Failure to comply with laws and regulations could harm our business and our reputation.</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Our business is subject to evolving regulation by various federal, state, local and foreign governmental agencies, including agencies responsible for monitoring and enforcing employment and labor laws, workplace safety, privacy and security laws and regulations, AI-related laws and regulations, and tax laws and regulations. In certain jurisdictions, these regulatory requirements may be more stringent than those in the U.S., and in other circumstances these requirements may be less stringent than those in the U.S.</w:t>
      </w:r>
    </w:p>
    <w:p>
      <w:pPr>
        <w:pStyle w:val="TextBody"/>
        <w:bidi w:val="0"/>
        <w:spacing w:before="90" w:after="283"/>
        <w:jc w:val="left"/>
        <w:rPr>
          <w:rFonts w:ascii="sans-serif" w:hAnsi="sans-serif"/>
          <w:color w:val="000000"/>
          <w:sz w:val="20"/>
        </w:rPr>
      </w:pPr>
      <w:r>
        <w:rPr>
          <w:rFonts w:ascii="sans-serif" w:hAnsi="sans-serif"/>
          <w:color w:val="000000"/>
          <w:sz w:val="20"/>
        </w:rPr>
        <w:t>In particular, our operations are directly, and indirectly through our customers, subject to various federal and state fraud and abuse laws, including, without limitation, the federal Anti-Kickback Statute, the federal False Claims Act, and physician sunshine laws and regulations; patient and non-patient privacy laws and regulations, including the European General Data Protection Regulation (EU) 2016/679, or GDPR, in the EEA, the GDPR as incorporated into UK law pursuant to the European Union (Withdrawal) Act 2018, or the UK GDPR, in the UK, the Health Insurance Portability and Accountability Act of 1996, or HIPAA, as amended by the Health Information Technology for Economic and Clinical Health Act, or HITECH, the California Consumer Privacy Act of 2018, or CCPA, as amended by the California Privacy Rights Act of 2020, or CPRA, and California’s Confidentiality of Medical Information Act; and the evolving global landscape for AI-related laws and regulations, which may impose obligations on companies that develop, deploy, or use AI systems (including through third-party vendors) and may address, among other things, documentation and governance requirements, transparency obligations, data sourcing and quality considerations, and other compliance measures. These laws and regulations include U.S. federal and state initiatives and the EU Artificial Intelligence Act, as described above in “Item 1. Business – Government Regulation” of our Annual Report. Because of the breadth of these laws and the narrowness of the statutory exceptions and safe harbors available, it is possible that some of our business activities could be subject to challenge under one or more of such laws. We cannot assure that our other operations or programs will not be subject to review by governmental authorities or found to violate such laws.</w:t>
      </w:r>
    </w:p>
    <w:p>
      <w:pPr>
        <w:pStyle w:val="TextBody"/>
        <w:bidi w:val="0"/>
        <w:spacing w:before="90" w:after="283"/>
        <w:jc w:val="left"/>
        <w:rPr>
          <w:rFonts w:ascii="Times New Roman" w:hAnsi="Times New Roman"/>
          <w:sz w:val="20"/>
        </w:rPr>
      </w:pPr>
      <w:r>
        <w:rPr>
          <w:rFonts w:ascii="sans-serif" w:hAnsi="sans-serif"/>
          <w:color w:val="000000"/>
          <w:sz w:val="20"/>
        </w:rPr>
        <w:t>The GDPR and UK GDPR impose a number of strict obligations and requirements for processing personal data of individuals (e.g., reliance on a legal basis, information to individuals, notification to relevant national data protection authorities in case of personal data breach and implementation of appropriate security measures), in particular with respect to special categories of personal data like health data which is subject to specific requirements. EU member states may also impose additional requirements in relation to the processing of personal data, including special categories of personal data through their national legislation. In addition, the GDPR and UK GDPR impose specific restrictions on the transfer of personal data to countries outside of the EEA or UK that are not considered by the European Commission as providing an adequate level of protection (including the U.S.). Appropriate safeguards are required to enable such transfers (e.g., reliance on the EEA and UK’s standard contractual clauses) along with further requirements, in particular the conduct of transfer risk assessments to verify if anything in the law and/or practices of the third country may impinge on the effectiveness of the safeguards in the context of the transfer at stake and, if so, to identify and adopt supplementary measures.</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In the US, there are also several compliance requirements under HIPAA/HITECH and implementing regulations that create requirements relating to the privacy and security of protected health information. Those requirements are also applicable, in many instances, to business associates of covered entities. In some cases, depending on our business operations and contractual agreements, including through the conduct of clinical trials, we are subject to HIPAA requirements. Also, we may be subject to additional federal, state and local privacy laws and regulations in the U.S., including new and recently enacted laws, that may apply to us and/or our service providers now or in the future and that require that we take measures to be transparent regarding, honor rights with respect to, and protect the privacy and security of certain information we gather and use in our business, including personal information, particularly personal information that is not otherwise subject to HIPAA.</w:t>
      </w:r>
    </w:p>
    <w:p>
      <w:pPr>
        <w:pStyle w:val="TextBody"/>
        <w:bidi w:val="0"/>
        <w:spacing w:before="90" w:after="283"/>
        <w:jc w:val="left"/>
        <w:rPr>
          <w:rFonts w:ascii="sans-serif" w:hAnsi="sans-serif"/>
          <w:color w:val="000000"/>
          <w:sz w:val="20"/>
        </w:rPr>
      </w:pPr>
      <w:r>
        <w:rPr>
          <w:rFonts w:ascii="sans-serif" w:hAnsi="sans-serif"/>
          <w:color w:val="000000"/>
          <w:sz w:val="20"/>
        </w:rPr>
        <w:t>If our operations are found to be in violation of any of the laws described above or any other governmental regulations that apply to us, including due to employee or consultant fraud or other misconduct, we may be subject to penalties, including civil and criminal penalties, damages, fines, exclusion from participation in government health care programs, such as Medicare and Medicaid, imprisonment, disgorgement of profits, and the curtailment or restructuring of our operations. If any governmental sanctions, fines, or penalties are imposed, or if we do not prevail in any possible civil or criminal litigation, our business, operating results, financial condition and our reputation could be harmed. In addition, responding to any action will likely result in a significant diversion of management’s attention and resources and an increase in professional fees.</w:t>
      </w:r>
    </w:p>
    <w:p>
      <w:pPr>
        <w:pStyle w:val="TextBody"/>
        <w:bidi w:val="0"/>
        <w:spacing w:before="90" w:after="283"/>
        <w:jc w:val="left"/>
        <w:rPr>
          <w:rFonts w:ascii="sans-serif" w:hAnsi="sans-serif"/>
          <w:color w:val="000000"/>
          <w:sz w:val="20"/>
        </w:rPr>
      </w:pPr>
      <w:r>
        <w:rPr>
          <w:rFonts w:ascii="sans-serif" w:hAnsi="sans-serif"/>
          <w:color w:val="000000"/>
          <w:sz w:val="20"/>
        </w:rPr>
        <w:t>Our research and development activities, including our process and analytical development activities in our quality control laboratory, and our and our third-party manufacturers’ and suppliers’ activities, including activities related to the build-out and operation of our gene therapy manufacturing facility, involve the controlled storage, use, and disposal of hazardous materials, including the components of our product candidates, such as viruses, and other hazardous compounds, which subjects us to laws and regulations governing such activities. In some cases, these hazardous materials and various wastes resulting from their use are stored at our or our manufacturers’ facilities pending their use and disposal. We cannot eliminate the risk of contamination, which could cause an interruption of our commercialization efforts, research and development efforts, and business operations or environmental damage that could result in costly clean-up and liabilities under applicable laws and regulations governing the use, storage, handling, and disposal of these materials and specified waste products. We cannot guarantee that the safety procedures utilized by us and our third-party manufacturers for handling and disposing of these materials comply with the standards prescribed by these laws and regulations, or eliminate the risk of accidental contamination or injury from these materials. In such an event, we may be held liable for any resulting damages—and such liability could exceed our resources—and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w:t>
      </w:r>
    </w:p>
    <w:p>
      <w:pPr>
        <w:pStyle w:val="TextBody"/>
        <w:bidi w:val="0"/>
        <w:spacing w:before="270" w:after="283"/>
        <w:jc w:val="left"/>
        <w:rPr>
          <w:rFonts w:ascii="sans-serif" w:hAnsi="sans-serif"/>
          <w:b/>
          <w:i/>
          <w:color w:val="000000"/>
          <w:sz w:val="20"/>
        </w:rPr>
      </w:pPr>
      <w:r>
        <w:rPr>
          <w:rFonts w:ascii="sans-serif" w:hAnsi="sans-serif"/>
          <w:b/>
          <w:i/>
          <w:color w:val="000000"/>
          <w:sz w:val="20"/>
        </w:rPr>
        <w:t>Increasing use of social media could give rise to liability and result in harm to our business.</w:t>
      </w:r>
    </w:p>
    <w:p>
      <w:pPr>
        <w:pStyle w:val="TextBody"/>
        <w:bidi w:val="0"/>
        <w:spacing w:before="90" w:after="283"/>
        <w:jc w:val="left"/>
        <w:rPr>
          <w:rFonts w:ascii="sans-serif" w:hAnsi="sans-serif"/>
          <w:color w:val="000000"/>
          <w:sz w:val="20"/>
        </w:rPr>
      </w:pPr>
      <w:r>
        <w:rPr>
          <w:rFonts w:ascii="sans-serif" w:hAnsi="sans-serif"/>
          <w:color w:val="000000"/>
          <w:sz w:val="20"/>
        </w:rPr>
        <w:t>As we and our employees increasingly use social media tools as a means of communication with the public, there is a risk that the use of social media by us or our employees to communicate about our products or business may cause us to be found in violation of applicable laws, despite our attempts to monitor such social media communications through company policies and guidelines. In addition, our employees may knowingly or inadvertently make use of social media in ways that may not comply with our company policies or other legal or contractual requirements, which may give rise to liability, lead to the loss of trade secrets or other intellectual property or the inadvertent disclosure of material, nonpublic information, cause reputational harm or result in public exposure of personal information of our employees, clinical trial patients, customers, and others. We may also encounter criticism on social media regarding our company, management, or medicines. Negative posts or comments about us or our products on social media could seriously damage our reputation, brand image and goodwill.</w:t>
      </w:r>
    </w:p>
    <w:p>
      <w:pPr>
        <w:pStyle w:val="TextBody"/>
        <w:bidi w:val="0"/>
        <w:spacing w:before="270" w:after="283"/>
        <w:jc w:val="left"/>
        <w:rPr>
          <w:rFonts w:ascii="Times New Roman" w:hAnsi="Times New Roman"/>
          <w:sz w:val="20"/>
        </w:rPr>
      </w:pPr>
      <w:r>
        <w:rPr>
          <w:rFonts w:ascii="sans-serif" w:hAnsi="sans-serif"/>
          <w:b/>
          <w:i/>
          <w:color w:val="000000"/>
          <w:sz w:val="20"/>
        </w:rPr>
        <w:t>International expansion of our business exposes us to business, regulatory, political, operational, financial, and economic risks associated with doing business outside of the U.S.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Our business strategy includes international expansion. We currently conduct clinical studies and regulatory activities and we also commercialize products outside of the U.S. An increasing portion of our revenues are based on our international operations, which exposes us to increased financial risks such as longer payment cycles, additional or more burdensome regulatory requirements of financial institutions outside of the U.S. and exposure to foreign currency exchange rate. We may implement currency hedges intended to reduce our exposure to changes in certain foreign currency exchange rates. However, our hedging strategies, if implemented, may not be successful, and any of our unhedged foreign exchange exposures will continue to be subject to market fluctuations. Further, we sell products in countries that face economic volatility and weakness. Although we have historically collected receivables from customers in those countries, continued weakness or additional deterioration of the local economies and currencies may cause customers in those countries to be unable to pay for our products. Additionally, if one or more of these countries were unable to purchase our products, our revenues would be adversely affected. Changes in policy with respect to sanctions or tariffs, including tariffs imposed by the U.S. on imports from most countries, and related retaliatory tariffs on U.S.</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goods, could also increase our costs or adversely impact our revenues. For instance, the current Presidential Administration has imposed tariffs on pharmaceutical products from certain countries, such as those imposed in the U.S. and E.U. trade agreement announced in July 2025. In September 2025, the Administration announced that future tariffs of up to 100% could be implemented affecting branded or patented pharmaceutical products coming into the U.S., unless the importing company is building U.S. manufacturing capacity and in April 2026, the Administration issued a Proclamation imposing tariffs on imports of certain branded or patented pharmaceutical products and pharmaceutical ingredients. Certain tariff exemptions or zero-rate treatment may be available for products where all approved indications are designated as orphan, as well as for certain cell and gene therapies and other specialty pharmaceutical products, subject to applicable determinations, conditions and implementation guidance. As such, there remains substantial uncertainty as to the implementation and potential impacts of such tariffs. We continue to monitor the scope and implementation of the tariffs, including the availability and conditions of exemptions. The tariffs, and any changes to the tariff rates, exemptions, or enforcement mechanisms, could increase our cost of goods sold, disrupt our supply chain, delay product availability, or require us to modify our sourcing or manufacturing strategies, any of which could have a material adverse effect on our business, financial condition, and results of operations. It is currently unclear whether and to what extent all of these measures will be fully implemented as announced and what impact any such implementation could have on our business.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Doing business internationally involves a number of additional risks, including but not limited to:</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multiple, conflicting, and changing laws and regulations such as privacy and data regulations, transparency regulations, tax laws, export and import restrictions, employment laws, regulatory requirements, and other governmental approvals, permits, and licenses;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introduction of new health authority requirements and/or changes in health authority expectations;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failure by us to obtain and maintain regulatory approvals for the use of our products in various countries;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additional potentially relevant third-party patent rights;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complexities and difficulties in obtaining protection for, and enforcing, our intellectual property;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difficulties in staffing and managing foreign operations;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complexities associated with managing multiple payor reimbursement regimes, government payors, or patient self-pay systems;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limits on our ability to penetrate international markets;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natural disasters and geopolitical and economic instability, including wars, terrorism, political unrest (including, for example the conflict between Russia and Ukraine, the ongoing military conflict involving Iran, the conflict between Israel and the surrounding areas, and the rising tensions between China and Taiwan), results of certain elections and votes, actual or threatened public health emergencies and outbreak of disease, inflation, recession, boycotts and resulting staffing shortages, adoption or expansion of government trade restrictions, and other business restrictions, any of which could disrupt our supply chain, increase our operating costs, and adversely affect our business;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certain expenses including, among others, expenses for travel, translation, and insurance;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regulatory and compliance risks that relate to maintaining accurate information and control over commercial operations and activities that may fall within the purview of the U.S. Foreign Corrupt Practices Act, or FCPA, its books and records provisions, or its anti-bribery provisions, including those under the U.K. Bribery Act and similar anti-corruption foreign laws and regulations; and</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regulatory and compliance risks relating to doing business with any entity that is subject to sanctions administered by the Office of Foreign Assets Control of the U.S. Department of the Treasury. </w:t>
      </w:r>
    </w:p>
    <w:p>
      <w:pPr>
        <w:pStyle w:val="TextBody"/>
        <w:bidi w:val="0"/>
        <w:spacing w:before="90" w:after="283"/>
        <w:jc w:val="left"/>
        <w:rPr>
          <w:rFonts w:ascii="Times New Roman" w:hAnsi="Times New Roman"/>
          <w:sz w:val="20"/>
        </w:rPr>
      </w:pPr>
      <w:r>
        <w:rPr>
          <w:rFonts w:ascii="sans-serif" w:hAnsi="sans-serif"/>
          <w:color w:val="000000"/>
          <w:sz w:val="20"/>
        </w:rPr>
        <w:t>Any of these factors could significantly harm our future international expansion and operations and, consequently, our results of operations.</w:t>
      </w:r>
      <w:r>
        <w:rPr>
          <w:rFonts w:ascii="Times New Roman" w:hAnsi="Times New Roman"/>
          <w:color w:val="000000"/>
          <w:sz w:val="20"/>
        </w:rPr>
        <w:t xml:space="preserve"> </w:t>
      </w:r>
    </w:p>
    <w:p>
      <w:pPr>
        <w:pStyle w:val="TextBody"/>
        <w:bidi w:val="0"/>
        <w:spacing w:before="270" w:after="283"/>
        <w:jc w:val="left"/>
        <w:rPr>
          <w:rFonts w:ascii="sans-serif" w:hAnsi="sans-serif"/>
          <w:b/>
          <w:i/>
          <w:color w:val="000000"/>
          <w:sz w:val="20"/>
        </w:rPr>
      </w:pPr>
      <w:r>
        <w:rPr>
          <w:rFonts w:ascii="sans-serif" w:hAnsi="sans-serif"/>
          <w:b/>
          <w:i/>
          <w:color w:val="000000"/>
          <w:sz w:val="20"/>
        </w:rPr>
        <w:t>The FDA and other regulatory agencies actively enforce the laws and regulations prohibiting the promotion of off-label uses. If we are found to have promoted off-label uses, we may become subject to significant liability.</w:t>
      </w:r>
    </w:p>
    <w:p>
      <w:pPr>
        <w:pStyle w:val="TextBody"/>
        <w:bidi w:val="0"/>
        <w:jc w:val="center"/>
        <w:rPr>
          <w:rFonts w:ascii="sans-serif" w:hAnsi="sans-serif"/>
          <w:color w:val="000000"/>
          <w:sz w:val="20"/>
        </w:rPr>
      </w:pPr>
      <w:r>
        <w:rPr>
          <w:rFonts w:ascii="sans-serif" w:hAnsi="sans-serif"/>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The FDA and other regulatory agencies strictly regulate the promotional claims that may be made about prescription drug products. Among other requirements, a product may not be promoted in the U.S. for uses that are not approved by the FDA as reflected in the product's approved labeling or prior to regulatory approval. Further, any labeling approved by the FDA for our products or any of our product candidates may include restrictions on use, limit use to specific populations or include various other limitations. The FDA may impose further requirements or restrictions on the distribution or use of any of our other product candidates as part of a REMS plan. Physicians may nevertheless prescribe such products to their patients in a manner that is inconsistent with the approved label provided the company did not promote such use. If we are found to have promoted such off-label uses, we may become subject to significant liability. Similarly, the FDA strictly regulates the promotion of investigational products prior to approval, known as pre-approval promotion. The federal government has levied large civil and criminal fines and/or other penalties against companies for alleged improper promotion and has investigated and/or prosecuted several companies in relation to off-label and/or pre-approval promotion. The FDA has also requested that certain companies enter into consent decrees or permanent injunctions under which specified promotional conduct is changed, curtailed or prohibited or have delayed approval of investigational products due to pre-approval conduct. Inappropriate promotional activities may also subject a company to investigations, prosecutions and litigation by other government entities or private citizens.</w:t>
      </w:r>
    </w:p>
    <w:p>
      <w:pPr>
        <w:pStyle w:val="TextBody"/>
        <w:bidi w:val="0"/>
        <w:spacing w:before="270" w:after="283"/>
        <w:jc w:val="left"/>
        <w:rPr>
          <w:rFonts w:ascii="sans-serif" w:hAnsi="sans-serif"/>
          <w:b/>
          <w:i/>
          <w:color w:val="000000"/>
          <w:sz w:val="20"/>
        </w:rPr>
      </w:pPr>
      <w:r>
        <w:rPr>
          <w:rFonts w:ascii="sans-serif" w:hAnsi="sans-serif"/>
          <w:b/>
          <w:i/>
          <w:color w:val="000000"/>
          <w:sz w:val="20"/>
        </w:rPr>
        <w:t>Our business and operations may be materially adversely affected in the event of computer system failures or security breaches.</w:t>
      </w:r>
    </w:p>
    <w:p>
      <w:pPr>
        <w:pStyle w:val="TextBody"/>
        <w:bidi w:val="0"/>
        <w:spacing w:before="90" w:after="283"/>
        <w:jc w:val="left"/>
        <w:rPr>
          <w:rFonts w:ascii="sans-serif" w:hAnsi="sans-serif"/>
          <w:color w:val="000000"/>
          <w:sz w:val="20"/>
        </w:rPr>
      </w:pPr>
      <w:r>
        <w:rPr>
          <w:rFonts w:ascii="sans-serif" w:hAnsi="sans-serif"/>
          <w:color w:val="000000"/>
          <w:sz w:val="20"/>
        </w:rPr>
        <w:t>Cybersecurity incidents, including phishing attacks and attempts to misappropriate or compromise confidential or proprietary information or personal information or sabotage enterprise IT systems, are becoming increasingly frequent and more sophisticated. Cybersecurity incidents increasingly involve the use of AI and machine learning to launch more automated, targeted and coordinated attacks on targets, and the use of AI by us or the third parties on which we depend to operate our business may create new cybersecurity vulnerabilities, including those which may not be recognized at this time. The information and data processed and stored in our technology systems, and those of our strategic partners, CROs, contract manufacturers, suppliers, distributors or other third parties on which we depend to operate our business, may be vulnerable to loss, damage, denial-of-service, unauthorized access or misappropriation. Data security breaches can occur as a result of malware, hacking, business email compromise, ransomware attacks, phishing or other cyberattacks directed by third parties. We, and certain of the third parties on which we depend to operate our business, have experienced cybersecurity incidents, including unauthorized access to and misappropriation of financial information and clinical data, and may experience similar incidents in the future. Further, risks of unauthorized access and cyberattacks have increased as most of our personnel, and the personnel of many third parties with which we do business, have adopted hybrid working arrangements. Improper or inadvertent behavior by employees, contractors and others with permitted access to our systems, including through the use of generative AI technologies, pose a risk that sensitive data may be exposed to unauthorized persons or to the public. A system failure or security breach that interrupts our operations or the operations at one of our third-party vendors or partners could result in intellectual property, other proprietary or confidential information or personal information being lost or stolen or a material disruption of our drug development programs and commercial operations. For example, the loss of clinical trial data from ongoing or planned clinical trials could result in delays in our regulatory approval efforts and significantly increase our costs to recover or reproduce the data. To the extent that any disruption or security breach results in a loss of or damage to our data or applications, unauthorized access, use or disclosure of trade secrets, other confidential or proprietary information, protected health information, or other personal information, unauthorized access to our clinical data, or disruption of the manufacturing process, we could incur liability and the further development of our drug candidates could be delayed. Further, we could incur significant costs to investigate and mitigate such cybersecurity incidents. Cybersecurity incidents may also require us to activate business continuity and incident response plans and could divert management attention and resources. In addition, there can be no assurance that our insurance coverage will be sufficient to cover the financial, legal, business or reputational losses that may result from a cybersecurity incident. A security breach that results in the unauthorized access, use or disclosure of personal information may also require us to notify individuals, governmental authorities, credit reporting agencies, or other parties, as applicable, pursuant to privacy and security laws and regulations or other obligations. Such a security breach could harm our reputation, erode confidence in our information security measures, lead to regulatory scrutiny, and result in penalties, fines, indemnification claims, litigation, and potential civil or criminal liability.</w:t>
      </w:r>
    </w:p>
    <w:p>
      <w:pPr>
        <w:pStyle w:val="TextBody"/>
        <w:bidi w:val="0"/>
        <w:jc w:val="center"/>
        <w:rPr>
          <w:rFonts w:ascii="sans-serif" w:hAnsi="sans-serif"/>
          <w:color w:val="000000"/>
          <w:sz w:val="20"/>
        </w:rPr>
      </w:pPr>
      <w:r>
        <w:rPr>
          <w:rFonts w:ascii="sans-serif" w:hAnsi="sans-serif"/>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sans-serif" w:hAnsi="sans-serif"/>
          <w:b/>
          <w:i/>
          <w:color w:val="000000"/>
          <w:sz w:val="20"/>
        </w:rPr>
        <w:t>We or the third parties upon whom we depend may be adversely affected by earthquakes or other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Our corporate headquarters and one of our laboratories are located in the San Francisco Bay Area, and our collaboration partner for Crysvita, KKC, is located in Japan, which have both in the past experienced severe earthquakes and other natural disasters. We do not carry earthquake insurance. Earthquakes or other natural disasters could severely disrupt our operations or those of our collaborators, and have a material adverse effect on our business, results of operations, financial condition, and prospects. We have also experienced power outages as a result of wildfires in the San Francisco Bay Area which are likely to continue to occur in the future.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may be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r>
        <w:rPr>
          <w:rFonts w:ascii="Times New Roman" w:hAnsi="Times New Roman"/>
          <w:color w:val="000000"/>
          <w:sz w:val="20"/>
        </w:rPr>
        <w:t xml:space="preserve"> </w:t>
      </w:r>
    </w:p>
    <w:p>
      <w:pPr>
        <w:pStyle w:val="TextBody"/>
        <w:bidi w:val="0"/>
        <w:spacing w:before="270" w:after="283"/>
        <w:jc w:val="left"/>
        <w:rPr>
          <w:rFonts w:ascii="sans-serif" w:hAnsi="sans-serif"/>
          <w:b/>
          <w:i/>
          <w:color w:val="000000"/>
          <w:sz w:val="20"/>
        </w:rPr>
      </w:pPr>
      <w:r>
        <w:rPr>
          <w:rFonts w:ascii="sans-serif" w:hAnsi="sans-serif"/>
          <w:b/>
          <w:i/>
          <w:color w:val="000000"/>
          <w:sz w:val="20"/>
        </w:rPr>
        <w:t>We may experience difficulties, delays or unexpected costs and not achieve anticipated benefits and savings from our strategic restructuring plan announced February 2026.</w:t>
      </w:r>
    </w:p>
    <w:p>
      <w:pPr>
        <w:pStyle w:val="TextBody"/>
        <w:bidi w:val="0"/>
        <w:spacing w:before="90" w:after="283"/>
        <w:jc w:val="left"/>
        <w:rPr>
          <w:rFonts w:ascii="sans-serif" w:hAnsi="sans-serif"/>
          <w:color w:val="000000"/>
          <w:sz w:val="20"/>
        </w:rPr>
      </w:pPr>
      <w:r>
        <w:rPr>
          <w:rFonts w:ascii="sans-serif" w:hAnsi="sans-serif"/>
          <w:color w:val="000000"/>
          <w:sz w:val="20"/>
        </w:rPr>
        <w:t>In February 2026, we initiated a strategic restructuring plan, which includes a 10% workforce reduction of approximately 130 employees across the Company. The workforce reduction was substantially completed during the first quarter of 2026 and all expected cash payments related to the restructuring were completed during the six months ended June 30, 2026. Our workforce reduction may cause disruptions to our business operations. For example, the workforce reduction has resulted in the loss of a number of long-term employees, the loss of institutional knowledge and expertise and the reallocation and combination of certain roles and responsibilities across the organization, all of which could adversely affect employee morale and our operations. In addition, we may not be able to achieve the anticipated benefits or effectively realize all the cost savings anticipated from the reduction in force and we may incur unanticipated charges or make additional cash payments as a result of such initiatives that were not previously contemplated which could result in an adverse effect on our business or results of operations.</w:t>
      </w:r>
    </w:p>
    <w:p>
      <w:pPr>
        <w:pStyle w:val="TextBody"/>
        <w:bidi w:val="0"/>
        <w:spacing w:before="270" w:after="283"/>
        <w:jc w:val="left"/>
        <w:rPr>
          <w:rFonts w:ascii="Times New Roman" w:hAnsi="Times New Roman"/>
          <w:sz w:val="20"/>
        </w:rPr>
      </w:pPr>
      <w:r>
        <w:rPr>
          <w:rFonts w:ascii="sans-serif" w:hAnsi="sans-serif"/>
          <w:b/>
          <w:i/>
          <w:color w:val="000000"/>
          <w:sz w:val="20"/>
        </w:rPr>
        <w:t>We may acquire companies or products or engage in strategic transactions, which could divert our management’s attention and cause us to incur various costs and expenses, or result in fluctuations with respect to the value of such investment, which could impact our operating results.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We may acquire or invest in businesses or products that we believe could complement or expand our business or otherwise offer growth opportunities. For example, we acquired GeneTx in July 2022. The pursuit of potential acquisitions or investments may divert the attention of management and may cause us to incur various costs and expenses in identifying, investigating, and pursuing them, whether or not they are consummated. We may not be able to identify desirable acquisitions or investments or be successful in completing or realizing anticipated benefits from such transactions. We may experience difficulties in assimilating the personnel, operations and products of the acquired companies, management’s attention may be diverted from other business concerns and we may potentially lose key employees of the acquired company. If we are unable to successfully or timely integrate the operations of acquired companies with our business, we may incur unanticipated liabilities and be unable to realize the revenue growth, synergies and other anticipated benefits resulting from the acquisition, and our business, results of operations and financial condition could be materially and adversely affected.</w:t>
      </w:r>
    </w:p>
    <w:p>
      <w:pPr>
        <w:pStyle w:val="TextBody"/>
        <w:bidi w:val="0"/>
        <w:spacing w:before="90" w:after="283"/>
        <w:jc w:val="left"/>
        <w:rPr>
          <w:rFonts w:ascii="sans-serif" w:hAnsi="sans-serif"/>
          <w:color w:val="000000"/>
          <w:sz w:val="20"/>
        </w:rPr>
      </w:pPr>
      <w:r>
        <w:rPr>
          <w:rFonts w:ascii="sans-serif" w:hAnsi="sans-serif"/>
          <w:color w:val="000000"/>
          <w:sz w:val="20"/>
        </w:rPr>
        <w:t>The value of our investments in other companies or businesses may also fluctuate significantly and impact our operating results quarter to quarter or year to year. We purchased shares of common stock of Solid Biosciences, Inc., or Solid, in October 2020. Our investment in Solid is being accounted for at fair value, as the fair value is readily determinable. As a result, increases or decreases in the stock price of equity investments have resulted in and will result in accompanying changes in the fair value of our investments, and cause substantial volatility in, our operating results for the reporting period. As the fair value of our investment in Solid is dependent on the stock price of Solid, which has recently seen wide fluctuations, the value of our investments and the impact on our operating results may similarly fluctuate significantly from quarter to quarter and year to year such that period-to-period comparisons may not be a good indication of the future value of the investments and our future operating results.</w:t>
      </w:r>
    </w:p>
    <w:p>
      <w:pPr>
        <w:pStyle w:val="TextBody"/>
        <w:bidi w:val="0"/>
        <w:spacing w:before="270" w:after="283"/>
        <w:jc w:val="left"/>
        <w:rPr>
          <w:rFonts w:ascii="Times New Roman" w:hAnsi="Times New Roman"/>
          <w:sz w:val="20"/>
        </w:rPr>
      </w:pPr>
      <w:r>
        <w:rPr>
          <w:rFonts w:ascii="sans-serif" w:hAnsi="sans-serif"/>
          <w:b/>
          <w:color w:val="000000"/>
          <w:sz w:val="20"/>
        </w:rPr>
        <w:t>Risks Related to Ownership of Our Common Stock</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b/>
          <w:i/>
          <w:color w:val="000000"/>
          <w:sz w:val="20"/>
        </w:rPr>
        <w:t>The market price of our common stock may be highly volatile.</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The market price of our common stock has been, and is likely to continue to be, volatile, including for reasons unrelated to changes in our business. Our stock price could be subject to wide fluctuations in response to a variety of factors, including but not limited to the following:</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adverse results or delays in preclinical or clinical studies;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any inability to obtain additional funding;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any delay in filing a regulatory submission for any of our product candidates and any adverse development or perceived adverse development with respect to the applicable regulatory agency’s review of such regulatory submission;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perception of limited market sizes or pricing for our products and product candidates;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decisions by our collaboration partners with respect to the indications for our products and product candidates or regarding market access in pricing in countries where they have the right to commercialize our products and product candidates;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failure to successfully develop and commercialize our products and product candidates;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the level of revenue we receive from our commercialized products or from named patient sales;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post-marketing safety issues;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failure to maintain our existing strategic collaborations or enter into new collaborations;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adverse regulatory decisions;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introduction of new products, services, or technologies by our competitors;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changes in or failure to meet or exceed financial projections or other guidance we may provide to the public;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changes in or failure to meet or exceed the financial projections or other expectations of the investment community;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the perception of the pharmaceutical industry or our company by the public, legislatures, regulators, and the investment community;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the perception of the pharmaceutical industry’s approach to drug pricing;</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announcements of significant acquisitions, strategic partnerships, joint ventures, or capital commitments by us, our strategic collaboration partners, or our competitors;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disputes or other developments relating to proprietary rights, including patents, litigation matters, and our ability to obtain patent protection for our technologies;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significant investigations, regulatory proceedings or lawsuits, including patent or stockholder litigation;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securities or industry analysts’ reports regarding our stock, or their failure to issue such reports;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changes in the market valuations of similar companies;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general market, macroeconomic conditions or geopolitical developments, changing interest rates, inflation, and market instability arising from increasing political and trade tensions;</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sales of our common stock by us or our stockholders in the future; and </w:t>
      </w:r>
    </w:p>
    <w:p>
      <w:pPr>
        <w:pStyle w:val="TextBody"/>
        <w:bidi w:val="0"/>
        <w:spacing w:before="90" w:after="283"/>
        <w:jc w:val="left"/>
        <w:rPr>
          <w:color w:val="000000"/>
        </w:rPr>
      </w:pPr>
      <w:r>
        <w:rPr>
          <w:color w:val="000000"/>
        </w:rPr>
        <w:t>•</w:t>
      </w:r>
    </w:p>
    <w:p>
      <w:pPr>
        <w:pStyle w:val="TextBody"/>
        <w:bidi w:val="0"/>
        <w:spacing w:before="90" w:after="283"/>
        <w:jc w:val="left"/>
        <w:rPr>
          <w:rFonts w:ascii="sans-serif" w:hAnsi="sans-serif"/>
          <w:color w:val="000000"/>
          <w:sz w:val="20"/>
        </w:rPr>
      </w:pPr>
      <w:r>
        <w:rPr>
          <w:rFonts w:ascii="sans-serif" w:hAnsi="sans-serif"/>
          <w:color w:val="000000"/>
          <w:sz w:val="20"/>
        </w:rPr>
        <w:t xml:space="preserve">trading volume of our common stock. </w:t>
      </w:r>
    </w:p>
    <w:p>
      <w:pPr>
        <w:pStyle w:val="TextBody"/>
        <w:bidi w:val="0"/>
        <w:spacing w:before="90" w:after="283"/>
        <w:jc w:val="left"/>
        <w:rPr>
          <w:rFonts w:ascii="sans-serif" w:hAnsi="sans-serif"/>
          <w:color w:val="000000"/>
          <w:sz w:val="20"/>
        </w:rPr>
      </w:pPr>
      <w:r>
        <w:rPr>
          <w:rFonts w:ascii="sans-serif" w:hAnsi="sans-serif"/>
          <w:color w:val="000000"/>
          <w:sz w:val="20"/>
        </w:rPr>
        <w:t>In addition,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pStyle w:val="TextBody"/>
        <w:bidi w:val="0"/>
        <w:spacing w:before="270" w:after="283"/>
        <w:jc w:val="left"/>
        <w:rPr>
          <w:rFonts w:ascii="Times New Roman" w:hAnsi="Times New Roman"/>
          <w:sz w:val="20"/>
        </w:rPr>
      </w:pPr>
      <w:r>
        <w:rPr>
          <w:rFonts w:ascii="sans-serif" w:hAnsi="sans-serif"/>
          <w:b/>
          <w:i/>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Pursuant to our 2023 Incentive Plan, as amended, or the 2023 Plan, our management is authorized to grant stock options and other equity-based awards to our employees, directors, and consultants. At June 30, 2026, there were 6.5 million shares available for future grants under the 2023 Plan.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Pursuant to our 2014 Employee Stock Purchase Plan, as amended, or the A&amp;R ESPP, eligible employees can acquire shares of our common stock at a discount to the prevailing market price. At June 30, 2026, there were 6.1 million shares available for issuance under the A&amp;R ESPP.</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Our board of directors has adopted an Employment Inducement Plan, which was subsequently amended, or the Inducement Plan. At June 30, 2026, there were 0.6 million shares available for issuance under the Inducement Plan. If our board of directors elects to increase the number of shares available for future grant under the 2023 Plan, the A&amp;R ESPP, or the Inducement Plan, our stockholders may experience additional dilution, which could cause our stock price to fall.</w:t>
      </w:r>
    </w:p>
    <w:p>
      <w:pPr>
        <w:pStyle w:val="TextBody"/>
        <w:bidi w:val="0"/>
        <w:spacing w:before="270" w:after="283"/>
        <w:jc w:val="left"/>
        <w:rPr>
          <w:rFonts w:ascii="Times New Roman" w:hAnsi="Times New Roman"/>
          <w:sz w:val="20"/>
        </w:rPr>
      </w:pPr>
      <w:r>
        <w:rPr>
          <w:rFonts w:ascii="sans-serif" w:hAnsi="sans-serif"/>
          <w:b/>
          <w:i/>
          <w:color w:val="000000"/>
          <w:sz w:val="20"/>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authorize “blank check” preferred stock, which could be issued by our board of directors without stockholder approval and may contain voting, liquidation, dividend, and other rights superior to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create a classified board of directors whose members serve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specify that special meetings of our stockholders can be called only by our board of directors or the chairperson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prohibit stockholder action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establish an advance notice procedure for stockholder approvals to be brought before an annual meeting of our stockholders, including proposed nominations of persons for election to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provide that our directors may be removed only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provide that vacancies on our board of directors may be filled only by a resolution adopted by the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expressly authorize our board of directors to modify, alter or repeal our amended and restated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0"/>
        </w:rPr>
      </w:pPr>
      <w:r>
        <w:rPr>
          <w:rFonts w:ascii="sans-serif" w:hAnsi="sans-serif"/>
          <w:color w:val="000000"/>
          <w:sz w:val="20"/>
        </w:rPr>
        <w:t xml:space="preserve">require holders of 75% of our outstanding common stock to amend specified provisions of our amended and restated certificate of incorporation and amended and restated by-laws. </w:t>
      </w:r>
    </w:p>
    <w:p>
      <w:pPr>
        <w:pStyle w:val="TextBody"/>
        <w:bidi w:val="0"/>
        <w:spacing w:before="90" w:after="283"/>
        <w:jc w:val="left"/>
        <w:rPr>
          <w:rFonts w:ascii="Times New Roman" w:hAnsi="Times New Roman"/>
          <w:sz w:val="20"/>
        </w:rPr>
      </w:pPr>
      <w:r>
        <w:rPr>
          <w:rFonts w:ascii="sans-serif" w:hAnsi="sans-serif"/>
          <w:color w:val="000000"/>
          <w:sz w:val="20"/>
        </w:rPr>
        <w:t>These provisions, alone or together, could delay, deter, or prevent hostile takeovers and changes in control or changes in our management.</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In addition, because we are incorporated in Delaware, we are governed by the provisions of Section 203 of the Delaware General Corporation Law, which limits the ability of stockholders owning in excess of 15% of our outstanding voting stock to merge or combine with us. Further, no stockholder is permitted to cumulate votes at any election of directors because this right is not included in our amended and restated certificate of incorporation.</w:t>
      </w:r>
    </w:p>
    <w:p>
      <w:pPr>
        <w:pStyle w:val="TextBody"/>
        <w:bidi w:val="0"/>
        <w:spacing w:before="90" w:after="283"/>
        <w:jc w:val="left"/>
        <w:rPr>
          <w:rFonts w:ascii="Times New Roman" w:hAnsi="Times New Roman"/>
          <w:sz w:val="20"/>
        </w:rPr>
      </w:pPr>
      <w:r>
        <w:rPr>
          <w:rFonts w:ascii="sans-serif" w:hAnsi="sans-serif"/>
          <w:color w:val="000000"/>
          <w:sz w:val="20"/>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sans-serif" w:hAnsi="sans-serif"/>
          <w:b/>
          <w:i/>
          <w:color w:val="000000"/>
          <w:sz w:val="20"/>
        </w:rPr>
      </w:pPr>
      <w:r>
        <w:rPr>
          <w:rFonts w:ascii="sans-serif" w:hAnsi="sans-serif"/>
          <w:b/>
          <w:i/>
          <w:color w:val="000000"/>
          <w:sz w:val="20"/>
        </w:rPr>
        <w:t>Our amended and restated certificate of incorporation provides that the Court of Chancery of the State of Delaware is the sole and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90" w:after="283"/>
        <w:jc w:val="left"/>
        <w:rPr>
          <w:rFonts w:ascii="sans-serif" w:hAnsi="sans-serif"/>
          <w:color w:val="000000"/>
          <w:sz w:val="20"/>
        </w:rPr>
      </w:pPr>
      <w:r>
        <w:rPr>
          <w:rFonts w:ascii="sans-serif" w:hAnsi="sans-serif"/>
          <w:color w:val="000000"/>
          <w:sz w:val="20"/>
        </w:rPr>
        <w:t>Our amended and restated certificate of incorporation provides that the Court of Chancery of the State of Delaware is the sole and exclusive forum for (1) any derivative action or proceeding brought on our behalf, (2) any action asserting a claim of breach of fiduciary duty owed by any of our directors, officers, or other employees to us or to our stockholders, (3) any action asserting a claim against us arising under the Delaware General Corporation Law or under our amended and restated certificate of incorporation or bylaws, or (4) any action against us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pStyle w:val="TextBody"/>
        <w:bidi w:val="0"/>
        <w:spacing w:before="270" w:after="283"/>
        <w:jc w:val="left"/>
        <w:rPr>
          <w:rFonts w:ascii="sans-serif" w:hAnsi="sans-serif"/>
          <w:b/>
          <w:color w:val="000000"/>
          <w:sz w:val="20"/>
        </w:rPr>
      </w:pPr>
      <w:r>
        <w:rPr>
          <w:rFonts w:ascii="sans-serif" w:hAnsi="sans-serif"/>
          <w:b/>
          <w:color w:val="000000"/>
          <w:sz w:val="20"/>
        </w:rPr>
        <w:t>General Risk Factors</w:t>
      </w:r>
    </w:p>
    <w:p>
      <w:pPr>
        <w:pStyle w:val="TextBody"/>
        <w:bidi w:val="0"/>
        <w:spacing w:before="270" w:after="283"/>
        <w:jc w:val="left"/>
        <w:rPr>
          <w:rFonts w:ascii="sans-serif" w:hAnsi="sans-serif"/>
          <w:b/>
          <w:i/>
          <w:color w:val="000000"/>
          <w:sz w:val="20"/>
        </w:rPr>
      </w:pPr>
      <w:r>
        <w:rPr>
          <w:rFonts w:ascii="sans-serif" w:hAnsi="sans-serif"/>
          <w:b/>
          <w:i/>
          <w:color w:val="000000"/>
          <w:sz w:val="20"/>
        </w:rPr>
        <w:t>We may incur additional tax liabilities related to our operations.</w:t>
      </w:r>
    </w:p>
    <w:p>
      <w:pPr>
        <w:pStyle w:val="TextBody"/>
        <w:bidi w:val="0"/>
        <w:spacing w:before="90" w:after="283"/>
        <w:jc w:val="left"/>
        <w:rPr>
          <w:rFonts w:ascii="sans-serif" w:hAnsi="sans-serif"/>
          <w:color w:val="000000"/>
          <w:sz w:val="20"/>
        </w:rPr>
      </w:pPr>
      <w:r>
        <w:rPr>
          <w:rFonts w:ascii="sans-serif" w:hAnsi="sans-serif"/>
          <w:color w:val="000000"/>
          <w:sz w:val="20"/>
        </w:rPr>
        <w:t>We have a multinational tax structure and are subject to income tax in the U.S. and various foreign jurisdictions. Our effective tax rate is influenced by many factors including changes in our operating structure, changes in the mix of our earnings among countries, our allocation of profits and losses among our subsidiaries, our intercompany transfer pricing agreements and rules relating to transfer pricing, the availability of U.S. research and development tax credits, and future changes in tax laws and regulations in the U.S. and foreign countries. For example, the OBBBA permits the expensing of certain research and development expenditures in the U.S. incurred in tax years beginning in 2025, while amortization over fifteen years continues to be required for foreign-based expenditures. Significant judgment is required in determining our tax liabilities including management’s judgment for uncertain tax positions. The Internal Revenue Service, other domestic taxing authorities, or foreign taxing authorities may disagree with our interpretation of tax laws as applied to our operations. Our reported effective tax rate and after-tax cash flows may be materially and adversely affected by tax assessments in excess of amounts accrued for our financial statements. This could materially increase our future effective tax rate thereby reducing net income and adversely impacting our results of operations for future periods.</w:t>
      </w:r>
    </w:p>
    <w:p>
      <w:pPr>
        <w:pStyle w:val="TextBody"/>
        <w:bidi w:val="0"/>
        <w:spacing w:before="270" w:after="283"/>
        <w:jc w:val="left"/>
        <w:rPr>
          <w:rFonts w:ascii="Times New Roman" w:hAnsi="Times New Roman"/>
          <w:sz w:val="20"/>
        </w:rPr>
      </w:pPr>
      <w:r>
        <w:rPr>
          <w:rFonts w:ascii="sans-serif" w:hAnsi="sans-serif"/>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We have incurred substantial losses during our history. To the extent that we continue to generate taxable losses, unused taxable losses will, subject to certain limitations, carry forward to offset future taxable income, if any, until such unused losses expire. Under Sections 382 and 383 of the Internal Revenue Code of 1986, as amended, or the IRC, if a corporation undergoes an “ownership change,” generally defined as a greater than 50% change (by value) in its equity ownership over a three-year period, the corporation’s ability to use its pre-change net operating loss carryforwards, or NOL carryforwards, and other pre-change tax attributes (such as research tax credits) to offset its post-change income may be limited. An analysis to determine limitations upon our NOL carryforwards and other pre-change tax attributes for ownership changes that have occurred previously has been performed, resulting in a permanent decrease of federal and state NOL carryforwards in the amount of $7 million. As a result of these decreases and others that may occur as a result of future ownership changes, our ability to use our pre-change NOL carryforwards and other tax attribute carryforwards to offset U.S. federal taxable income and tax liabilities is limited and may become subject to even greater limitations, which could potentially accelerate or permanently increase future federal tax liabilities for us. In addition, there may be periods during which the use of state income tax NOL carryforwards and other state tax attribute carryforwards (such as state research tax credits) are suspended or otherwise limited, which could potentially accelerate or permanently increase future state tax liabilities for us.</w:t>
      </w:r>
    </w:p>
    <w:p>
      <w:pPr>
        <w:pStyle w:val="TextBody"/>
        <w:bidi w:val="0"/>
        <w:jc w:val="center"/>
        <w:rPr>
          <w:rFonts w:ascii="sans-serif" w:hAnsi="sans-serif"/>
          <w:color w:val="000000"/>
          <w:sz w:val="20"/>
        </w:rPr>
      </w:pPr>
      <w:r>
        <w:rPr>
          <w:rFonts w:ascii="sans-serif" w:hAnsi="sans-serif"/>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sans-serif" w:hAnsi="sans-serif"/>
          <w:b/>
          <w:i/>
          <w:color w:val="000000"/>
          <w:sz w:val="20"/>
        </w:rPr>
      </w:pPr>
      <w:r>
        <w:rPr>
          <w:rFonts w:ascii="sans-serif" w:hAnsi="sans-serif"/>
          <w:b/>
          <w:i/>
          <w:color w:val="000000"/>
          <w:sz w:val="20"/>
        </w:rPr>
        <w:t>Litigation may substantially increase our costs and harm our business.</w:t>
      </w:r>
    </w:p>
    <w:p>
      <w:pPr>
        <w:pStyle w:val="TextBody"/>
        <w:bidi w:val="0"/>
        <w:spacing w:before="90" w:after="283"/>
        <w:jc w:val="left"/>
        <w:rPr>
          <w:rFonts w:ascii="sans-serif" w:hAnsi="sans-serif"/>
          <w:color w:val="000000"/>
          <w:sz w:val="20"/>
        </w:rPr>
      </w:pPr>
      <w:r>
        <w:rPr>
          <w:rFonts w:ascii="sans-serif" w:hAnsi="sans-serif"/>
          <w:color w:val="000000"/>
          <w:sz w:val="20"/>
        </w:rPr>
        <w:t>We have been, and may in the future become, party to lawsuits including, without limitation, actions, claims and proceedings in the ordinary course of business relating to our directors, officers, stockholders, intellectual property, and employment matters and policies, which has caused us to, and will cause us to continue to, incur legal fees and other costs related thereto, including expenses for the reimbursement of legal fees of officers and directors under indemnification obligations. For example, we have been defending a lawsuit filed in the U.S. District Court for the District of Maryland by the Estate of Henrietta Lacks alleging unjust enrichment arising from our receipt and use of HeLa cells. See also “Item 1. Legal Proceedings” for a description of our significant legal proceedings. The expense of defending against such claims or litigation may be significant and there can be no assurance that we will be successful in any defense. Further, the amount of time that may be required to resolve such claims or lawsuits is unpredictable, and these actions may divert management’s attention from the day-to-day operations of our business, which could adversely affect our business, results of operations, and cash flows. Litigation is subject to inherent uncertainties, and an adverse result in such matters that may arise from time to time could have a material adverse effect on our business, results of operations, and financial condition.</w:t>
      </w:r>
    </w:p>
    <w:p>
      <w:pPr>
        <w:pStyle w:val="TextBody"/>
        <w:bidi w:val="0"/>
        <w:spacing w:before="270" w:after="283"/>
        <w:jc w:val="left"/>
        <w:rPr>
          <w:rFonts w:ascii="sans-serif" w:hAnsi="sans-serif"/>
          <w:b/>
          <w:i/>
          <w:color w:val="000000"/>
          <w:sz w:val="20"/>
        </w:rPr>
      </w:pPr>
      <w:r>
        <w:rPr>
          <w:rFonts w:ascii="sans-serif" w:hAnsi="sans-serif"/>
          <w:b/>
          <w:i/>
          <w:color w:val="000000"/>
          <w:sz w:val="20"/>
        </w:rPr>
        <w:t>Our business and operations could be negatively affected if we become subject to stockholder activism or hostile bids, which could cause us to incur significant expense, hinder execution of our business strategy and impact our stock price.</w:t>
      </w:r>
    </w:p>
    <w:p>
      <w:pPr>
        <w:pStyle w:val="TextBody"/>
        <w:bidi w:val="0"/>
        <w:spacing w:before="90" w:after="283"/>
        <w:jc w:val="left"/>
        <w:rPr>
          <w:rFonts w:ascii="sans-serif" w:hAnsi="sans-serif"/>
          <w:color w:val="000000"/>
          <w:sz w:val="20"/>
        </w:rPr>
      </w:pPr>
      <w:r>
        <w:rPr>
          <w:rFonts w:ascii="sans-serif" w:hAnsi="sans-serif"/>
          <w:color w:val="000000"/>
          <w:sz w:val="20"/>
        </w:rPr>
        <w:t>Stockholder activism, which takes many forms and arises in a variety of situations, has been increasingly prevalent. Stock price declines may also increase our vulnerability to unsolicited approaches. If we become the subject of certain forms of stockholder activism, such as proxy contests or hostile bids, the attention of our management and our board of directors may be diverted from execution of our strategy. Such stockholder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stockholder matters. Our stock price could be subject to significant fluctuation or otherwise be adversely affected by the events, risks and uncertainties of any stockholder activism.</w:t>
      </w:r>
    </w:p>
    <w:p>
      <w:pPr>
        <w:pStyle w:val="TextBody"/>
        <w:bidi w:val="0"/>
        <w:spacing w:before="270" w:after="283"/>
        <w:jc w:val="left"/>
        <w:rPr>
          <w:rFonts w:ascii="sans-serif" w:hAnsi="sans-serif"/>
          <w:b/>
          <w:i/>
          <w:color w:val="000000"/>
          <w:sz w:val="20"/>
        </w:rPr>
      </w:pPr>
      <w:r>
        <w:rPr>
          <w:rFonts w:ascii="sans-serif" w:hAnsi="sans-serif"/>
          <w:b/>
          <w:i/>
          <w:color w:val="000000"/>
          <w:sz w:val="20"/>
        </w:rPr>
        <w:t>Scrutiny regarding ESG practices and disclosures, as well as existing and proposed laws and regulations related to these topics, could result in additional costs and adversely impact our business and reputation.</w:t>
      </w:r>
    </w:p>
    <w:p>
      <w:pPr>
        <w:pStyle w:val="TextBody"/>
        <w:bidi w:val="0"/>
        <w:spacing w:before="90" w:after="283"/>
        <w:jc w:val="left"/>
        <w:rPr>
          <w:rFonts w:ascii="Times New Roman" w:hAnsi="Times New Roman"/>
          <w:sz w:val="20"/>
        </w:rPr>
      </w:pPr>
      <w:r>
        <w:rPr>
          <w:rFonts w:ascii="sans-serif" w:hAnsi="sans-serif"/>
          <w:color w:val="000000"/>
          <w:sz w:val="20"/>
        </w:rPr>
        <w:t>Certain institutional and individual investors have increasingly used environmental, social, and governance, or ESG, screening criteria when making investment decisions. Investors and other stakeholders’ expectations and standards for ESG practices are varied and evolving, and may be inconsistent with our practices. It is not possible for our ESG reporting, initiatives, or practices to satisfy all stakeholders, who have varied and sometimes incompatible views on ESG matters, and our reputation, our ability to attract or retain employees or our attractiveness as an investment could be negatively impacted. Investors may seek to modify our current ESG disclosures and practices or implement policies that are costly or adverse to our business, and there can be no assurances they will not advocate, via proxy contests, media campaigns or other public or private means, for us to make certain changes or engage in certain corporate actions on these topics.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In addition, our pursuit of, or failure (actual or perceived) to pursue or fulfill, our goals, targets, and objectives or to satisfy various reporting standards within the timelines we announce, or at all, could expose us to government enforcement actions and private litigation, in addition to reputational harm. Our ability to achieve any goal or objective, including with respect to environmental and culture initiatives and compliance with ESG reporting standards, is subject to numerous risks, many of which are outside of our control. Examples of such risks include the availability and cost of technologies and products that meet sustainability and ethical supply chain standards, evolving regulatory requirements affecting ESG standards or disclosures, our ability to recruit, develop, and retain talent in our labor markets, and our ability to develop reporting processes and controls that comply with evolving standards for identifying, measuring and reporting ESG metrics. As ESG best-practices, reporting standards, and disclosure requirements continue to develop, we may incur increasing costs related to maintaining or achieving our ESG goals in addition to ESG monitoring and reporting. Further, as a recipient of government funding, we may also risk the loss or rescission of such funding, or be required to modify our ongoing research or business practices, to the extent federal or state procurement policies or priorities evolve, including as it relates to the consideration of diversity, environmental, or other ESG-related criteria or considerations.</w:t>
      </w:r>
    </w:p>
    <w:p>
      <w:pPr>
        <w:pStyle w:val="TextBody"/>
        <w:bidi w:val="0"/>
        <w:spacing w:before="270" w:after="283"/>
        <w:jc w:val="left"/>
        <w:rPr>
          <w:rFonts w:ascii="Times New Roman" w:hAnsi="Times New Roman"/>
          <w:sz w:val="20"/>
        </w:rPr>
      </w:pPr>
      <w:bookmarkStart w:id="17" w:name="item_2_unregistered"/>
      <w:bookmarkEnd w:id="17"/>
      <w:r>
        <w:rPr>
          <w:rFonts w:ascii="sans-serif" w:hAnsi="sans-serif"/>
          <w:b/>
          <w:color w:val="000000"/>
          <w:sz w:val="20"/>
        </w:rPr>
        <w:t xml:space="preserve">Item 2. </w:t>
      </w:r>
      <w:r>
        <w:rPr>
          <w:rFonts w:ascii="sans-serif" w:hAnsi="sans-serif"/>
          <w:b/>
          <w:i/>
          <w:color w:val="000000"/>
          <w:sz w:val="20"/>
        </w:rPr>
        <w:t>Unregistered Sales of Equity Securities and Use of Proceeds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None.</w:t>
      </w:r>
    </w:p>
    <w:p>
      <w:pPr>
        <w:pStyle w:val="TextBody"/>
        <w:bidi w:val="0"/>
        <w:spacing w:before="270" w:after="283"/>
        <w:jc w:val="left"/>
        <w:rPr>
          <w:rFonts w:ascii="Times New Roman" w:hAnsi="Times New Roman"/>
          <w:sz w:val="20"/>
        </w:rPr>
      </w:pPr>
      <w:bookmarkStart w:id="18" w:name="item_3_defaults"/>
      <w:bookmarkEnd w:id="18"/>
      <w:r>
        <w:rPr>
          <w:rFonts w:ascii="sans-serif" w:hAnsi="sans-serif"/>
          <w:b/>
          <w:color w:val="000000"/>
          <w:sz w:val="20"/>
        </w:rPr>
        <w:t xml:space="preserve">Item 3. </w:t>
      </w:r>
      <w:r>
        <w:rPr>
          <w:rFonts w:ascii="sans-serif" w:hAnsi="sans-serif"/>
          <w:b/>
          <w:i/>
          <w:color w:val="000000"/>
          <w:sz w:val="20"/>
        </w:rPr>
        <w:t>Defaults Upon Senior Securities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None.</w:t>
      </w:r>
      <w:r>
        <w:rPr>
          <w:rFonts w:ascii="Times New Roman" w:hAnsi="Times New Roman"/>
          <w:color w:val="000000"/>
          <w:sz w:val="20"/>
        </w:rPr>
        <w:t xml:space="preserve"> </w:t>
      </w:r>
    </w:p>
    <w:p>
      <w:pPr>
        <w:pStyle w:val="TextBody"/>
        <w:bidi w:val="0"/>
        <w:jc w:val="center"/>
        <w:rPr>
          <w:rFonts w:ascii="sans-serif" w:hAnsi="sans-serif"/>
          <w:color w:val="000000"/>
          <w:sz w:val="20"/>
        </w:rPr>
      </w:pPr>
      <w:r>
        <w:rPr>
          <w:rFonts w:ascii="sans-serif" w:hAnsi="sans-serif"/>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bookmarkStart w:id="19" w:name="item_4_mine_safe"/>
      <w:bookmarkEnd w:id="19"/>
      <w:r>
        <w:rPr>
          <w:rFonts w:ascii="sans-serif" w:hAnsi="sans-serif"/>
          <w:b/>
          <w:color w:val="000000"/>
          <w:sz w:val="20"/>
        </w:rPr>
        <w:t xml:space="preserve">Item 4. </w:t>
      </w:r>
      <w:r>
        <w:rPr>
          <w:rFonts w:ascii="sans-serif" w:hAnsi="sans-serif"/>
          <w:b/>
          <w:i/>
          <w:color w:val="000000"/>
          <w:sz w:val="20"/>
        </w:rPr>
        <w:t>Mine Safety Disclosures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Not applicable.</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bookmarkStart w:id="20" w:name="item_5_other_information"/>
      <w:bookmarkEnd w:id="20"/>
      <w:r>
        <w:rPr>
          <w:rFonts w:ascii="sans-serif" w:hAnsi="sans-serif"/>
          <w:b/>
          <w:color w:val="000000"/>
          <w:sz w:val="20"/>
        </w:rPr>
        <w:t xml:space="preserve">Item 5. </w:t>
      </w:r>
      <w:r>
        <w:rPr>
          <w:rFonts w:ascii="sans-serif" w:hAnsi="sans-serif"/>
          <w:b/>
          <w:i/>
          <w:color w:val="000000"/>
          <w:sz w:val="20"/>
        </w:rPr>
        <w:t>Other Information</w:t>
      </w:r>
    </w:p>
    <w:p>
      <w:pPr>
        <w:pStyle w:val="TextBody"/>
        <w:bidi w:val="0"/>
        <w:spacing w:before="90" w:after="160"/>
        <w:jc w:val="left"/>
        <w:rPr>
          <w:rFonts w:ascii="sans-serif" w:hAnsi="sans-serif"/>
          <w:color w:val="000000"/>
          <w:sz w:val="20"/>
        </w:rPr>
      </w:pPr>
      <w:r>
        <w:rPr>
          <w:rFonts w:ascii="sans-serif" w:hAnsi="sans-serif"/>
          <w:color w:val="000000"/>
          <w:sz w:val="20"/>
        </w:rPr>
        <w:t>During the three months ended June 30, 2026 the following directors and Section 16 officers adopted a Rule 10b5-1 trading arrangement intended to satisfy the affirmative defense conditions of Rule 10b5-1(c).</w:t>
      </w:r>
    </w:p>
    <w:tbl>
      <w:tblPr>
        <w:tblW w:w="10205" w:type="dxa"/>
        <w:jc w:val="left"/>
        <w:tblInd w:w="0" w:type="dxa"/>
        <w:tblLayout w:type="fixed"/>
        <w:tblCellMar>
          <w:top w:w="28" w:type="dxa"/>
          <w:left w:w="28" w:type="dxa"/>
          <w:bottom w:w="28" w:type="dxa"/>
          <w:right w:w="28" w:type="dxa"/>
        </w:tblCellMar>
      </w:tblPr>
      <w:tblGrid>
        <w:gridCol w:w="3292"/>
        <w:gridCol w:w="1232"/>
        <w:gridCol w:w="4475"/>
        <w:gridCol w:w="1206"/>
      </w:tblGrid>
      <w:tr>
        <w:trPr/>
        <w:tc>
          <w:tcPr>
            <w:tcW w:w="329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44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r>
      <w:tr>
        <w:trPr/>
        <w:tc>
          <w:tcPr>
            <w:tcW w:w="3292" w:type="dxa"/>
            <w:tcBorders>
              <w:top w:val="single" w:sz="4" w:space="0" w:color="000000"/>
              <w:left w:val="single" w:sz="4" w:space="0" w:color="000000"/>
              <w:bottom w:val="single" w:sz="4" w:space="0" w:color="000000"/>
              <w:right w:val="single" w:sz="4" w:space="0" w:color="000000"/>
            </w:tcBorders>
            <w:shd w:fill="FFFFFF" w:val="clear"/>
            <w:tcMar>
              <w:left w:w="115" w:type="dxa"/>
              <w:right w:w="115"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Name and Title</w:t>
            </w:r>
          </w:p>
        </w:tc>
        <w:tc>
          <w:tcPr>
            <w:tcW w:w="1232" w:type="dxa"/>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Date Adopted</w:t>
            </w:r>
          </w:p>
        </w:tc>
        <w:tc>
          <w:tcPr>
            <w:tcW w:w="4475" w:type="dxa"/>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Aggregate Number of Shares of Common Stock to be Sold (Subject to Certain Conditions)</w:t>
            </w:r>
          </w:p>
        </w:tc>
        <w:tc>
          <w:tcPr>
            <w:tcW w:w="1206" w:type="dxa"/>
            <w:tcBorders>
              <w:top w:val="single" w:sz="4" w:space="0" w:color="000000"/>
              <w:bottom w:val="single" w:sz="4" w:space="0" w:color="000000"/>
              <w:right w:val="single" w:sz="4" w:space="0" w:color="000000"/>
            </w:tcBorders>
            <w:shd w:fill="FFFFFF" w:val="clear"/>
            <w:tcMar>
              <w:left w:w="0" w:type="dxa"/>
              <w:right w:w="115"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Plan End Date</w:t>
            </w:r>
            <w:r>
              <w:rPr>
                <w:rFonts w:ascii="Times New Roman" w:hAnsi="Times New Roman"/>
                <w:color w:val="000000"/>
                <w:sz w:val="20"/>
              </w:rPr>
              <w:t xml:space="preserve"> </w:t>
            </w:r>
          </w:p>
        </w:tc>
      </w:tr>
      <w:tr>
        <w:trPr/>
        <w:tc>
          <w:tcPr>
            <w:tcW w:w="329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jc w:val="left"/>
              <w:rPr>
                <w:rFonts w:ascii="Times New Roman" w:hAnsi="Times New Roman"/>
                <w:sz w:val="20"/>
              </w:rPr>
            </w:pPr>
            <w:r>
              <w:rPr>
                <w:rFonts w:ascii="sans-serif" w:hAnsi="sans-serif"/>
                <w:color w:val="000000"/>
                <w:sz w:val="20"/>
              </w:rPr>
              <w:t>Howard Horn,</w:t>
            </w:r>
            <w:r>
              <w:rPr>
                <w:rFonts w:ascii="Times New Roman" w:hAnsi="Times New Roman"/>
                <w:color w:val="000000"/>
                <w:sz w:val="20"/>
              </w:rPr>
              <w:t xml:space="preserve"> </w:t>
            </w:r>
          </w:p>
          <w:p>
            <w:pPr>
              <w:pStyle w:val="TableContents"/>
              <w:bidi w:val="0"/>
              <w:jc w:val="left"/>
              <w:rPr>
                <w:rFonts w:ascii="sans-serif" w:hAnsi="sans-serif"/>
                <w:color w:val="000000"/>
                <w:sz w:val="20"/>
              </w:rPr>
            </w:pPr>
            <w:r>
              <w:rPr>
                <w:rFonts w:ascii="sans-serif" w:hAnsi="sans-serif"/>
                <w:color w:val="000000"/>
                <w:sz w:val="20"/>
              </w:rPr>
              <w:t>Executive Vice President, Chief Financial Officer, Corporate Strategy</w:t>
            </w:r>
          </w:p>
          <w:p>
            <w:pPr>
              <w:pStyle w:val="TableContents"/>
              <w:bidi w:val="0"/>
              <w:spacing w:before="0" w:after="283"/>
              <w:jc w:val="left"/>
              <w:rPr/>
            </w:pPr>
            <w:r>
              <w:rPr/>
              <w:t> </w:t>
            </w:r>
          </w:p>
        </w:tc>
        <w:tc>
          <w:tcPr>
            <w:tcW w:w="123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June 5, 2026</w:t>
            </w:r>
          </w:p>
        </w:tc>
        <w:tc>
          <w:tcPr>
            <w:tcW w:w="447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sz w:val="20"/>
              </w:rPr>
            </w:pPr>
            <w:r>
              <w:rPr>
                <w:rFonts w:ascii="sans-serif" w:hAnsi="sans-serif"/>
                <w:color w:val="000000"/>
                <w:sz w:val="20"/>
              </w:rPr>
              <w:t>Up to 9,394</w:t>
            </w:r>
            <w:r>
              <w:rPr>
                <w:rFonts w:ascii="Times New Roman" w:hAnsi="Times New Roman"/>
                <w:color w:val="000000"/>
                <w:sz w:val="20"/>
              </w:rPr>
              <w:t> </w:t>
            </w:r>
            <w:r>
              <w:rPr>
                <w:rFonts w:ascii="sans-serif" w:hAnsi="sans-serif"/>
                <w:color w:val="000000"/>
                <w:sz w:val="20"/>
              </w:rPr>
              <w:t>shares</w:t>
            </w:r>
            <w:r>
              <w:rPr>
                <w:rFonts w:ascii="Times New Roman" w:hAnsi="Times New Roman"/>
                <w:color w:val="000000"/>
                <w:sz w:val="20"/>
              </w:rPr>
              <w:t xml:space="preserve"> </w:t>
            </w:r>
          </w:p>
        </w:tc>
        <w:tc>
          <w:tcPr>
            <w:tcW w:w="12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June 4, 2027</w:t>
            </w:r>
          </w:p>
        </w:tc>
      </w:tr>
      <w:tr>
        <w:trPr/>
        <w:tc>
          <w:tcPr>
            <w:tcW w:w="329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jc w:val="left"/>
              <w:rPr>
                <w:rFonts w:ascii="sans-serif" w:hAnsi="sans-serif"/>
                <w:color w:val="000000"/>
                <w:sz w:val="20"/>
              </w:rPr>
            </w:pPr>
            <w:r>
              <w:rPr>
                <w:rFonts w:ascii="sans-serif" w:hAnsi="sans-serif"/>
                <w:color w:val="000000"/>
                <w:sz w:val="20"/>
              </w:rPr>
              <w:t>Theodore Huizenga</w:t>
            </w:r>
          </w:p>
          <w:p>
            <w:pPr>
              <w:pStyle w:val="TableContents"/>
              <w:bidi w:val="0"/>
              <w:spacing w:before="0" w:after="283"/>
              <w:jc w:val="left"/>
              <w:rPr>
                <w:rFonts w:ascii="sans-serif" w:hAnsi="sans-serif"/>
                <w:color w:val="000000"/>
                <w:sz w:val="20"/>
              </w:rPr>
            </w:pPr>
            <w:r>
              <w:rPr>
                <w:rFonts w:ascii="sans-serif" w:hAnsi="sans-serif"/>
                <w:color w:val="000000"/>
                <w:sz w:val="20"/>
              </w:rPr>
              <w:t>Senior Vice President and Chief Accounting Officer</w:t>
            </w:r>
          </w:p>
        </w:tc>
        <w:tc>
          <w:tcPr>
            <w:tcW w:w="1232"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sans-serif" w:hAnsi="sans-serif"/>
                <w:color w:val="000000"/>
                <w:sz w:val="20"/>
              </w:rPr>
            </w:pPr>
            <w:r>
              <w:rPr>
                <w:rFonts w:ascii="sans-serif" w:hAnsi="sans-serif"/>
                <w:color w:val="000000"/>
                <w:sz w:val="20"/>
              </w:rPr>
              <w:t>June 4, 2026</w:t>
            </w:r>
          </w:p>
          <w:p>
            <w:pPr>
              <w:pStyle w:val="TableContents"/>
              <w:bidi w:val="0"/>
              <w:spacing w:before="0" w:after="283"/>
              <w:jc w:val="center"/>
              <w:rPr/>
            </w:pPr>
            <w:r>
              <w:rPr/>
              <w:t> </w:t>
            </w:r>
          </w:p>
        </w:tc>
        <w:tc>
          <w:tcPr>
            <w:tcW w:w="4475"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Times New Roman" w:hAnsi="Times New Roman"/>
                <w:sz w:val="20"/>
              </w:rPr>
            </w:pPr>
            <w:r>
              <w:rPr>
                <w:rFonts w:ascii="sans-serif" w:hAnsi="sans-serif"/>
                <w:color w:val="000000"/>
                <w:sz w:val="20"/>
              </w:rPr>
              <w:t>Up to 4,726</w:t>
            </w:r>
            <w:r>
              <w:rPr>
                <w:rFonts w:ascii="Times New Roman" w:hAnsi="Times New Roman"/>
                <w:color w:val="000000"/>
                <w:sz w:val="20"/>
              </w:rPr>
              <w:t> </w:t>
            </w:r>
            <w:r>
              <w:rPr>
                <w:rFonts w:ascii="sans-serif" w:hAnsi="sans-serif"/>
                <w:color w:val="000000"/>
                <w:sz w:val="20"/>
              </w:rPr>
              <w:t>shares</w:t>
            </w:r>
          </w:p>
          <w:p>
            <w:pPr>
              <w:pStyle w:val="TableContents"/>
              <w:bidi w:val="0"/>
              <w:spacing w:before="0" w:after="283"/>
              <w:jc w:val="center"/>
              <w:rPr/>
            </w:pPr>
            <w:r>
              <w:rPr/>
              <w:t> </w:t>
            </w:r>
          </w:p>
        </w:tc>
        <w:tc>
          <w:tcPr>
            <w:tcW w:w="1206"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sans-serif" w:hAnsi="sans-serif"/>
                <w:color w:val="000000"/>
                <w:sz w:val="20"/>
              </w:rPr>
            </w:pPr>
            <w:r>
              <w:rPr>
                <w:rFonts w:ascii="sans-serif" w:hAnsi="sans-serif"/>
                <w:color w:val="000000"/>
                <w:sz w:val="20"/>
              </w:rPr>
              <w:t>January 31, 2027</w:t>
            </w:r>
          </w:p>
          <w:p>
            <w:pPr>
              <w:pStyle w:val="TableContents"/>
              <w:bidi w:val="0"/>
              <w:spacing w:before="0" w:after="283"/>
              <w:jc w:val="center"/>
              <w:rPr/>
            </w:pPr>
            <w:r>
              <w:rPr/>
              <w:t> </w:t>
            </w:r>
          </w:p>
        </w:tc>
      </w:tr>
      <w:tr>
        <w:trPr/>
        <w:tc>
          <w:tcPr>
            <w:tcW w:w="329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jc w:val="left"/>
              <w:rPr>
                <w:rFonts w:ascii="Times New Roman" w:hAnsi="Times New Roman"/>
                <w:sz w:val="20"/>
              </w:rPr>
            </w:pPr>
            <w:r>
              <w:rPr>
                <w:rFonts w:ascii="sans-serif" w:hAnsi="sans-serif"/>
                <w:color w:val="000000"/>
                <w:sz w:val="20"/>
              </w:rPr>
              <w:t>John Pinion,</w:t>
            </w:r>
            <w:r>
              <w:rPr>
                <w:rFonts w:ascii="Times New Roman" w:hAnsi="Times New Roman"/>
                <w:color w:val="000000"/>
                <w:sz w:val="20"/>
              </w:rPr>
              <w:t xml:space="preserve"> </w:t>
            </w:r>
          </w:p>
          <w:p>
            <w:pPr>
              <w:pStyle w:val="TableContents"/>
              <w:bidi w:val="0"/>
              <w:spacing w:before="0" w:after="283"/>
              <w:jc w:val="left"/>
              <w:rPr>
                <w:rFonts w:ascii="sans-serif" w:hAnsi="sans-serif"/>
                <w:color w:val="000000"/>
                <w:sz w:val="20"/>
              </w:rPr>
            </w:pPr>
            <w:r>
              <w:rPr>
                <w:rFonts w:ascii="sans-serif" w:hAnsi="sans-serif"/>
                <w:color w:val="000000"/>
                <w:sz w:val="20"/>
              </w:rPr>
              <w:t>EVP, Chief Quality Officer and Translational Sciences</w:t>
            </w:r>
          </w:p>
        </w:tc>
        <w:tc>
          <w:tcPr>
            <w:tcW w:w="123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May 19, 2026</w:t>
            </w:r>
          </w:p>
        </w:tc>
        <w:tc>
          <w:tcPr>
            <w:tcW w:w="447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sz w:val="20"/>
              </w:rPr>
            </w:pPr>
            <w:r>
              <w:rPr>
                <w:rFonts w:ascii="sans-serif" w:hAnsi="sans-serif"/>
                <w:color w:val="000000"/>
                <w:sz w:val="20"/>
              </w:rPr>
              <w:t>Up to 19,936</w:t>
            </w:r>
            <w:r>
              <w:rPr>
                <w:rFonts w:ascii="Times New Roman" w:hAnsi="Times New Roman"/>
                <w:color w:val="000000"/>
                <w:sz w:val="20"/>
              </w:rPr>
              <w:t> </w:t>
            </w:r>
            <w:r>
              <w:rPr>
                <w:rFonts w:ascii="sans-serif" w:hAnsi="sans-serif"/>
                <w:color w:val="000000"/>
                <w:sz w:val="20"/>
              </w:rPr>
              <w:t>shares</w:t>
            </w:r>
          </w:p>
        </w:tc>
        <w:tc>
          <w:tcPr>
            <w:tcW w:w="120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May 18, 2027</w:t>
            </w:r>
          </w:p>
        </w:tc>
      </w:tr>
    </w:tbl>
    <w:p>
      <w:pPr>
        <w:pStyle w:val="TextBody"/>
        <w:bidi w:val="0"/>
        <w:jc w:val="left"/>
        <w:rPr/>
      </w:pPr>
      <w:r>
        <w:rPr/>
        <w:t> </w:t>
      </w:r>
    </w:p>
    <w:p>
      <w:pPr>
        <w:pStyle w:val="TextBody"/>
        <w:bidi w:val="0"/>
        <w:jc w:val="left"/>
        <w:rPr/>
      </w:pPr>
      <w:r>
        <w:rPr/>
        <w:t> </w:t>
      </w:r>
    </w:p>
    <w:p>
      <w:pPr>
        <w:pStyle w:val="TextBody"/>
        <w:bidi w:val="0"/>
        <w:spacing w:before="270" w:after="283"/>
        <w:jc w:val="left"/>
        <w:rPr>
          <w:rFonts w:ascii="Times New Roman" w:hAnsi="Times New Roman"/>
          <w:sz w:val="20"/>
        </w:rPr>
      </w:pPr>
      <w:bookmarkStart w:id="21" w:name="item_6_exhibits"/>
      <w:bookmarkEnd w:id="21"/>
      <w:r>
        <w:rPr>
          <w:rFonts w:ascii="sans-serif" w:hAnsi="sans-serif"/>
          <w:b/>
          <w:color w:val="000000"/>
          <w:sz w:val="20"/>
        </w:rPr>
        <w:t xml:space="preserve">Item 6. </w:t>
      </w:r>
      <w:r>
        <w:rPr>
          <w:rFonts w:ascii="sans-serif" w:hAnsi="sans-serif"/>
          <w:b/>
          <w:i/>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24"/>
        <w:gridCol w:w="146"/>
        <w:gridCol w:w="4434"/>
        <w:gridCol w:w="146"/>
        <w:gridCol w:w="661"/>
        <w:gridCol w:w="146"/>
        <w:gridCol w:w="723"/>
        <w:gridCol w:w="146"/>
        <w:gridCol w:w="931"/>
        <w:gridCol w:w="146"/>
        <w:gridCol w:w="1602"/>
      </w:tblGrid>
      <w:tr>
        <w:trPr/>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11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07" w:type="dxa"/>
            <w:gridSpan w:val="5"/>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Exhibit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34"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Form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Date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02"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Furnished or Filed Herewith</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4"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sans-serif" w:hAnsi="sans-serif"/>
                  <w:color w:val="0000FF"/>
                  <w:sz w:val="18"/>
                  <w:u w:val="single"/>
                </w:rPr>
                <w:t>Amended and Restated Certificate of Incorporation</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2/5/2014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sans-serif" w:hAnsi="sans-serif"/>
                  <w:color w:val="0000FF"/>
                  <w:sz w:val="18"/>
                  <w:u w:val="single"/>
                </w:rPr>
                <w:t>Second 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12/23/2023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sans-serif" w:hAnsi="sans-serif"/>
                  <w:color w:val="0000FF"/>
                  <w:sz w:val="18"/>
                  <w:u w:val="single"/>
                </w:rPr>
                <w:t>Form of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S-1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11/8/2013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4"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sans-serif" w:hAnsi="sans-serif"/>
                  <w:color w:val="0000FF"/>
                  <w:sz w:val="18"/>
                  <w:u w:val="single"/>
                </w:rPr>
                <w:t>Form of Indenture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S-3ASR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2/21/2024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4"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sans-serif" w:hAnsi="sans-serif"/>
                  <w:color w:val="0000FF"/>
                  <w:sz w:val="18"/>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10/23/2023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4"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sans-serif" w:hAnsi="sans-serif"/>
                  <w:color w:val="0000FF"/>
                  <w:sz w:val="18"/>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6/17/2024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4"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sans-serif" w:hAnsi="sans-serif"/>
                  <w:color w:val="0000FF"/>
                  <w:sz w:val="18"/>
                  <w:u w:val="single"/>
                </w:rPr>
                <w:t>Third Amended and Restated 2023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3"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5/18/2026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4" w:type="dxa"/>
            <w:tcBorders/>
            <w:tcMar>
              <w:top w:w="0" w:type="dxa"/>
              <w:left w:w="0" w:type="dxa"/>
              <w:bottom w:w="0" w:type="dxa"/>
              <w:right w:w="0" w:type="dxa"/>
            </w:tcMar>
            <w:vAlign w:val="center"/>
          </w:tcPr>
          <w:p>
            <w:pPr>
              <w:pStyle w:val="TableContents"/>
              <w:bidi w:val="0"/>
              <w:spacing w:before="0" w:after="283"/>
              <w:jc w:val="left"/>
              <w:rPr/>
            </w:pPr>
            <w:hyperlink w:anchor="rare-ex31_1.htm">
              <w:r>
                <w:rPr>
                  <w:rStyle w:val="InternetLink"/>
                  <w:rFonts w:ascii="sans-serif" w:hAnsi="sans-serif"/>
                  <w:color w:val="0000FF"/>
                  <w:sz w:val="18"/>
                  <w:u w:val="single"/>
                </w:rPr>
                <w:t>Certification of Principal Executive Officer Required Under Rule 13a-14(a) or Rule 15d-14(a) of the Exchange Act</w:t>
              </w:r>
            </w:hyperlink>
            <w:hyperlink w:anchor="rare-ex31_1.htm">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X</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4" w:type="dxa"/>
            <w:tcBorders/>
            <w:tcMar>
              <w:top w:w="0" w:type="dxa"/>
              <w:left w:w="0" w:type="dxa"/>
              <w:bottom w:w="0" w:type="dxa"/>
              <w:right w:w="0" w:type="dxa"/>
            </w:tcMar>
            <w:vAlign w:val="center"/>
          </w:tcPr>
          <w:p>
            <w:pPr>
              <w:pStyle w:val="TableContents"/>
              <w:bidi w:val="0"/>
              <w:spacing w:before="0" w:after="283"/>
              <w:jc w:val="left"/>
              <w:rPr/>
            </w:pPr>
            <w:hyperlink w:anchor="rare-ex31_2.htm">
              <w:r>
                <w:rPr>
                  <w:rStyle w:val="InternetLink"/>
                  <w:rFonts w:ascii="sans-serif" w:hAnsi="sans-serif"/>
                  <w:color w:val="0000FF"/>
                  <w:sz w:val="18"/>
                  <w:u w:val="single"/>
                </w:rPr>
                <w:t>Certification of Principal Financial Officer Required Under Rule 13a-14(a) or Rule 15d-14(a) of the Exchange Act</w:t>
              </w:r>
            </w:hyperlink>
            <w:hyperlink w:anchor="rare-ex31_2.htm">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X</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color w:val="000000"/>
                <w:sz w:val="18"/>
              </w:rPr>
              <w:t>32.1</w:t>
            </w:r>
            <w:r>
              <w:rPr>
                <w:rFonts w:ascii="sans-serif" w:hAnsi="sans-serif"/>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4" w:type="dxa"/>
            <w:tcBorders/>
            <w:tcMar>
              <w:top w:w="0" w:type="dxa"/>
              <w:left w:w="0" w:type="dxa"/>
              <w:bottom w:w="0" w:type="dxa"/>
              <w:right w:w="0" w:type="dxa"/>
            </w:tcMar>
            <w:vAlign w:val="center"/>
          </w:tcPr>
          <w:p>
            <w:pPr>
              <w:pStyle w:val="TableContents"/>
              <w:bidi w:val="0"/>
              <w:spacing w:before="0" w:after="283"/>
              <w:jc w:val="left"/>
              <w:rPr/>
            </w:pPr>
            <w:hyperlink w:anchor="rare-ex32_1.htm">
              <w:r>
                <w:rPr>
                  <w:rStyle w:val="InternetLink"/>
                  <w:rFonts w:ascii="sans-serif" w:hAnsi="sans-serif"/>
                  <w:color w:val="0000FF"/>
                  <w:sz w:val="18"/>
                  <w:u w:val="single"/>
                </w:rPr>
                <w:t>Certification of Principal Executive Officer and Principal Financial Officer Required Under Rule 13a-14(b) or Rule 15d-14(b) of the Exchange Act and 18 U.S.C.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tcMar>
              <w:top w:w="0" w:type="dxa"/>
              <w:left w:w="0" w:type="dxa"/>
              <w:bottom w:w="0" w:type="dxa"/>
              <w:right w:w="0" w:type="dxa"/>
            </w:tcMar>
            <w:vAlign w:val="center"/>
          </w:tcPr>
          <w:p>
            <w:pPr>
              <w:pStyle w:val="TableContents"/>
              <w:bidi w:val="0"/>
              <w:jc w:val="center"/>
              <w:rPr>
                <w:rFonts w:ascii="sans-serif" w:hAnsi="sans-serif"/>
                <w:color w:val="000000"/>
                <w:sz w:val="18"/>
              </w:rPr>
            </w:pPr>
            <w:r>
              <w:rPr>
                <w:rFonts w:ascii="sans-serif" w:hAnsi="sans-serif"/>
                <w:color w:val="000000"/>
                <w:sz w:val="18"/>
              </w:rPr>
              <w:t>X</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XBRL Instance Document, formatted in Inline XBRL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X</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X</w:t>
            </w:r>
          </w:p>
        </w:tc>
      </w:tr>
      <w:tr>
        <w:trPr/>
        <w:tc>
          <w:tcPr>
            <w:tcW w:w="112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Cover Page Interactive Data File, formatted in Inline XBRL (included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 Certain identified information has been omitted by means of marking such information with asterisks in reliance on Item 601(b)(10)(iv) of Regulation S-K because it is both (i) not material and (ii) the type that the registrant treats as private or confidential.</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 Indicates management contract or compensatory plan</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 The certification attached as Exhibit 32.1 that accompanies this Quarterly Report is furnished to, and not deemed filed with, the SEC and is not to be incorporated by reference into any filing of the Registrant under the Securities Act or the Exchange Act, whether made before or after the date of this Form 10-Q, irrespective of any general incorporation language contained in such filing.</w:t>
      </w:r>
    </w:p>
    <w:p>
      <w:pPr>
        <w:pStyle w:val="TextBody"/>
        <w:bidi w:val="0"/>
        <w:jc w:val="center"/>
        <w:rPr>
          <w:rFonts w:ascii="sans-serif" w:hAnsi="sans-serif"/>
          <w:color w:val="000000"/>
          <w:sz w:val="20"/>
        </w:rPr>
      </w:pPr>
      <w:r>
        <w:rPr>
          <w:rFonts w:ascii="sans-serif" w:hAnsi="sans-serif"/>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sans-serif" w:hAnsi="sans-serif"/>
          <w:b/>
          <w:color w:val="000000"/>
          <w:sz w:val="20"/>
        </w:rPr>
      </w:pPr>
      <w:bookmarkStart w:id="22" w:name="signatures"/>
      <w:bookmarkEnd w:id="22"/>
      <w:r>
        <w:rPr>
          <w:rFonts w:ascii="sans-serif" w:hAnsi="sans-serif"/>
          <w:b/>
          <w:color w:val="000000"/>
          <w:sz w:val="20"/>
        </w:rPr>
        <w:t>SIGNATURES</w:t>
      </w:r>
    </w:p>
    <w:p>
      <w:pPr>
        <w:pStyle w:val="TextBody"/>
        <w:bidi w:val="0"/>
        <w:spacing w:before="90" w:after="283"/>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9524" w:type="dxa"/>
        <w:jc w:val="left"/>
        <w:tblInd w:w="0" w:type="dxa"/>
        <w:tblLayout w:type="fixed"/>
        <w:tblCellMar>
          <w:top w:w="28" w:type="dxa"/>
          <w:left w:w="28" w:type="dxa"/>
          <w:bottom w:w="28" w:type="dxa"/>
          <w:right w:w="28" w:type="dxa"/>
        </w:tblCellMar>
      </w:tblPr>
      <w:tblGrid>
        <w:gridCol w:w="2161"/>
        <w:gridCol w:w="146"/>
        <w:gridCol w:w="421"/>
        <w:gridCol w:w="679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ULTRAGENYX PHARMACEUTICAL I</w:t>
            </w:r>
            <w:r>
              <w:rPr>
                <w:rFonts w:ascii="sans-serif" w:hAnsi="sans-serif"/>
                <w:smallCaps/>
                <w:color w:val="000000"/>
                <w:sz w:val="20"/>
              </w:rPr>
              <w:t>NC</w:t>
            </w:r>
            <w:r>
              <w:rPr>
                <w:rFonts w:ascii="sans-serif" w:hAnsi="sans-serif"/>
                <w:color w:val="000000"/>
                <w:sz w:val="20"/>
              </w:rPr>
              <w:t>.</w:t>
            </w:r>
            <w:r>
              <w:rPr>
                <w:rFonts w:ascii="Times New Roman" w:hAnsi="Times New Roman"/>
                <w:color w:val="000000"/>
                <w:sz w:val="20"/>
              </w:rPr>
              <w:t xml:space="preserve"> </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6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 Emil D. Kakkis</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Emil D. Kakkis, M.D., Ph.D.</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jc w:val="center"/>
              <w:rPr>
                <w:rFonts w:ascii="sans-serif" w:hAnsi="sans-serif"/>
                <w:color w:val="000000"/>
                <w:sz w:val="20"/>
              </w:rPr>
            </w:pPr>
            <w:r>
              <w:rPr>
                <w:rFonts w:ascii="sans-serif" w:hAnsi="sans-serif"/>
                <w:color w:val="000000"/>
                <w:sz w:val="20"/>
              </w:rPr>
              <w:t>President and Chief Executive Officer and Director</w:t>
            </w:r>
          </w:p>
          <w:p>
            <w:pPr>
              <w:pStyle w:val="TableContents"/>
              <w:bidi w:val="0"/>
              <w:spacing w:before="0" w:after="283"/>
              <w:jc w:val="center"/>
              <w:rPr>
                <w:rFonts w:ascii="sans-serif" w:hAnsi="sans-serif"/>
                <w:color w:val="000000"/>
                <w:sz w:val="20"/>
              </w:rPr>
            </w:pPr>
            <w:r>
              <w:rPr>
                <w:rFonts w:ascii="sans-serif" w:hAnsi="sans-serif"/>
                <w:color w:val="000000"/>
                <w:sz w:val="20"/>
              </w:rPr>
              <w:t>(Principal Executive Officer)</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6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 Howard Horn</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Howard Horn</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jc w:val="center"/>
              <w:rPr>
                <w:rFonts w:ascii="sans-serif" w:hAnsi="sans-serif"/>
                <w:color w:val="000000"/>
                <w:sz w:val="20"/>
              </w:rPr>
            </w:pPr>
            <w:r>
              <w:rPr>
                <w:rFonts w:ascii="sans-serif" w:hAnsi="sans-serif"/>
                <w:color w:val="000000"/>
                <w:sz w:val="20"/>
              </w:rPr>
              <w:t>Executive Vice President, Chief Financial Officer, Corporate Strategy</w:t>
            </w:r>
          </w:p>
          <w:p>
            <w:pPr>
              <w:pStyle w:val="TableContents"/>
              <w:bidi w:val="0"/>
              <w:spacing w:before="0" w:after="283"/>
              <w:jc w:val="center"/>
              <w:rPr>
                <w:rFonts w:ascii="sans-serif" w:hAnsi="sans-serif"/>
                <w:color w:val="000000"/>
                <w:sz w:val="20"/>
              </w:rPr>
            </w:pPr>
            <w:r>
              <w:rPr>
                <w:rFonts w:ascii="sans-serif" w:hAnsi="sans-serif"/>
                <w:color w:val="000000"/>
                <w:sz w:val="20"/>
              </w:rPr>
              <w:t>(Principal Financial Officer)</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07"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4, 2026</w:t>
            </w:r>
          </w:p>
        </w:tc>
        <w:tc>
          <w:tcPr>
            <w:tcW w:w="4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6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 Theodore A. Huizenga</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Theodore A. Huizenga</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796" w:type="dxa"/>
            <w:tcBorders/>
            <w:tcMar>
              <w:top w:w="0" w:type="dxa"/>
              <w:left w:w="0" w:type="dxa"/>
              <w:bottom w:w="0" w:type="dxa"/>
              <w:right w:w="0" w:type="dxa"/>
            </w:tcMar>
            <w:vAlign w:val="center"/>
          </w:tcPr>
          <w:p>
            <w:pPr>
              <w:pStyle w:val="TableContents"/>
              <w:bidi w:val="0"/>
              <w:jc w:val="center"/>
              <w:rPr>
                <w:rFonts w:ascii="sans-serif" w:hAnsi="sans-serif"/>
                <w:color w:val="000000"/>
                <w:sz w:val="20"/>
              </w:rPr>
            </w:pPr>
            <w:r>
              <w:rPr>
                <w:rFonts w:ascii="sans-serif" w:hAnsi="sans-serif"/>
                <w:color w:val="000000"/>
                <w:sz w:val="20"/>
              </w:rPr>
              <w:t>Senior Vice President and Chief Accounting Officer</w:t>
            </w:r>
          </w:p>
          <w:p>
            <w:pPr>
              <w:pStyle w:val="TableContents"/>
              <w:bidi w:val="0"/>
              <w:spacing w:before="0" w:after="283"/>
              <w:jc w:val="center"/>
              <w:rPr>
                <w:rFonts w:ascii="sans-serif" w:hAnsi="sans-serif"/>
                <w:color w:val="000000"/>
                <w:sz w:val="20"/>
              </w:rPr>
            </w:pPr>
            <w:r>
              <w:rPr>
                <w:rFonts w:ascii="sans-serif" w:hAnsi="sans-serif"/>
                <w:color w:val="000000"/>
                <w:sz w:val="20"/>
              </w:rPr>
              <w:t>(Principal Accounting Officer)</w:t>
            </w:r>
          </w:p>
        </w:tc>
      </w:tr>
    </w:tbl>
    <w:p>
      <w:pPr>
        <w:pStyle w:val="TextBody"/>
        <w:bidi w:val="0"/>
        <w:jc w:val="left"/>
        <w:rPr/>
      </w:pPr>
      <w:r>
        <w:rPr/>
        <w:t> </w:t>
      </w:r>
    </w:p>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bookmarkStart w:id="23" w:name="rare-ex31_1.htm"/>
      <w:bookmarkStart w:id="24" w:name="ksrareex31_1"/>
      <w:bookmarkEnd w:id="23"/>
      <w:bookmarkEnd w:id="24"/>
      <w:r>
        <w:rPr/>
        <w:t> </w:t>
      </w:r>
      <w:r>
        <w:br w:type="page"/>
      </w:r>
    </w:p>
    <w:p>
      <w:pPr>
        <w:pStyle w:val="TextBody"/>
        <w:bidi w:val="0"/>
        <w:jc w:val="right"/>
        <w:rPr>
          <w:rFonts w:ascii="sans-serif" w:hAnsi="sans-serif"/>
          <w:b/>
          <w:color w:val="000000"/>
          <w:sz w:val="20"/>
        </w:rPr>
      </w:pPr>
      <w:r>
        <w:rPr>
          <w:rFonts w:ascii="sans-serif" w:hAnsi="sans-serif"/>
          <w:b/>
          <w:color w:val="000000"/>
          <w:sz w:val="20"/>
        </w:rPr>
        <w:t>Exhibit 31.1</w:t>
      </w:r>
    </w:p>
    <w:p>
      <w:pPr>
        <w:pStyle w:val="TextBody"/>
        <w:bidi w:val="0"/>
        <w:spacing w:before="240" w:after="283"/>
        <w:jc w:val="center"/>
        <w:rPr>
          <w:rFonts w:ascii="Times New Roman" w:hAnsi="Times New Roman"/>
          <w:sz w:val="20"/>
        </w:rPr>
      </w:pPr>
      <w:r>
        <w:rPr>
          <w:rFonts w:ascii="sans-serif" w:hAnsi="sans-serif"/>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sans-serif" w:hAnsi="sans-serif"/>
          <w:color w:val="000000"/>
          <w:sz w:val="20"/>
        </w:rPr>
        <w:t>I, Emil D. Kakkis, certify that:</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0"/>
        </w:rPr>
      </w:pPr>
      <w:r>
        <w:rPr>
          <w:rFonts w:ascii="sans-serif" w:hAnsi="sans-serif"/>
          <w:color w:val="000000"/>
          <w:sz w:val="20"/>
        </w:rPr>
        <w:t>1.</w:t>
      </w:r>
    </w:p>
    <w:p>
      <w:pPr>
        <w:pStyle w:val="TextBody"/>
        <w:bidi w:val="0"/>
        <w:spacing w:before="120" w:after="283"/>
        <w:jc w:val="left"/>
        <w:rPr>
          <w:rFonts w:ascii="sans-serif" w:hAnsi="sans-serif"/>
          <w:color w:val="000000"/>
          <w:sz w:val="20"/>
        </w:rPr>
      </w:pPr>
      <w:r>
        <w:rPr>
          <w:rFonts w:ascii="sans-serif" w:hAnsi="sans-serif"/>
          <w:color w:val="000000"/>
          <w:sz w:val="20"/>
        </w:rPr>
        <w:t xml:space="preserve">I have reviewed this Quarterly Report on Form 10-Q of Ultragenyx Pharmaceutical Inc.; </w:t>
      </w:r>
    </w:p>
    <w:p>
      <w:pPr>
        <w:pStyle w:val="TextBody"/>
        <w:bidi w:val="0"/>
        <w:spacing w:before="120" w:after="283"/>
        <w:jc w:val="left"/>
        <w:rPr>
          <w:rFonts w:ascii="sans-serif" w:hAnsi="sans-serif"/>
          <w:color w:val="000000"/>
          <w:sz w:val="20"/>
        </w:rPr>
      </w:pPr>
      <w:r>
        <w:rPr>
          <w:rFonts w:ascii="sans-serif" w:hAnsi="sans-serif"/>
          <w:color w:val="000000"/>
          <w:sz w:val="20"/>
        </w:rPr>
        <w:t>2.</w:t>
      </w:r>
    </w:p>
    <w:p>
      <w:pPr>
        <w:pStyle w:val="TextBody"/>
        <w:bidi w:val="0"/>
        <w:spacing w:before="120" w:after="283"/>
        <w:jc w:val="left"/>
        <w:rPr>
          <w:rFonts w:ascii="sans-serif" w:hAnsi="sans-serif"/>
          <w:color w:val="000000"/>
          <w:sz w:val="20"/>
        </w:rPr>
      </w:pPr>
      <w:r>
        <w:rPr>
          <w:rFonts w:ascii="sans-serif" w:hAnsi="sans-serif"/>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sans-serif" w:hAnsi="sans-serif"/>
          <w:color w:val="000000"/>
          <w:sz w:val="20"/>
        </w:rPr>
      </w:pPr>
      <w:r>
        <w:rPr>
          <w:rFonts w:ascii="sans-serif" w:hAnsi="sans-serif"/>
          <w:color w:val="000000"/>
          <w:sz w:val="20"/>
        </w:rPr>
        <w:t>3.</w:t>
      </w:r>
    </w:p>
    <w:p>
      <w:pPr>
        <w:pStyle w:val="TextBody"/>
        <w:bidi w:val="0"/>
        <w:spacing w:before="120" w:after="283"/>
        <w:jc w:val="left"/>
        <w:rPr>
          <w:rFonts w:ascii="sans-serif" w:hAnsi="sans-serif"/>
          <w:color w:val="000000"/>
          <w:sz w:val="20"/>
        </w:rPr>
      </w:pPr>
      <w:r>
        <w:rPr>
          <w:rFonts w:ascii="sans-serif" w:hAnsi="sans-serif"/>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sans-serif" w:hAnsi="sans-serif"/>
          <w:color w:val="000000"/>
          <w:sz w:val="20"/>
        </w:rPr>
      </w:pPr>
      <w:r>
        <w:rPr>
          <w:rFonts w:ascii="sans-serif" w:hAnsi="sans-serif"/>
          <w:color w:val="000000"/>
          <w:sz w:val="20"/>
        </w:rPr>
        <w:t>4.</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sans-serif" w:hAnsi="sans-serif"/>
          <w:color w:val="000000"/>
          <w:sz w:val="20"/>
        </w:rPr>
      </w:pPr>
      <w:r>
        <w:rPr>
          <w:rFonts w:ascii="sans-serif" w:hAnsi="sans-serif"/>
          <w:color w:val="000000"/>
          <w:sz w:val="20"/>
        </w:rPr>
        <w:t>a)</w:t>
      </w:r>
    </w:p>
    <w:p>
      <w:pPr>
        <w:pStyle w:val="TextBody"/>
        <w:bidi w:val="0"/>
        <w:spacing w:before="120" w:after="283"/>
        <w:jc w:val="left"/>
        <w:rPr>
          <w:rFonts w:ascii="sans-serif" w:hAnsi="sans-serif"/>
          <w:color w:val="000000"/>
          <w:sz w:val="20"/>
        </w:rPr>
      </w:pPr>
      <w:r>
        <w:rPr>
          <w:rFonts w:ascii="sans-serif" w:hAnsi="sans-serif"/>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sans-serif" w:hAnsi="sans-serif"/>
          <w:color w:val="000000"/>
          <w:sz w:val="20"/>
        </w:rPr>
      </w:pPr>
      <w:r>
        <w:rPr>
          <w:rFonts w:ascii="sans-serif" w:hAnsi="sans-serif"/>
          <w:color w:val="000000"/>
          <w:sz w:val="20"/>
        </w:rPr>
        <w:t>b)</w:t>
      </w:r>
    </w:p>
    <w:p>
      <w:pPr>
        <w:pStyle w:val="TextBody"/>
        <w:bidi w:val="0"/>
        <w:spacing w:before="120" w:after="283"/>
        <w:jc w:val="left"/>
        <w:rPr>
          <w:rFonts w:ascii="sans-serif" w:hAnsi="sans-serif"/>
          <w:color w:val="000000"/>
          <w:sz w:val="20"/>
        </w:rPr>
      </w:pPr>
      <w:r>
        <w:rPr>
          <w:rFonts w:ascii="sans-serif" w:hAnsi="sans-serif"/>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sans-serif" w:hAnsi="sans-serif"/>
          <w:color w:val="000000"/>
          <w:sz w:val="20"/>
        </w:rPr>
      </w:pPr>
      <w:r>
        <w:rPr>
          <w:rFonts w:ascii="sans-serif" w:hAnsi="sans-serif"/>
          <w:color w:val="000000"/>
          <w:sz w:val="20"/>
        </w:rPr>
        <w:t>c)</w:t>
      </w:r>
    </w:p>
    <w:p>
      <w:pPr>
        <w:pStyle w:val="TextBody"/>
        <w:bidi w:val="0"/>
        <w:spacing w:before="120" w:after="283"/>
        <w:jc w:val="left"/>
        <w:rPr>
          <w:rFonts w:ascii="sans-serif" w:hAnsi="sans-serif"/>
          <w:color w:val="000000"/>
          <w:sz w:val="20"/>
        </w:rPr>
      </w:pPr>
      <w:r>
        <w:rPr>
          <w:rFonts w:ascii="sans-serif" w:hAnsi="sans-serif"/>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sans-serif" w:hAnsi="sans-serif"/>
          <w:color w:val="000000"/>
          <w:sz w:val="20"/>
        </w:rPr>
      </w:pPr>
      <w:r>
        <w:rPr>
          <w:rFonts w:ascii="sans-serif" w:hAnsi="sans-serif"/>
          <w:color w:val="000000"/>
          <w:sz w:val="20"/>
        </w:rPr>
        <w:t>d)</w:t>
      </w:r>
    </w:p>
    <w:p>
      <w:pPr>
        <w:pStyle w:val="TextBody"/>
        <w:bidi w:val="0"/>
        <w:spacing w:before="120" w:after="283"/>
        <w:jc w:val="left"/>
        <w:rPr>
          <w:rFonts w:ascii="sans-serif" w:hAnsi="sans-serif"/>
          <w:color w:val="000000"/>
          <w:sz w:val="20"/>
        </w:rPr>
      </w:pPr>
      <w:r>
        <w:rPr>
          <w:rFonts w:ascii="sans-serif" w:hAnsi="sans-serif"/>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sans-serif" w:hAnsi="sans-serif"/>
          <w:color w:val="000000"/>
          <w:sz w:val="20"/>
        </w:rPr>
      </w:pPr>
      <w:r>
        <w:rPr>
          <w:rFonts w:ascii="sans-serif" w:hAnsi="sans-serif"/>
          <w:color w:val="000000"/>
          <w:sz w:val="20"/>
        </w:rPr>
        <w:t>5.</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sans-serif" w:hAnsi="sans-serif"/>
          <w:color w:val="000000"/>
          <w:sz w:val="20"/>
        </w:rPr>
      </w:pPr>
      <w:r>
        <w:rPr>
          <w:rFonts w:ascii="sans-serif" w:hAnsi="sans-serif"/>
          <w:color w:val="000000"/>
          <w:sz w:val="20"/>
        </w:rPr>
        <w:t>a)</w:t>
      </w:r>
    </w:p>
    <w:p>
      <w:pPr>
        <w:pStyle w:val="TextBody"/>
        <w:bidi w:val="0"/>
        <w:spacing w:before="120" w:after="283"/>
        <w:jc w:val="left"/>
        <w:rPr>
          <w:rFonts w:ascii="sans-serif" w:hAnsi="sans-serif"/>
          <w:color w:val="000000"/>
          <w:sz w:val="20"/>
        </w:rPr>
      </w:pPr>
      <w:r>
        <w:rPr>
          <w:rFonts w:ascii="sans-serif" w:hAnsi="sans-serif"/>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sans-serif" w:hAnsi="sans-serif"/>
          <w:color w:val="000000"/>
          <w:sz w:val="20"/>
        </w:rPr>
      </w:pPr>
      <w:r>
        <w:rPr>
          <w:rFonts w:ascii="sans-serif" w:hAnsi="sans-serif"/>
          <w:color w:val="000000"/>
          <w:sz w:val="20"/>
        </w:rPr>
        <w:t>b)</w:t>
      </w:r>
    </w:p>
    <w:p>
      <w:pPr>
        <w:pStyle w:val="TextBody"/>
        <w:bidi w:val="0"/>
        <w:spacing w:before="120" w:after="283"/>
        <w:jc w:val="left"/>
        <w:rPr>
          <w:rFonts w:ascii="sans-serif" w:hAnsi="sans-serif"/>
          <w:color w:val="000000"/>
          <w:sz w:val="20"/>
        </w:rPr>
      </w:pPr>
      <w:r>
        <w:rPr>
          <w:rFonts w:ascii="sans-serif" w:hAnsi="sans-serif"/>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6171" w:type="dxa"/>
        <w:jc w:val="left"/>
        <w:tblInd w:w="0" w:type="dxa"/>
        <w:tblLayout w:type="fixed"/>
        <w:tblCellMar>
          <w:top w:w="28" w:type="dxa"/>
          <w:left w:w="28" w:type="dxa"/>
          <w:bottom w:w="28" w:type="dxa"/>
          <w:right w:w="28" w:type="dxa"/>
        </w:tblCellMar>
      </w:tblPr>
      <w:tblGrid>
        <w:gridCol w:w="2281"/>
        <w:gridCol w:w="109"/>
        <w:gridCol w:w="3781"/>
      </w:tblGrid>
      <w:tr>
        <w:trPr/>
        <w:tc>
          <w:tcPr>
            <w:tcW w:w="2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0"/>
              <w:jc w:val="left"/>
              <w:rPr>
                <w:rFonts w:ascii="sans-serif" w:hAnsi="sans-serif"/>
                <w:color w:val="000000"/>
                <w:sz w:val="20"/>
              </w:rPr>
            </w:pPr>
            <w:r>
              <w:rPr>
                <w:rFonts w:ascii="sans-serif" w:hAnsi="sans-serif"/>
                <w:color w:val="000000"/>
                <w:sz w:val="20"/>
              </w:rPr>
              <w:t>Dated: August 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 Emil D Kakkis</w:t>
            </w:r>
          </w:p>
        </w:tc>
      </w:tr>
      <w:tr>
        <w:trPr/>
        <w:tc>
          <w:tcPr>
            <w:tcW w:w="2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Emil D. Kakkis, M.D., Ph.D.</w:t>
            </w:r>
          </w:p>
        </w:tc>
      </w:tr>
      <w:tr>
        <w:trPr/>
        <w:tc>
          <w:tcPr>
            <w:tcW w:w="2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President and Chief Executive Officer</w:t>
            </w:r>
          </w:p>
        </w:tc>
      </w:tr>
      <w:tr>
        <w:trPr/>
        <w:tc>
          <w:tcPr>
            <w:tcW w:w="2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rare-ex31_2.htm"/>
      <w:bookmarkStart w:id="26" w:name="ksrareex31_2"/>
      <w:bookmarkEnd w:id="25"/>
      <w:bookmarkEnd w:id="26"/>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sz w:val="20"/>
        </w:rPr>
      </w:pPr>
      <w:r>
        <w:rPr>
          <w:rFonts w:ascii="sans-serif" w:hAnsi="sans-serif"/>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sans-serif" w:hAnsi="sans-serif"/>
          <w:color w:val="000000"/>
          <w:sz w:val="20"/>
        </w:rPr>
        <w:t>I, Howard Horn, certify that:</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0"/>
        </w:rPr>
      </w:pPr>
      <w:r>
        <w:rPr>
          <w:rFonts w:ascii="sans-serif" w:hAnsi="sans-serif"/>
          <w:color w:val="000000"/>
          <w:sz w:val="20"/>
        </w:rPr>
        <w:t>1.</w:t>
      </w:r>
    </w:p>
    <w:p>
      <w:pPr>
        <w:pStyle w:val="TextBody"/>
        <w:bidi w:val="0"/>
        <w:spacing w:before="120" w:after="283"/>
        <w:jc w:val="left"/>
        <w:rPr>
          <w:rFonts w:ascii="sans-serif" w:hAnsi="sans-serif"/>
          <w:color w:val="000000"/>
          <w:sz w:val="20"/>
        </w:rPr>
      </w:pPr>
      <w:r>
        <w:rPr>
          <w:rFonts w:ascii="sans-serif" w:hAnsi="sans-serif"/>
          <w:color w:val="000000"/>
          <w:sz w:val="20"/>
        </w:rPr>
        <w:t xml:space="preserve">I have reviewed this Quarterly Report on Form 10-Q of Ultragenyx Pharmaceutical Inc.; </w:t>
      </w:r>
    </w:p>
    <w:p>
      <w:pPr>
        <w:pStyle w:val="TextBody"/>
        <w:bidi w:val="0"/>
        <w:spacing w:before="120" w:after="283"/>
        <w:jc w:val="left"/>
        <w:rPr>
          <w:rFonts w:ascii="sans-serif" w:hAnsi="sans-serif"/>
          <w:color w:val="000000"/>
          <w:sz w:val="20"/>
        </w:rPr>
      </w:pPr>
      <w:r>
        <w:rPr>
          <w:rFonts w:ascii="sans-serif" w:hAnsi="sans-serif"/>
          <w:color w:val="000000"/>
          <w:sz w:val="20"/>
        </w:rPr>
        <w:t>2.</w:t>
      </w:r>
    </w:p>
    <w:p>
      <w:pPr>
        <w:pStyle w:val="TextBody"/>
        <w:bidi w:val="0"/>
        <w:spacing w:before="120" w:after="283"/>
        <w:jc w:val="left"/>
        <w:rPr>
          <w:rFonts w:ascii="sans-serif" w:hAnsi="sans-serif"/>
          <w:color w:val="000000"/>
          <w:sz w:val="20"/>
        </w:rPr>
      </w:pPr>
      <w:r>
        <w:rPr>
          <w:rFonts w:ascii="sans-serif" w:hAnsi="sans-serif"/>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sans-serif" w:hAnsi="sans-serif"/>
          <w:color w:val="000000"/>
          <w:sz w:val="20"/>
        </w:rPr>
      </w:pPr>
      <w:r>
        <w:rPr>
          <w:rFonts w:ascii="sans-serif" w:hAnsi="sans-serif"/>
          <w:color w:val="000000"/>
          <w:sz w:val="20"/>
        </w:rPr>
        <w:t>3.</w:t>
      </w:r>
    </w:p>
    <w:p>
      <w:pPr>
        <w:pStyle w:val="TextBody"/>
        <w:bidi w:val="0"/>
        <w:spacing w:before="120" w:after="283"/>
        <w:jc w:val="left"/>
        <w:rPr>
          <w:rFonts w:ascii="sans-serif" w:hAnsi="sans-serif"/>
          <w:color w:val="000000"/>
          <w:sz w:val="20"/>
        </w:rPr>
      </w:pPr>
      <w:r>
        <w:rPr>
          <w:rFonts w:ascii="sans-serif" w:hAnsi="sans-serif"/>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sans-serif" w:hAnsi="sans-serif"/>
          <w:color w:val="000000"/>
          <w:sz w:val="20"/>
        </w:rPr>
      </w:pPr>
      <w:r>
        <w:rPr>
          <w:rFonts w:ascii="sans-serif" w:hAnsi="sans-serif"/>
          <w:color w:val="000000"/>
          <w:sz w:val="20"/>
        </w:rPr>
        <w:t>4.</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sans-serif" w:hAnsi="sans-serif"/>
          <w:color w:val="000000"/>
          <w:sz w:val="20"/>
        </w:rPr>
      </w:pPr>
      <w:r>
        <w:rPr>
          <w:rFonts w:ascii="sans-serif" w:hAnsi="sans-serif"/>
          <w:color w:val="000000"/>
          <w:sz w:val="20"/>
        </w:rPr>
        <w:t>a)</w:t>
      </w:r>
    </w:p>
    <w:p>
      <w:pPr>
        <w:pStyle w:val="TextBody"/>
        <w:bidi w:val="0"/>
        <w:spacing w:before="120" w:after="283"/>
        <w:jc w:val="left"/>
        <w:rPr>
          <w:rFonts w:ascii="sans-serif" w:hAnsi="sans-serif"/>
          <w:color w:val="000000"/>
          <w:sz w:val="20"/>
        </w:rPr>
      </w:pPr>
      <w:r>
        <w:rPr>
          <w:rFonts w:ascii="sans-serif" w:hAnsi="sans-serif"/>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sans-serif" w:hAnsi="sans-serif"/>
          <w:color w:val="000000"/>
          <w:sz w:val="20"/>
        </w:rPr>
      </w:pPr>
      <w:r>
        <w:rPr>
          <w:rFonts w:ascii="sans-serif" w:hAnsi="sans-serif"/>
          <w:color w:val="000000"/>
          <w:sz w:val="20"/>
        </w:rPr>
        <w:t>b)</w:t>
      </w:r>
    </w:p>
    <w:p>
      <w:pPr>
        <w:pStyle w:val="TextBody"/>
        <w:bidi w:val="0"/>
        <w:spacing w:before="120" w:after="283"/>
        <w:jc w:val="left"/>
        <w:rPr>
          <w:rFonts w:ascii="sans-serif" w:hAnsi="sans-serif"/>
          <w:color w:val="000000"/>
          <w:sz w:val="20"/>
        </w:rPr>
      </w:pPr>
      <w:r>
        <w:rPr>
          <w:rFonts w:ascii="sans-serif" w:hAnsi="sans-serif"/>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sans-serif" w:hAnsi="sans-serif"/>
          <w:color w:val="000000"/>
          <w:sz w:val="20"/>
        </w:rPr>
      </w:pPr>
      <w:r>
        <w:rPr>
          <w:rFonts w:ascii="sans-serif" w:hAnsi="sans-serif"/>
          <w:color w:val="000000"/>
          <w:sz w:val="20"/>
        </w:rPr>
        <w:t>c)</w:t>
      </w:r>
    </w:p>
    <w:p>
      <w:pPr>
        <w:pStyle w:val="TextBody"/>
        <w:bidi w:val="0"/>
        <w:spacing w:before="120" w:after="283"/>
        <w:jc w:val="left"/>
        <w:rPr>
          <w:rFonts w:ascii="sans-serif" w:hAnsi="sans-serif"/>
          <w:color w:val="000000"/>
          <w:sz w:val="20"/>
        </w:rPr>
      </w:pPr>
      <w:r>
        <w:rPr>
          <w:rFonts w:ascii="sans-serif" w:hAnsi="sans-serif"/>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sans-serif" w:hAnsi="sans-serif"/>
          <w:color w:val="000000"/>
          <w:sz w:val="20"/>
        </w:rPr>
      </w:pPr>
      <w:r>
        <w:rPr>
          <w:rFonts w:ascii="sans-serif" w:hAnsi="sans-serif"/>
          <w:color w:val="000000"/>
          <w:sz w:val="20"/>
        </w:rPr>
        <w:t>d)</w:t>
      </w:r>
    </w:p>
    <w:p>
      <w:pPr>
        <w:pStyle w:val="TextBody"/>
        <w:bidi w:val="0"/>
        <w:spacing w:before="120" w:after="283"/>
        <w:jc w:val="left"/>
        <w:rPr>
          <w:rFonts w:ascii="sans-serif" w:hAnsi="sans-serif"/>
          <w:color w:val="000000"/>
          <w:sz w:val="20"/>
        </w:rPr>
      </w:pPr>
      <w:r>
        <w:rPr>
          <w:rFonts w:ascii="sans-serif" w:hAnsi="sans-serif"/>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sans-serif" w:hAnsi="sans-serif"/>
          <w:color w:val="000000"/>
          <w:sz w:val="20"/>
        </w:rPr>
      </w:pPr>
      <w:r>
        <w:rPr>
          <w:rFonts w:ascii="sans-serif" w:hAnsi="sans-serif"/>
          <w:color w:val="000000"/>
          <w:sz w:val="20"/>
        </w:rPr>
        <w:t>5.</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sans-serif" w:hAnsi="sans-serif"/>
          <w:color w:val="000000"/>
          <w:sz w:val="20"/>
        </w:rPr>
      </w:pPr>
      <w:r>
        <w:rPr>
          <w:rFonts w:ascii="sans-serif" w:hAnsi="sans-serif"/>
          <w:color w:val="000000"/>
          <w:sz w:val="20"/>
        </w:rPr>
        <w:t>a.</w:t>
      </w:r>
    </w:p>
    <w:p>
      <w:pPr>
        <w:pStyle w:val="TextBody"/>
        <w:bidi w:val="0"/>
        <w:spacing w:before="120" w:after="283"/>
        <w:jc w:val="left"/>
        <w:rPr>
          <w:rFonts w:ascii="sans-serif" w:hAnsi="sans-serif"/>
          <w:color w:val="000000"/>
          <w:sz w:val="20"/>
        </w:rPr>
      </w:pPr>
      <w:r>
        <w:rPr>
          <w:rFonts w:ascii="sans-serif" w:hAnsi="sans-serif"/>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sans-serif" w:hAnsi="sans-serif"/>
          <w:color w:val="000000"/>
          <w:sz w:val="20"/>
        </w:rPr>
      </w:pPr>
      <w:r>
        <w:rPr>
          <w:rFonts w:ascii="sans-serif" w:hAnsi="sans-serif"/>
          <w:color w:val="000000"/>
          <w:sz w:val="20"/>
        </w:rPr>
        <w:t>b.</w:t>
      </w:r>
    </w:p>
    <w:p>
      <w:pPr>
        <w:pStyle w:val="TextBody"/>
        <w:bidi w:val="0"/>
        <w:spacing w:before="120" w:after="283"/>
        <w:jc w:val="left"/>
        <w:rPr>
          <w:rFonts w:ascii="sans-serif" w:hAnsi="sans-serif"/>
          <w:color w:val="000000"/>
          <w:sz w:val="20"/>
        </w:rPr>
      </w:pPr>
      <w:r>
        <w:rPr>
          <w:rFonts w:ascii="sans-serif" w:hAnsi="sans-serif"/>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9186" w:type="dxa"/>
        <w:jc w:val="left"/>
        <w:tblInd w:w="0" w:type="dxa"/>
        <w:tblLayout w:type="fixed"/>
        <w:tblCellMar>
          <w:top w:w="28" w:type="dxa"/>
          <w:left w:w="28" w:type="dxa"/>
          <w:bottom w:w="28" w:type="dxa"/>
          <w:right w:w="28" w:type="dxa"/>
        </w:tblCellMar>
      </w:tblPr>
      <w:tblGrid>
        <w:gridCol w:w="2281"/>
        <w:gridCol w:w="109"/>
        <w:gridCol w:w="6796"/>
      </w:tblGrid>
      <w:tr>
        <w:trPr/>
        <w:tc>
          <w:tcPr>
            <w:tcW w:w="2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0"/>
              <w:jc w:val="left"/>
              <w:rPr>
                <w:rFonts w:ascii="sans-serif" w:hAnsi="sans-serif"/>
                <w:color w:val="000000"/>
                <w:sz w:val="20"/>
              </w:rPr>
            </w:pPr>
            <w:r>
              <w:rPr>
                <w:rFonts w:ascii="sans-serif" w:hAnsi="sans-serif"/>
                <w:color w:val="000000"/>
                <w:sz w:val="20"/>
              </w:rPr>
              <w:t>Dated: August 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 Howard Horn</w:t>
            </w:r>
          </w:p>
        </w:tc>
      </w:tr>
      <w:tr>
        <w:trPr/>
        <w:tc>
          <w:tcPr>
            <w:tcW w:w="2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Howard Horn</w:t>
            </w:r>
          </w:p>
        </w:tc>
      </w:tr>
      <w:tr>
        <w:trPr/>
        <w:tc>
          <w:tcPr>
            <w:tcW w:w="2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Executive Vice President, Chief Financial Officer, Corporate Strategy</w:t>
            </w:r>
          </w:p>
        </w:tc>
      </w:tr>
      <w:tr>
        <w:trPr/>
        <w:tc>
          <w:tcPr>
            <w:tcW w:w="2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rare-ex32_1.htm"/>
      <w:bookmarkStart w:id="28" w:name="ksrareex32_1"/>
      <w:bookmarkEnd w:id="27"/>
      <w:bookmarkEnd w:id="28"/>
      <w:r>
        <w:rPr/>
        <w:t> </w:t>
      </w:r>
      <w:r>
        <w:br w:type="page"/>
      </w:r>
    </w:p>
    <w:p>
      <w:pPr>
        <w:pStyle w:val="TextBody"/>
        <w:bidi w:val="0"/>
        <w:jc w:val="right"/>
        <w:rPr>
          <w:rFonts w:ascii="sans-serif" w:hAnsi="sans-serif"/>
          <w:b/>
          <w:color w:val="000000"/>
          <w:sz w:val="20"/>
        </w:rPr>
      </w:pPr>
      <w:r>
        <w:rPr>
          <w:rFonts w:ascii="sans-serif" w:hAnsi="sans-serif"/>
          <w:b/>
          <w:color w:val="000000"/>
          <w:sz w:val="20"/>
        </w:rPr>
        <w:t>Exhibit 32.1</w:t>
      </w:r>
    </w:p>
    <w:p>
      <w:pPr>
        <w:pStyle w:val="TextBody"/>
        <w:bidi w:val="0"/>
        <w:spacing w:before="240" w:after="283"/>
        <w:jc w:val="center"/>
        <w:rPr>
          <w:rFonts w:ascii="Times New Roman" w:hAnsi="Times New Roman"/>
          <w:sz w:val="20"/>
        </w:rPr>
      </w:pPr>
      <w:r>
        <w:rPr>
          <w:rFonts w:ascii="sans-serif" w:hAnsi="sans-serif"/>
          <w:b/>
          <w:color w:val="000000"/>
          <w:sz w:val="20"/>
        </w:rPr>
        <w:t>CERTIFICATION PURSUANT TO SECTION 906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0"/>
        </w:rPr>
        <w:t>THE SARBANES-OXLEY ACT OF 2002 (18 U.S.C. SECTION 1350)</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sans-serif" w:hAnsi="sans-serif"/>
          <w:color w:val="000000"/>
          <w:sz w:val="20"/>
        </w:rPr>
        <w:t>In connection with the accompanying Quarterly Report of Ultragenyx Pharmaceutical Inc. (the “Company”) on Form 10-Q for the quarter ended June 30, 2026 (the “Report”), I, Emil D. Kakkis, M.D., Ph.D., as President and Chief Executive Officer of the Company, and Howard Horn, as Executive Vice President and Chief Financial Officer, Corporate Strategy of the Company, certify, pursuant to 18 U.S.C. Section 1350, as adopted pursuant to Section 906 of the Sarbanes-Oxley Act of 2002, that:</w:t>
      </w:r>
      <w:r>
        <w:rPr>
          <w:rFonts w:ascii="Times New Roman" w:hAnsi="Times New Roman"/>
          <w:color w:val="000000"/>
          <w:sz w:val="20"/>
        </w:rPr>
        <w:t xml:space="preserve"> </w:t>
      </w:r>
    </w:p>
    <w:p>
      <w:pPr>
        <w:pStyle w:val="TextBody"/>
        <w:bidi w:val="0"/>
        <w:spacing w:before="120" w:after="283"/>
        <w:jc w:val="left"/>
        <w:rPr>
          <w:rFonts w:ascii="sans-serif" w:hAnsi="sans-serif"/>
          <w:color w:val="000000"/>
          <w:sz w:val="20"/>
        </w:rPr>
      </w:pPr>
      <w:r>
        <w:rPr>
          <w:rFonts w:ascii="sans-serif" w:hAnsi="sans-serif"/>
          <w:color w:val="000000"/>
          <w:sz w:val="20"/>
        </w:rPr>
        <w:t>(1)</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Report fully complies with the requirements of Section 13(a) or 15(d) of the Securities Exchange Act of 1934; and </w:t>
      </w:r>
    </w:p>
    <w:p>
      <w:pPr>
        <w:pStyle w:val="TextBody"/>
        <w:bidi w:val="0"/>
        <w:spacing w:before="120" w:after="283"/>
        <w:jc w:val="left"/>
        <w:rPr>
          <w:rFonts w:ascii="sans-serif" w:hAnsi="sans-serif"/>
          <w:color w:val="000000"/>
          <w:sz w:val="20"/>
        </w:rPr>
      </w:pPr>
      <w:r>
        <w:rPr>
          <w:rFonts w:ascii="sans-serif" w:hAnsi="sans-serif"/>
          <w:color w:val="000000"/>
          <w:sz w:val="20"/>
        </w:rPr>
        <w:t>(2)</w:t>
      </w:r>
    </w:p>
    <w:p>
      <w:pPr>
        <w:pStyle w:val="TextBody"/>
        <w:bidi w:val="0"/>
        <w:spacing w:before="120" w:after="283"/>
        <w:jc w:val="left"/>
        <w:rPr>
          <w:rFonts w:ascii="sans-serif" w:hAnsi="sans-serif"/>
          <w:color w:val="000000"/>
          <w:sz w:val="20"/>
        </w:rPr>
      </w:pPr>
      <w:r>
        <w:rPr>
          <w:rFonts w:ascii="sans-serif" w:hAnsi="sans-serif"/>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6171" w:type="dxa"/>
        <w:jc w:val="left"/>
        <w:tblInd w:w="0" w:type="dxa"/>
        <w:tblLayout w:type="fixed"/>
        <w:tblCellMar>
          <w:top w:w="28" w:type="dxa"/>
          <w:left w:w="28" w:type="dxa"/>
          <w:bottom w:w="28" w:type="dxa"/>
          <w:right w:w="28" w:type="dxa"/>
        </w:tblCellMar>
      </w:tblPr>
      <w:tblGrid>
        <w:gridCol w:w="2281"/>
        <w:gridCol w:w="109"/>
        <w:gridCol w:w="3781"/>
      </w:tblGrid>
      <w:tr>
        <w:trPr/>
        <w:tc>
          <w:tcPr>
            <w:tcW w:w="2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Dated: August 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 Emil D. Kakkis</w:t>
            </w:r>
          </w:p>
        </w:tc>
      </w:tr>
      <w:tr>
        <w:trPr/>
        <w:tc>
          <w:tcPr>
            <w:tcW w:w="2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Emil D. Kakkis, M.D., Ph.D.</w:t>
            </w:r>
          </w:p>
        </w:tc>
      </w:tr>
      <w:tr>
        <w:trPr/>
        <w:tc>
          <w:tcPr>
            <w:tcW w:w="2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President and Chief Executive Officer</w:t>
              <w:br/>
              <w:t>(Principal Executive Officer)</w:t>
            </w:r>
          </w:p>
        </w:tc>
      </w:tr>
    </w:tbl>
    <w:tbl>
      <w:tblPr>
        <w:tblW w:w="9186" w:type="dxa"/>
        <w:jc w:val="left"/>
        <w:tblInd w:w="0" w:type="dxa"/>
        <w:tblLayout w:type="fixed"/>
        <w:tblCellMar>
          <w:top w:w="28" w:type="dxa"/>
          <w:left w:w="28" w:type="dxa"/>
          <w:bottom w:w="28" w:type="dxa"/>
          <w:right w:w="28" w:type="dxa"/>
        </w:tblCellMar>
      </w:tblPr>
      <w:tblGrid>
        <w:gridCol w:w="2281"/>
        <w:gridCol w:w="109"/>
        <w:gridCol w:w="6796"/>
      </w:tblGrid>
      <w:tr>
        <w:trPr/>
        <w:tc>
          <w:tcPr>
            <w:tcW w:w="2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Dated: August 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 Howard Horn</w:t>
            </w:r>
          </w:p>
        </w:tc>
      </w:tr>
      <w:tr>
        <w:trPr/>
        <w:tc>
          <w:tcPr>
            <w:tcW w:w="2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Howard Horn</w:t>
            </w:r>
          </w:p>
        </w:tc>
      </w:tr>
      <w:tr>
        <w:trPr/>
        <w:tc>
          <w:tcPr>
            <w:tcW w:w="2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tcBorders/>
            <w:tcMar>
              <w:top w:w="0" w:type="dxa"/>
              <w:left w:w="0" w:type="dxa"/>
              <w:bottom w:w="0" w:type="dxa"/>
              <w:right w:w="0" w:type="dxa"/>
            </w:tcMar>
            <w:vAlign w:val="center"/>
          </w:tcPr>
          <w:p>
            <w:pPr>
              <w:pStyle w:val="TableContents"/>
              <w:bidi w:val="0"/>
              <w:jc w:val="left"/>
              <w:rPr>
                <w:rFonts w:ascii="sans-serif" w:hAnsi="sans-serif"/>
                <w:color w:val="000000"/>
                <w:sz w:val="20"/>
              </w:rPr>
            </w:pPr>
            <w:r>
              <w:rPr>
                <w:rFonts w:ascii="sans-serif" w:hAnsi="sans-serif"/>
                <w:color w:val="000000"/>
                <w:sz w:val="20"/>
              </w:rPr>
              <w:t>Executive Vice President, Chief Financial Officer, Corporate Strategy</w:t>
            </w:r>
          </w:p>
          <w:p>
            <w:pPr>
              <w:pStyle w:val="TableContents"/>
              <w:bidi w:val="0"/>
              <w:spacing w:before="0" w:after="283"/>
              <w:jc w:val="left"/>
              <w:rPr>
                <w:rFonts w:ascii="sans-serif" w:hAnsi="sans-serif"/>
                <w:color w:val="000000"/>
                <w:sz w:val="20"/>
              </w:rPr>
            </w:pPr>
            <w:r>
              <w:rPr>
                <w:rFonts w:ascii="sans-serif" w:hAnsi="sans-serif"/>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515673/000119312514036944/d670959dex31.htm" TargetMode="External"/><Relationship Id="rId4" Type="http://schemas.openxmlformats.org/officeDocument/2006/relationships/hyperlink" Target="https://www.sec.gov/Archives/edgar/data/1515673/000095017023072192/rare-ex3_1.htm" TargetMode="External"/><Relationship Id="rId5" Type="http://schemas.openxmlformats.org/officeDocument/2006/relationships/hyperlink" Target="https://www.sec.gov/Archives/edgar/data/1515673/000119312513435507/d601113dex42.htm" TargetMode="External"/><Relationship Id="rId6" Type="http://schemas.openxmlformats.org/officeDocument/2006/relationships/hyperlink" Target="https://www.sec.gov/Archives/edgar/data/1515673/000119312524041577/d790860dex42.htm" TargetMode="External"/><Relationship Id="rId7" Type="http://schemas.openxmlformats.org/officeDocument/2006/relationships/hyperlink" Target="https://www.sec.gov/Archives/edgar/data/1515673/000119312523260305/d524225dex41.htm" TargetMode="External"/><Relationship Id="rId8" Type="http://schemas.openxmlformats.org/officeDocument/2006/relationships/hyperlink" Target="https://www.sec.gov/Archives/edgar/data/1515673/000119312524162003/d785247dex41.htm" TargetMode="External"/><Relationship Id="rId9" Type="http://schemas.openxmlformats.org/officeDocument/2006/relationships/hyperlink" Target="https://www.sec.gov/Archives/edgar/data/1515673/000119312526228639/rare-ex10_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47844</Words>
  <Characters>265928</Characters>
  <CharactersWithSpaces>314311</CharactersWithSpaces>
  <Paragraphs>6331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