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10-K</w:t>
      </w:r>
    </w:p>
    <w:p>
      <w:pPr>
        <w:spacing w:after="0" w:line="48" w:lineRule="exact"/>
        <w:rPr>
          <w:sz w:val="24"/>
          <w:szCs w:val="24"/>
          <w:color w:val="auto"/>
        </w:rPr>
      </w:pPr>
    </w:p>
    <w:p>
      <w:pPr>
        <w:ind w:left="4100" w:right="2520" w:hanging="4092"/>
        <w:spacing w:after="0" w:line="331" w:lineRule="auto"/>
        <w:tabs>
          <w:tab w:leader="none" w:pos="533" w:val="left"/>
        </w:tabs>
        <w:numPr>
          <w:ilvl w:val="0"/>
          <w:numId w:val="1"/>
        </w:numPr>
        <w:rPr>
          <w:rFonts w:ascii="Arial" w:cs="Arial" w:eastAsia="Arial" w:hAnsi="Arial"/>
          <w:sz w:val="16"/>
          <w:szCs w:val="16"/>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2013</w:t>
      </w:r>
    </w:p>
    <w:p>
      <w:pPr>
        <w:spacing w:after="0" w:line="177"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61" w:lineRule="exact"/>
        <w:rPr>
          <w:sz w:val="24"/>
          <w:szCs w:val="24"/>
          <w:color w:val="auto"/>
        </w:rPr>
      </w:pPr>
    </w:p>
    <w:p>
      <w:pPr>
        <w:ind w:left="394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3935730</wp:posOffset>
            </wp:positionH>
            <wp:positionV relativeFrom="paragraph">
              <wp:posOffset>-5715</wp:posOffset>
            </wp:positionV>
            <wp:extent cx="8147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001-36276</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Ultragenyx Pharmaceutical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55" w:lineRule="exact"/>
        <w:rPr>
          <w:sz w:val="24"/>
          <w:szCs w:val="24"/>
          <w:color w:val="auto"/>
        </w:rPr>
      </w:pPr>
    </w:p>
    <w:tbl>
      <w:tblPr>
        <w:tblLayout w:type="fixed"/>
        <w:tblInd w:w="1520" w:type="dxa"/>
        <w:tblCellMar>
          <w:top w:w="0" w:type="dxa"/>
          <w:left w:w="0" w:type="dxa"/>
          <w:bottom w:w="0" w:type="dxa"/>
          <w:right w:w="0" w:type="dxa"/>
        </w:tblCellMar>
      </w:tblPr>
      <w:tr>
        <w:trPr>
          <w:trHeight w:val="209"/>
        </w:trPr>
        <w:tc>
          <w:tcPr>
            <w:tcW w:w="4260" w:type="dxa"/>
            <w:vAlign w:val="bottom"/>
          </w:tcPr>
          <w:p>
            <w:pPr>
              <w:jc w:val="center"/>
              <w:ind w:right="1495"/>
              <w:spacing w:after="0"/>
              <w:rPr>
                <w:sz w:val="20"/>
                <w:szCs w:val="20"/>
                <w:color w:val="auto"/>
              </w:rPr>
            </w:pPr>
            <w:r>
              <w:rPr>
                <w:rFonts w:ascii="Arial" w:cs="Arial" w:eastAsia="Arial" w:hAnsi="Arial"/>
                <w:sz w:val="17"/>
                <w:szCs w:val="17"/>
                <w:b w:val="1"/>
                <w:bCs w:val="1"/>
                <w:color w:val="auto"/>
                <w:w w:val="91"/>
              </w:rPr>
              <w:t>Delaware</w:t>
            </w:r>
          </w:p>
        </w:tc>
        <w:tc>
          <w:tcPr>
            <w:tcW w:w="4020" w:type="dxa"/>
            <w:vAlign w:val="bottom"/>
          </w:tcPr>
          <w:p>
            <w:pPr>
              <w:jc w:val="right"/>
              <w:ind w:right="735"/>
              <w:spacing w:after="0"/>
              <w:rPr>
                <w:sz w:val="20"/>
                <w:szCs w:val="20"/>
                <w:color w:val="auto"/>
              </w:rPr>
            </w:pPr>
            <w:r>
              <w:rPr>
                <w:rFonts w:ascii="Arial" w:cs="Arial" w:eastAsia="Arial" w:hAnsi="Arial"/>
                <w:sz w:val="17"/>
                <w:szCs w:val="17"/>
                <w:b w:val="1"/>
                <w:bCs w:val="1"/>
                <w:color w:val="auto"/>
              </w:rPr>
              <w:t>27-2546083</w:t>
            </w:r>
          </w:p>
        </w:tc>
      </w:tr>
      <w:tr>
        <w:trPr>
          <w:trHeight w:val="203"/>
        </w:trPr>
        <w:tc>
          <w:tcPr>
            <w:tcW w:w="4260" w:type="dxa"/>
            <w:vAlign w:val="bottom"/>
          </w:tcPr>
          <w:p>
            <w:pPr>
              <w:jc w:val="center"/>
              <w:ind w:right="1495"/>
              <w:spacing w:after="0"/>
              <w:rPr>
                <w:sz w:val="20"/>
                <w:szCs w:val="20"/>
                <w:color w:val="auto"/>
              </w:rPr>
            </w:pPr>
            <w:r>
              <w:rPr>
                <w:rFonts w:ascii="Arial" w:cs="Arial" w:eastAsia="Arial" w:hAnsi="Arial"/>
                <w:sz w:val="17"/>
                <w:szCs w:val="17"/>
                <w:i w:val="1"/>
                <w:iCs w:val="1"/>
                <w:color w:val="auto"/>
                <w:w w:val="94"/>
              </w:rPr>
              <w:t>(State or other jurisdiction of</w:t>
            </w:r>
          </w:p>
        </w:tc>
        <w:tc>
          <w:tcPr>
            <w:tcW w:w="4020" w:type="dxa"/>
            <w:vAlign w:val="bottom"/>
          </w:tcPr>
          <w:p>
            <w:pPr>
              <w:jc w:val="center"/>
              <w:ind w:left="1475"/>
              <w:spacing w:after="0"/>
              <w:rPr>
                <w:sz w:val="20"/>
                <w:szCs w:val="20"/>
                <w:color w:val="auto"/>
              </w:rPr>
            </w:pPr>
            <w:r>
              <w:rPr>
                <w:rFonts w:ascii="Arial" w:cs="Arial" w:eastAsia="Arial" w:hAnsi="Arial"/>
                <w:sz w:val="17"/>
                <w:szCs w:val="17"/>
                <w:i w:val="1"/>
                <w:iCs w:val="1"/>
                <w:color w:val="auto"/>
                <w:w w:val="93"/>
              </w:rPr>
              <w:t>(I.R.S. Employer Identification No.)</w:t>
            </w:r>
          </w:p>
        </w:tc>
      </w:tr>
      <w:tr>
        <w:trPr>
          <w:trHeight w:val="216"/>
        </w:trPr>
        <w:tc>
          <w:tcPr>
            <w:tcW w:w="4260" w:type="dxa"/>
            <w:vAlign w:val="bottom"/>
          </w:tcPr>
          <w:p>
            <w:pPr>
              <w:jc w:val="center"/>
              <w:ind w:right="1495"/>
              <w:spacing w:after="0"/>
              <w:rPr>
                <w:sz w:val="20"/>
                <w:szCs w:val="20"/>
                <w:color w:val="auto"/>
              </w:rPr>
            </w:pPr>
            <w:r>
              <w:rPr>
                <w:rFonts w:ascii="Arial" w:cs="Arial" w:eastAsia="Arial" w:hAnsi="Arial"/>
                <w:sz w:val="17"/>
                <w:szCs w:val="17"/>
                <w:i w:val="1"/>
                <w:iCs w:val="1"/>
                <w:color w:val="auto"/>
                <w:w w:val="95"/>
              </w:rPr>
              <w:t>incorporation or organization)</w:t>
            </w:r>
          </w:p>
        </w:tc>
        <w:tc>
          <w:tcPr>
            <w:tcW w:w="4020" w:type="dxa"/>
            <w:vAlign w:val="bottom"/>
          </w:tcPr>
          <w:p>
            <w:pPr>
              <w:spacing w:after="0"/>
              <w:rPr>
                <w:sz w:val="18"/>
                <w:szCs w:val="18"/>
                <w:color w:val="auto"/>
              </w:rPr>
            </w:pPr>
          </w:p>
        </w:tc>
      </w:tr>
      <w:tr>
        <w:trPr>
          <w:trHeight w:val="264"/>
        </w:trPr>
        <w:tc>
          <w:tcPr>
            <w:tcW w:w="4260" w:type="dxa"/>
            <w:vAlign w:val="bottom"/>
          </w:tcPr>
          <w:p>
            <w:pPr>
              <w:jc w:val="center"/>
              <w:ind w:right="1475"/>
              <w:spacing w:after="0"/>
              <w:rPr>
                <w:sz w:val="20"/>
                <w:szCs w:val="20"/>
                <w:color w:val="auto"/>
              </w:rPr>
            </w:pPr>
            <w:r>
              <w:rPr>
                <w:rFonts w:ascii="Arial" w:cs="Arial" w:eastAsia="Arial" w:hAnsi="Arial"/>
                <w:sz w:val="17"/>
                <w:szCs w:val="17"/>
                <w:b w:val="1"/>
                <w:bCs w:val="1"/>
                <w:color w:val="auto"/>
                <w:w w:val="92"/>
              </w:rPr>
              <w:t>60 Leveroni Court</w:t>
            </w:r>
          </w:p>
        </w:tc>
        <w:tc>
          <w:tcPr>
            <w:tcW w:w="4020" w:type="dxa"/>
            <w:vAlign w:val="bottom"/>
          </w:tcPr>
          <w:p>
            <w:pPr>
              <w:spacing w:after="0"/>
              <w:rPr>
                <w:sz w:val="22"/>
                <w:szCs w:val="22"/>
                <w:color w:val="auto"/>
              </w:rPr>
            </w:pPr>
          </w:p>
        </w:tc>
      </w:tr>
      <w:tr>
        <w:trPr>
          <w:trHeight w:val="222"/>
        </w:trPr>
        <w:tc>
          <w:tcPr>
            <w:tcW w:w="4260" w:type="dxa"/>
            <w:vAlign w:val="bottom"/>
          </w:tcPr>
          <w:p>
            <w:pPr>
              <w:jc w:val="center"/>
              <w:ind w:right="1495"/>
              <w:spacing w:after="0"/>
              <w:rPr>
                <w:sz w:val="20"/>
                <w:szCs w:val="20"/>
                <w:color w:val="auto"/>
              </w:rPr>
            </w:pPr>
            <w:r>
              <w:rPr>
                <w:rFonts w:ascii="Arial" w:cs="Arial" w:eastAsia="Arial" w:hAnsi="Arial"/>
                <w:sz w:val="17"/>
                <w:szCs w:val="17"/>
                <w:b w:val="1"/>
                <w:bCs w:val="1"/>
                <w:color w:val="auto"/>
                <w:w w:val="93"/>
              </w:rPr>
              <w:t>Novato, California</w:t>
            </w:r>
          </w:p>
        </w:tc>
        <w:tc>
          <w:tcPr>
            <w:tcW w:w="4020" w:type="dxa"/>
            <w:vAlign w:val="bottom"/>
          </w:tcPr>
          <w:p>
            <w:pPr>
              <w:jc w:val="right"/>
              <w:ind w:right="935"/>
              <w:spacing w:after="0"/>
              <w:rPr>
                <w:sz w:val="20"/>
                <w:szCs w:val="20"/>
                <w:color w:val="auto"/>
              </w:rPr>
            </w:pPr>
            <w:r>
              <w:rPr>
                <w:rFonts w:ascii="Arial" w:cs="Arial" w:eastAsia="Arial" w:hAnsi="Arial"/>
                <w:sz w:val="17"/>
                <w:szCs w:val="17"/>
                <w:b w:val="1"/>
                <w:bCs w:val="1"/>
                <w:color w:val="auto"/>
              </w:rPr>
              <w:t>94949</w:t>
            </w:r>
          </w:p>
        </w:tc>
      </w:tr>
      <w:tr>
        <w:trPr>
          <w:trHeight w:val="216"/>
        </w:trPr>
        <w:tc>
          <w:tcPr>
            <w:tcW w:w="4260" w:type="dxa"/>
            <w:vAlign w:val="bottom"/>
          </w:tcPr>
          <w:p>
            <w:pPr>
              <w:jc w:val="center"/>
              <w:ind w:right="1495"/>
              <w:spacing w:after="0"/>
              <w:rPr>
                <w:sz w:val="20"/>
                <w:szCs w:val="20"/>
                <w:color w:val="auto"/>
              </w:rPr>
            </w:pPr>
            <w:r>
              <w:rPr>
                <w:rFonts w:ascii="Arial" w:cs="Arial" w:eastAsia="Arial" w:hAnsi="Arial"/>
                <w:sz w:val="17"/>
                <w:szCs w:val="17"/>
                <w:i w:val="1"/>
                <w:iCs w:val="1"/>
                <w:color w:val="auto"/>
                <w:w w:val="92"/>
              </w:rPr>
              <w:t>(Address of principal executive offices)</w:t>
            </w:r>
          </w:p>
        </w:tc>
        <w:tc>
          <w:tcPr>
            <w:tcW w:w="4020" w:type="dxa"/>
            <w:vAlign w:val="bottom"/>
          </w:tcPr>
          <w:p>
            <w:pPr>
              <w:jc w:val="center"/>
              <w:ind w:left="1475"/>
              <w:spacing w:after="0"/>
              <w:rPr>
                <w:sz w:val="20"/>
                <w:szCs w:val="20"/>
                <w:color w:val="auto"/>
              </w:rPr>
            </w:pPr>
            <w:r>
              <w:rPr>
                <w:rFonts w:ascii="Arial" w:cs="Arial" w:eastAsia="Arial" w:hAnsi="Arial"/>
                <w:sz w:val="17"/>
                <w:szCs w:val="17"/>
                <w:i w:val="1"/>
                <w:iCs w:val="1"/>
                <w:color w:val="auto"/>
                <w:w w:val="92"/>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(415) 483-8800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2" w:lineRule="exact"/>
        <w:rPr>
          <w:sz w:val="24"/>
          <w:szCs w:val="24"/>
          <w:color w:val="auto"/>
        </w:rPr>
      </w:pPr>
    </w:p>
    <w:tbl>
      <w:tblPr>
        <w:tblLayout w:type="fixed"/>
        <w:tblInd w:w="520" w:type="dxa"/>
        <w:tblCellMar>
          <w:top w:w="0" w:type="dxa"/>
          <w:left w:w="0" w:type="dxa"/>
          <w:bottom w:w="0" w:type="dxa"/>
          <w:right w:w="0" w:type="dxa"/>
        </w:tblCellMar>
      </w:tblPr>
      <w:tr>
        <w:trPr>
          <w:trHeight w:val="201"/>
        </w:trPr>
        <w:tc>
          <w:tcPr>
            <w:tcW w:w="1720" w:type="dxa"/>
            <w:vAlign w:val="bottom"/>
          </w:tcPr>
          <w:p>
            <w:pPr>
              <w:spacing w:after="0"/>
              <w:rPr>
                <w:sz w:val="17"/>
                <w:szCs w:val="17"/>
                <w:color w:val="auto"/>
              </w:rPr>
            </w:pPr>
          </w:p>
        </w:tc>
        <w:tc>
          <w:tcPr>
            <w:tcW w:w="4980" w:type="dxa"/>
            <w:vAlign w:val="bottom"/>
            <w:gridSpan w:val="2"/>
          </w:tcPr>
          <w:p>
            <w:pPr>
              <w:jc w:val="center"/>
              <w:ind w:right="3755"/>
              <w:spacing w:after="0"/>
              <w:rPr>
                <w:sz w:val="20"/>
                <w:szCs w:val="20"/>
                <w:color w:val="auto"/>
              </w:rPr>
            </w:pPr>
            <w:r>
              <w:rPr>
                <w:rFonts w:ascii="Arial" w:cs="Arial" w:eastAsia="Arial" w:hAnsi="Arial"/>
                <w:sz w:val="14"/>
                <w:szCs w:val="14"/>
                <w:b w:val="1"/>
                <w:bCs w:val="1"/>
                <w:color w:val="auto"/>
                <w:w w:val="91"/>
              </w:rPr>
              <w:t>Title of Each Class</w:t>
            </w:r>
          </w:p>
        </w:tc>
        <w:tc>
          <w:tcPr>
            <w:tcW w:w="2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6"/>
        </w:trPr>
        <w:tc>
          <w:tcPr>
            <w:tcW w:w="1720" w:type="dxa"/>
            <w:vAlign w:val="bottom"/>
          </w:tcPr>
          <w:p>
            <w:pPr>
              <w:ind w:left="1080"/>
              <w:spacing w:after="0" w:line="185" w:lineRule="exact"/>
              <w:rPr>
                <w:sz w:val="20"/>
                <w:szCs w:val="20"/>
                <w:color w:val="auto"/>
              </w:rPr>
            </w:pPr>
            <w:r>
              <w:rPr>
                <w:rFonts w:ascii="Arial" w:cs="Arial" w:eastAsia="Arial" w:hAnsi="Arial"/>
                <w:sz w:val="17"/>
                <w:szCs w:val="17"/>
                <w:b w:val="1"/>
                <w:bCs w:val="1"/>
                <w:color w:val="auto"/>
                <w:w w:val="84"/>
              </w:rPr>
              <w:t>Common</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Stock, $0.001</w:t>
            </w:r>
          </w:p>
        </w:tc>
        <w:tc>
          <w:tcPr>
            <w:tcW w:w="3840" w:type="dxa"/>
            <w:vAlign w:val="bottom"/>
          </w:tcPr>
          <w:p>
            <w:pPr>
              <w:spacing w:after="0" w:line="185" w:lineRule="exact"/>
              <w:rPr>
                <w:sz w:val="20"/>
                <w:szCs w:val="20"/>
                <w:color w:val="auto"/>
              </w:rPr>
            </w:pPr>
            <w:r>
              <w:rPr>
                <w:rFonts w:ascii="Arial" w:cs="Arial" w:eastAsia="Arial" w:hAnsi="Arial"/>
                <w:sz w:val="17"/>
                <w:szCs w:val="17"/>
                <w:b w:val="1"/>
                <w:bCs w:val="1"/>
                <w:color w:val="auto"/>
              </w:rPr>
              <w:t>par value</w:t>
            </w:r>
          </w:p>
        </w:tc>
        <w:tc>
          <w:tcPr>
            <w:tcW w:w="28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4"/>
              </w:rPr>
              <w:t>The NASDAQ Global Select Market</w:t>
            </w:r>
          </w:p>
        </w:tc>
        <w:tc>
          <w:tcPr>
            <w:tcW w:w="8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Arial" w:cs="Arial" w:eastAsia="Arial" w:hAnsi="Arial"/>
                <w:sz w:val="17"/>
                <w:szCs w:val="17"/>
                <w:b w:val="1"/>
                <w:bCs w:val="1"/>
                <w:color w:val="auto"/>
              </w:rPr>
              <w:t xml:space="preserve">Securities registered pursuant to Section 12(g) of the Act: </w:t>
            </w:r>
            <w:r>
              <w:rPr>
                <w:rFonts w:ascii="Arial" w:cs="Arial" w:eastAsia="Arial" w:hAnsi="Arial"/>
                <w:sz w:val="17"/>
                <w:szCs w:val="17"/>
                <w:color w:val="auto"/>
              </w:rPr>
              <w:t>None.</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8780" w:type="dxa"/>
            <w:vAlign w:val="bottom"/>
            <w:gridSpan w:val="4"/>
          </w:tcPr>
          <w:p>
            <w:pPr>
              <w:spacing w:after="0" w:line="196" w:lineRule="exact"/>
              <w:rPr>
                <w:sz w:val="20"/>
                <w:szCs w:val="20"/>
                <w:color w:val="auto"/>
              </w:rPr>
            </w:pPr>
            <w:r>
              <w:rPr>
                <w:rFonts w:ascii="Arial" w:cs="Arial" w:eastAsia="Arial" w:hAnsi="Arial"/>
                <w:sz w:val="17"/>
                <w:szCs w:val="17"/>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820" w:type="dxa"/>
            <w:vAlign w:val="bottom"/>
            <w:gridSpan w:val="2"/>
          </w:tcPr>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6"/>
                <w:szCs w:val="16"/>
                <w:color w:val="auto"/>
              </w:rPr>
              <w:t>R</w:t>
            </w:r>
          </w:p>
        </w:tc>
      </w:tr>
      <w:tr>
        <w:trPr>
          <w:trHeight w:val="254"/>
        </w:trPr>
        <w:tc>
          <w:tcPr>
            <w:tcW w:w="8780" w:type="dxa"/>
            <w:vAlign w:val="bottom"/>
            <w:gridSpan w:val="4"/>
          </w:tcPr>
          <w:p>
            <w:pPr>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 (d) of the Act.  YES</w:t>
            </w:r>
          </w:p>
        </w:tc>
        <w:tc>
          <w:tcPr>
            <w:tcW w:w="820" w:type="dxa"/>
            <w:vAlign w:val="bottom"/>
            <w:gridSpan w:val="2"/>
          </w:tcPr>
          <w:p>
            <w:pPr>
              <w:ind w:left="20"/>
              <w:spacing w:after="0" w:line="19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Arial" w:cs="Arial" w:eastAsia="Arial" w:hAnsi="Arial"/>
                <w:sz w:val="16"/>
                <w:szCs w:val="16"/>
                <w:color w:val="auto"/>
              </w:rPr>
              <w:t>R</w:t>
            </w:r>
          </w:p>
        </w:tc>
      </w:tr>
    </w:tbl>
    <w:p>
      <w:pPr>
        <w:spacing w:after="0" w:line="11" w:lineRule="exact"/>
        <w:rPr>
          <w:sz w:val="24"/>
          <w:szCs w:val="24"/>
          <w:color w:val="auto"/>
        </w:rPr>
      </w:pPr>
    </w:p>
    <w:p>
      <w:pPr>
        <w:ind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Arial" w:cs="Arial" w:eastAsia="Arial" w:hAnsi="Arial"/>
          <w:sz w:val="16"/>
          <w:szCs w:val="16"/>
          <w:color w:val="auto"/>
        </w:rPr>
        <w:t>R</w:t>
      </w:r>
    </w:p>
    <w:p>
      <w:pPr>
        <w:spacing w:after="0" w:line="13" w:lineRule="exact"/>
        <w:rPr>
          <w:sz w:val="24"/>
          <w:szCs w:val="24"/>
          <w:color w:val="auto"/>
        </w:rPr>
      </w:pPr>
    </w:p>
    <w:p>
      <w:pPr>
        <w:ind w:right="140"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240" w:firstLine="518"/>
        <w:spacing w:after="0" w:line="259" w:lineRule="auto"/>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6"/>
          <w:szCs w:val="16"/>
          <w:color w:val="auto"/>
        </w:rPr>
        <w:t>R</w:t>
      </w:r>
    </w:p>
    <w:p>
      <w:pPr>
        <w:spacing w:after="0" w:line="13" w:lineRule="exact"/>
        <w:rPr>
          <w:sz w:val="24"/>
          <w:szCs w:val="24"/>
          <w:color w:val="auto"/>
        </w:rPr>
      </w:pPr>
    </w:p>
    <w:p>
      <w:pPr>
        <w:ind w:right="160"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585" w:right="259" w:bottom="1440" w:gutter="0" w:footer="0" w:header="0"/>
        </w:sectPr>
      </w:pPr>
    </w:p>
    <w:p>
      <w:pPr>
        <w:spacing w:after="0" w:line="23"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Non-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51" w:lineRule="exact"/>
        <w:rPr>
          <w:sz w:val="24"/>
          <w:szCs w:val="24"/>
          <w:color w:val="auto"/>
        </w:rPr>
      </w:pPr>
    </w:p>
    <w:p>
      <w:pPr>
        <w:sectPr>
          <w:pgSz w:w="11900" w:h="16838" w:orient="portrait"/>
          <w:cols w:equalWidth="0" w:num="8">
            <w:col w:w="2120" w:space="80"/>
            <w:col w:w="160" w:space="520"/>
            <w:col w:w="1140" w:space="100"/>
            <w:col w:w="980" w:space="720"/>
            <w:col w:w="1480" w:space="80"/>
            <w:col w:w="560" w:space="720"/>
            <w:col w:w="1880" w:space="80"/>
            <w:col w:w="780"/>
          </w:cols>
          <w:pgMar w:left="240" w:top="585" w:right="259" w:bottom="1440" w:gutter="0" w:footer="0" w:header="0"/>
          <w:type w:val="continuous"/>
        </w:sectPr>
      </w:pPr>
    </w:p>
    <w:p>
      <w:pPr>
        <w:ind w:left="4700"/>
        <w:spacing w:after="0"/>
        <w:rPr>
          <w:sz w:val="20"/>
          <w:szCs w:val="20"/>
          <w:color w:val="auto"/>
        </w:rPr>
      </w:pPr>
      <w:r>
        <w:rPr>
          <w:rFonts w:ascii="Arial" w:cs="Arial" w:eastAsia="Arial" w:hAnsi="Arial"/>
          <w:sz w:val="15"/>
          <w:szCs w:val="15"/>
          <w:color w:val="auto"/>
        </w:rPr>
        <w:t>(Do not check if a smaller reporting company)</w:t>
      </w:r>
    </w:p>
    <w:p>
      <w:pPr>
        <w:sectPr>
          <w:pgSz w:w="11900" w:h="16838" w:orient="portrait"/>
          <w:cols w:equalWidth="0" w:num="1">
            <w:col w:w="11400"/>
          </w:cols>
          <w:pgMar w:left="240" w:top="585" w:right="259" w:bottom="1440" w:gutter="0" w:footer="0" w:header="0"/>
          <w:type w:val="continuous"/>
        </w:sectPr>
      </w:pPr>
    </w:p>
    <w:p>
      <w:pPr>
        <w:spacing w:after="0" w:line="7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R</w:t>
      </w:r>
    </w:p>
    <w:p>
      <w:pPr>
        <w:spacing w:after="0" w:line="75" w:lineRule="exact"/>
        <w:rPr>
          <w:sz w:val="24"/>
          <w:szCs w:val="24"/>
          <w:color w:val="auto"/>
        </w:rPr>
      </w:pPr>
    </w:p>
    <w:p>
      <w:pPr>
        <w:sectPr>
          <w:pgSz w:w="11900" w:h="16838" w:orient="portrait"/>
          <w:cols w:equalWidth="0" w:num="5">
            <w:col w:w="8300" w:space="160"/>
            <w:col w:w="320" w:space="80"/>
            <w:col w:w="140" w:space="180"/>
            <w:col w:w="260" w:space="120"/>
            <w:col w:w="1840"/>
          </w:cols>
          <w:pgMar w:left="240" w:top="585" w:right="259" w:bottom="1440" w:gutter="0" w:footer="0" w:header="0"/>
          <w:type w:val="continuous"/>
        </w:sectPr>
      </w:pPr>
    </w:p>
    <w:p>
      <w:pPr>
        <w:ind w:right="380" w:firstLine="518"/>
        <w:spacing w:after="0" w:line="253" w:lineRule="auto"/>
        <w:rPr>
          <w:sz w:val="20"/>
          <w:szCs w:val="20"/>
          <w:color w:val="auto"/>
        </w:rPr>
      </w:pPr>
      <w:r>
        <w:rPr>
          <w:rFonts w:ascii="Arial" w:cs="Arial" w:eastAsia="Arial" w:hAnsi="Arial"/>
          <w:sz w:val="17"/>
          <w:szCs w:val="17"/>
          <w:color w:val="auto"/>
        </w:rPr>
        <w:t>The aggregate market value of the voting and non-voting common equity held by non-affiliates of the Company as of March 14, 2014 was approximately $1,246,786,500, based upon the closing price on The NASDAQ Global Select Market reported for such date.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 The Company has elected to use March 14, 2014 as the calculation date, as on June 28, 2013 (the last business day of the Company’s most recently completed second fiscal quarter) there was no public market for the Company’s common stock.</w:t>
      </w:r>
    </w:p>
    <w:p>
      <w:pPr>
        <w:spacing w:after="0" w:line="17"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March 14, 2014, the Company had 30,035,894 shares of common stock issued and outstanding.</w:t>
      </w:r>
    </w:p>
    <w:p>
      <w:pPr>
        <w:spacing w:after="0" w:line="28" w:lineRule="exact"/>
        <w:rPr>
          <w:sz w:val="24"/>
          <w:szCs w:val="24"/>
          <w:color w:val="auto"/>
        </w:rPr>
      </w:pPr>
    </w:p>
    <w:p>
      <w:pPr>
        <w:ind w:left="4020"/>
        <w:spacing w:after="0"/>
        <w:rPr>
          <w:sz w:val="20"/>
          <w:szCs w:val="20"/>
          <w:color w:val="auto"/>
        </w:rPr>
      </w:pPr>
      <w:r>
        <w:rPr>
          <w:rFonts w:ascii="Arial" w:cs="Arial" w:eastAsia="Arial" w:hAnsi="Arial"/>
          <w:sz w:val="17"/>
          <w:szCs w:val="17"/>
          <w:b w:val="1"/>
          <w:bCs w:val="1"/>
          <w:color w:val="auto"/>
        </w:rPr>
        <w:t>DOCUMENTS INCORPORATED BY REFERENCE</w:t>
      </w:r>
    </w:p>
    <w:p>
      <w:pPr>
        <w:spacing w:after="0" w:line="54" w:lineRule="exact"/>
        <w:rPr>
          <w:sz w:val="24"/>
          <w:szCs w:val="24"/>
          <w:color w:val="auto"/>
        </w:rPr>
      </w:pPr>
    </w:p>
    <w:p>
      <w:pPr>
        <w:ind w:left="520"/>
        <w:spacing w:after="0"/>
        <w:rPr>
          <w:sz w:val="20"/>
          <w:szCs w:val="20"/>
          <w:color w:val="auto"/>
        </w:rPr>
      </w:pPr>
      <w:r>
        <w:rPr>
          <w:rFonts w:ascii="Arial" w:cs="Arial" w:eastAsia="Arial" w:hAnsi="Arial"/>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40" w:type="dxa"/>
            <w:vAlign w:val="bottom"/>
            <w:gridSpan w:val="7"/>
          </w:tcPr>
          <w:p>
            <w:pPr>
              <w:jc w:val="right"/>
              <w:ind w:right="50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0" w:type="dxa"/>
            <w:vAlign w:val="bottom"/>
            <w:gridSpan w:val="4"/>
            <w:vMerge w:val="restart"/>
          </w:tcPr>
          <w:p>
            <w:pPr>
              <w:jc w:val="center"/>
              <w:ind w:right="474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92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0" w:type="dxa"/>
            <w:vAlign w:val="bottom"/>
            <w:gridSpan w:val="4"/>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vMerge w:val="continue"/>
          </w:tcPr>
          <w:p>
            <w:pPr>
              <w:spacing w:after="0"/>
              <w:rPr>
                <w:sz w:val="24"/>
                <w:szCs w:val="24"/>
                <w:color w:val="auto"/>
              </w:rPr>
            </w:pPr>
          </w:p>
        </w:tc>
        <w:tc>
          <w:tcPr>
            <w:tcW w:w="308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72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1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vMerge w:val="continue"/>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2160" w:type="dxa"/>
            <w:vAlign w:val="bottom"/>
            <w:gridSpan w:val="4"/>
          </w:tcPr>
          <w:p>
            <w:pPr>
              <w:spacing w:after="0"/>
              <w:rPr>
                <w:sz w:val="24"/>
                <w:szCs w:val="24"/>
                <w:color w:val="auto"/>
              </w:rPr>
            </w:pPr>
          </w:p>
        </w:tc>
        <w:tc>
          <w:tcPr>
            <w:tcW w:w="7440" w:type="dxa"/>
            <w:vAlign w:val="bottom"/>
            <w:gridSpan w:val="7"/>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Unresolved Staff Comments</w:t>
              </w:r>
            </w:hyperlink>
          </w:p>
        </w:tc>
        <w:tc>
          <w:tcPr>
            <w:tcW w:w="1020" w:type="dxa"/>
            <w:vAlign w:val="bottom"/>
          </w:tcPr>
          <w:p>
            <w:pPr>
              <w:spacing w:after="0"/>
              <w:rPr>
                <w:sz w:val="24"/>
                <w:szCs w:val="24"/>
                <w:color w:val="auto"/>
              </w:rPr>
            </w:pPr>
          </w:p>
        </w:tc>
        <w:tc>
          <w:tcPr>
            <w:tcW w:w="7440" w:type="dxa"/>
            <w:vAlign w:val="bottom"/>
            <w:gridSpan w:val="7"/>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Properties</w:t>
              </w:r>
            </w:hyperlink>
          </w:p>
        </w:tc>
        <w:tc>
          <w:tcPr>
            <w:tcW w:w="2340" w:type="dxa"/>
            <w:vAlign w:val="bottom"/>
            <w:gridSpan w:val="5"/>
          </w:tcPr>
          <w:p>
            <w:pPr>
              <w:spacing w:after="0"/>
              <w:rPr>
                <w:sz w:val="24"/>
                <w:szCs w:val="24"/>
                <w:color w:val="auto"/>
              </w:rPr>
            </w:pPr>
          </w:p>
        </w:tc>
        <w:tc>
          <w:tcPr>
            <w:tcW w:w="7440" w:type="dxa"/>
            <w:vAlign w:val="bottom"/>
            <w:gridSpan w:val="7"/>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08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7440" w:type="dxa"/>
            <w:vAlign w:val="bottom"/>
            <w:gridSpan w:val="7"/>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134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vMerge w:val="continue"/>
          </w:tcPr>
          <w:p>
            <w:pPr>
              <w:spacing w:after="0"/>
              <w:rPr>
                <w:sz w:val="24"/>
                <w:szCs w:val="24"/>
                <w:color w:val="auto"/>
              </w:rPr>
            </w:pPr>
          </w:p>
        </w:tc>
        <w:tc>
          <w:tcPr>
            <w:tcW w:w="308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7440" w:type="dxa"/>
            <w:vAlign w:val="bottom"/>
            <w:gridSpan w:val="7"/>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6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w:t>
              </w:r>
            </w:hyperlink>
          </w:p>
        </w:tc>
        <w:tc>
          <w:tcPr>
            <w:tcW w:w="5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7A.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9A.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Item 9B.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1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31"/>
        </w:trPr>
        <w:tc>
          <w:tcPr>
            <w:tcW w:w="1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8"/>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31"/>
        </w:trPr>
        <w:tc>
          <w:tcPr>
            <w:tcW w:w="9200" w:type="dxa"/>
            <w:vAlign w:val="bottom"/>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31"/>
        </w:trPr>
        <w:tc>
          <w:tcPr>
            <w:tcW w:w="6460" w:type="dxa"/>
            <w:vAlign w:val="bottom"/>
            <w:tcBorders>
              <w:top w:val="single" w:sz="8" w:color="0000EE"/>
            </w:tcBorders>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274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1"/>
        </w:trPr>
        <w:tc>
          <w:tcPr>
            <w:tcW w:w="3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tcPr>
          <w:p>
            <w:pPr>
              <w:spacing w:after="0"/>
              <w:rPr>
                <w:sz w:val="24"/>
                <w:szCs w:val="24"/>
                <w:color w:val="auto"/>
              </w:rPr>
            </w:pPr>
          </w:p>
        </w:tc>
        <w:tc>
          <w:tcPr>
            <w:tcW w:w="484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1"/>
        </w:trPr>
        <w:tc>
          <w:tcPr>
            <w:tcW w:w="65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Changes in and Disagreements With Accountants on Accounting and Financial Disclosure</w:t>
              </w:r>
            </w:hyperlink>
          </w:p>
        </w:tc>
        <w:tc>
          <w:tcPr>
            <w:tcW w:w="268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1"/>
        </w:trPr>
        <w:tc>
          <w:tcPr>
            <w:tcW w:w="17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Controls and Procedures</w:t>
              </w:r>
            </w:hyperlink>
          </w:p>
        </w:tc>
        <w:tc>
          <w:tcPr>
            <w:tcW w:w="742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31"/>
        </w:trPr>
        <w:tc>
          <w:tcPr>
            <w:tcW w:w="9200" w:type="dxa"/>
            <w:vAlign w:val="bottom"/>
            <w:gridSpan w:val="1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96"/>
        </w:trPr>
        <w:tc>
          <w:tcPr>
            <w:tcW w:w="1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gridSpan w:val="5"/>
          </w:tcPr>
          <w:p>
            <w:pPr>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13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31" w:lineRule="exact"/>
        <w:rPr>
          <w:sz w:val="20"/>
          <w:szCs w:val="20"/>
          <w:color w:val="auto"/>
        </w:rPr>
      </w:pPr>
    </w:p>
    <w:p>
      <w:pPr>
        <w:sectPr>
          <w:pgSz w:w="11900" w:h="16838" w:orient="portrait"/>
          <w:cols w:equalWidth="0" w:num="2">
            <w:col w:w="640" w:space="280"/>
            <w:col w:w="1050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8800" w:type="dxa"/>
            <w:vAlign w:val="bottom"/>
            <w:gridSpan w:val="1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3"/>
          </w:tcPr>
          <w:p>
            <w:pPr>
              <w:spacing w:after="0"/>
              <w:rPr>
                <w:sz w:val="24"/>
                <w:szCs w:val="24"/>
                <w:color w:val="auto"/>
              </w:rPr>
            </w:pPr>
          </w:p>
        </w:tc>
        <w:tc>
          <w:tcPr>
            <w:tcW w:w="4700" w:type="dxa"/>
            <w:vAlign w:val="bottom"/>
            <w:gridSpan w:val="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1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Accountant Fees and Services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80" w:type="dxa"/>
            <w:vAlign w:val="bottom"/>
            <w:gridSpan w:val="4"/>
          </w:tcPr>
          <w:p>
            <w:pPr>
              <w:spacing w:after="0" w:line="196"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IV</w:t>
              </w:r>
            </w:hyperlink>
          </w:p>
        </w:tc>
        <w:tc>
          <w:tcPr>
            <w:tcW w:w="1700" w:type="dxa"/>
            <w:vAlign w:val="bottom"/>
          </w:tcPr>
          <w:p>
            <w:pPr>
              <w:spacing w:after="0"/>
              <w:rPr>
                <w:sz w:val="17"/>
                <w:szCs w:val="17"/>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4720" w:type="dxa"/>
            <w:vAlign w:val="bottom"/>
            <w:gridSpan w:val="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Exhibits and Financial Statement Schedules</w:t>
              </w:r>
            </w:hyperlink>
          </w:p>
        </w:tc>
        <w:tc>
          <w:tcPr>
            <w:tcW w:w="720" w:type="dxa"/>
            <w:vAlign w:val="bottom"/>
            <w:tcBorders>
              <w:top w:val="single" w:sz="8" w:color="0000EE"/>
            </w:tcBorders>
          </w:tcPr>
          <w:p>
            <w:pPr>
              <w:spacing w:after="0"/>
              <w:rPr>
                <w:sz w:val="24"/>
                <w:szCs w:val="24"/>
                <w:color w:val="auto"/>
              </w:rPr>
            </w:pPr>
          </w:p>
        </w:tc>
        <w:tc>
          <w:tcPr>
            <w:tcW w:w="3360" w:type="dxa"/>
            <w:vAlign w:val="bottom"/>
            <w:gridSpan w:val="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9720" w:type="dxa"/>
            <w:vAlign w:val="bottom"/>
            <w:gridSpan w:val="1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Statements made in this Annual Report on Form 10-K that are not statements of historical information are forward-looking statements within the meaning of Section 27A of the Securities Act of 1933, as amended and Section 21E of the Securities Exchange Act of 1934, as amended, or the Exchange Act. We have made these statements in reliance on the safe harbor provisions of the Private Securities Litigation Reform Act of 1995. These statements are subject to certain risks and uncertainties, which could cause actual results to differ materially from those projected or anticipated. Although we believe our assumptions underlying our forward-looking statements are reasonable as of the date of this report we cannot assure you that the forward-looking statements set out in this report will prove to be accurate. We typically identify these forward-looking statements by the use of forward-looking words such as “expect,” “potential,” “continue,” “may,” “will,” “should,” “could,” “would,” “seek,” “intend,” “plan,” “estimate,” “anticipate” or the negative version of those words or other comparable words. Some of the factors that could cause our actual results to differ materially from our expectations or beliefs are disclosed in the “Risk Factors” as well as other sections of this report which include, without limitation: our capital resources, commercial market estimates, safety of our product candidates, future development efforts, patent protection, effects of healthcare reform, reliance on third parties, and other risks set forth below. All forward-looking statements speak only as of the date on which they are made and we disclaim any intent or obligation to update forward-looking statements to reflect subsequent developments or actual results. Except as required by law, we assume no obligation to update any forward-looking statements publicly, or to revise any forward-looking statement to reflect events or developments occurring after the date of this report, even if new information becomes available in the future. Thus, you should not assume that our silence over time means that actual events are bearing out as expressed or implied in any such forward-looking statement.</w:t>
      </w:r>
    </w:p>
    <w:p>
      <w:pPr>
        <w:spacing w:after="0" w:line="4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54" w:lineRule="exact"/>
        <w:rPr>
          <w:sz w:val="20"/>
          <w:szCs w:val="20"/>
          <w:color w:val="auto"/>
        </w:rPr>
      </w:pPr>
    </w:p>
    <w:p>
      <w:pPr>
        <w:ind w:right="80" w:firstLine="518"/>
        <w:spacing w:after="0" w:line="227" w:lineRule="auto"/>
        <w:rPr>
          <w:sz w:val="20"/>
          <w:szCs w:val="20"/>
          <w:color w:val="auto"/>
        </w:rPr>
      </w:pPr>
      <w:r>
        <w:rPr>
          <w:rFonts w:ascii="Arial" w:cs="Arial" w:eastAsia="Arial" w:hAnsi="Arial"/>
          <w:sz w:val="18"/>
          <w:szCs w:val="18"/>
          <w:color w:val="auto"/>
        </w:rPr>
        <w:t>We are a development-stage biopharmaceutical company focused on the identification, acquisition, development, and commercialization of novel products for the treatment of rare and ultra-rare diseases, with an initial focus on serious, debilitating metabolic genetic diseases. We focus on diseases for which the unmet medical need is high, the biology for treatment is clear, and for which there are no approved therapies. Since our inception in 2010, we have in-licensed product candidates for five different diseases that are currently in or have completed Phase 1/2 or Phase 2 clinical studies. Our strategy, which is predicated upon time- and cost-efficient drug development, allows us to pursue multiple programs in parallel with the goal of delivering safe and effective therapies to patients with the utmost urgency.</w:t>
      </w:r>
    </w:p>
    <w:p>
      <w:pPr>
        <w:spacing w:after="0" w:line="27" w:lineRule="exact"/>
        <w:rPr>
          <w:sz w:val="20"/>
          <w:szCs w:val="20"/>
          <w:color w:val="auto"/>
        </w:rPr>
      </w:pPr>
    </w:p>
    <w:p>
      <w:pPr>
        <w:jc w:val="both"/>
        <w:ind w:right="100" w:firstLine="518"/>
        <w:spacing w:after="0" w:line="231" w:lineRule="auto"/>
        <w:rPr>
          <w:sz w:val="20"/>
          <w:szCs w:val="20"/>
          <w:color w:val="auto"/>
        </w:rPr>
      </w:pPr>
      <w:r>
        <w:rPr>
          <w:rFonts w:ascii="Arial" w:cs="Arial" w:eastAsia="Arial" w:hAnsi="Arial"/>
          <w:sz w:val="18"/>
          <w:szCs w:val="18"/>
          <w:color w:val="auto"/>
        </w:rPr>
        <w:t>Our current product candidate pipeline has been either in-licensed from academic institutions or derived from partnerships with other pharmaceutical companies. Our strategy is to acquire and retain global commercialization rights to our products to maximize long-term value, where possible. Over time, we intend to build our own commercial organization, which we believe will be of modest size due to the relatively small number of specialists who treat patients with rare and ultra-rare diseases.</w:t>
      </w:r>
    </w:p>
    <w:p>
      <w:pPr>
        <w:spacing w:after="0" w:line="40" w:lineRule="exact"/>
        <w:rPr>
          <w:sz w:val="20"/>
          <w:szCs w:val="20"/>
          <w:color w:val="auto"/>
        </w:rPr>
      </w:pPr>
    </w:p>
    <w:p>
      <w:pPr>
        <w:jc w:val="both"/>
        <w:ind w:right="80" w:firstLine="518"/>
        <w:spacing w:after="0" w:line="253" w:lineRule="auto"/>
        <w:rPr>
          <w:sz w:val="20"/>
          <w:szCs w:val="20"/>
          <w:color w:val="auto"/>
        </w:rPr>
      </w:pPr>
      <w:r>
        <w:rPr>
          <w:rFonts w:ascii="Arial" w:cs="Arial" w:eastAsia="Arial" w:hAnsi="Arial"/>
          <w:sz w:val="17"/>
          <w:szCs w:val="17"/>
          <w:color w:val="auto"/>
        </w:rPr>
        <w:t>The patients we seek to treat have diseases with limited or no treatment options, and we recognize that their lives and well-being are highly dependent upon our efforts to develop new therapies. For this reason, we are passionate about developing these therapies with the utmost urgency and care. We strive to build a company that is faster, better, and smarter about advancing multiple product candidates through approval.</w:t>
      </w:r>
    </w:p>
    <w:p>
      <w:pPr>
        <w:spacing w:after="0" w:line="17" w:lineRule="exact"/>
        <w:rPr>
          <w:sz w:val="20"/>
          <w:szCs w:val="20"/>
          <w:color w:val="auto"/>
        </w:rPr>
      </w:pPr>
    </w:p>
    <w:p>
      <w:pPr>
        <w:ind w:right="80" w:firstLine="518"/>
        <w:spacing w:after="0" w:line="228" w:lineRule="auto"/>
        <w:rPr>
          <w:sz w:val="20"/>
          <w:szCs w:val="20"/>
          <w:color w:val="auto"/>
        </w:rPr>
      </w:pPr>
      <w:r>
        <w:rPr>
          <w:rFonts w:ascii="Arial" w:cs="Arial" w:eastAsia="Arial" w:hAnsi="Arial"/>
          <w:sz w:val="18"/>
          <w:szCs w:val="18"/>
          <w:color w:val="auto"/>
        </w:rPr>
        <w:t>We were founded in April 2010 by our current President and Chief Executive Officer, Dr. Emil Kakkis, M.D., Ph.D., who is the former Chief Medical Officer of BioMarin Pharmaceutical Inc. We have assembled an experienced team with extensive rare disease drug development and commercialization capabilities. Dr. Kakkis and the team at Ultragenyx have been previously involved at other companies in the development and/or commercialization of many therapies approved or in development for rare metabolic genetic diseases, including Aldurazyme, Naglazyme, Kuvan, and Vimizim (BioMarin); Lumizyme/Myozyme (Sanofi-Genzyme); and asfotase alpha (Enobia; now Alexion).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67"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Our strategy is to identify, acquire, develop, and commercialize novel products for the treatment of rare and ultra-rare diseases in the United States, the European Union, and select international markets, with the goal of becoming a leading rare disease biotechnology company. The critical components of our business strategy include the following:</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5"/>
          <w:szCs w:val="15"/>
          <w:b w:val="1"/>
          <w:bCs w:val="1"/>
          <w:i w:val="1"/>
          <w:iCs w:val="1"/>
          <w:color w:val="auto"/>
        </w:rPr>
        <w:t xml:space="preserve">Focus on rare and ultra-rare diseases with significant unmet medical need.  </w:t>
      </w:r>
      <w:r>
        <w:rPr>
          <w:rFonts w:ascii="Arial" w:cs="Arial" w:eastAsia="Arial" w:hAnsi="Arial"/>
          <w:sz w:val="15"/>
          <w:szCs w:val="15"/>
          <w:color w:val="auto"/>
        </w:rPr>
        <w:t>There are numerous rare and ultra-rare metabolic genetic diseases</w:t>
      </w:r>
    </w:p>
    <w:p>
      <w:pPr>
        <w:spacing w:after="0" w:line="32" w:lineRule="exact"/>
        <w:rPr>
          <w:sz w:val="20"/>
          <w:szCs w:val="20"/>
          <w:color w:val="auto"/>
        </w:rPr>
      </w:pPr>
    </w:p>
    <w:p>
      <w:pPr>
        <w:ind w:left="900" w:right="140"/>
        <w:spacing w:after="0" w:line="229" w:lineRule="auto"/>
        <w:rPr>
          <w:sz w:val="20"/>
          <w:szCs w:val="20"/>
          <w:color w:val="auto"/>
        </w:rPr>
      </w:pPr>
      <w:r>
        <w:rPr>
          <w:rFonts w:ascii="Arial" w:cs="Arial" w:eastAsia="Arial" w:hAnsi="Arial"/>
          <w:sz w:val="18"/>
          <w:szCs w:val="18"/>
          <w:color w:val="auto"/>
        </w:rPr>
        <w:t>that currently have no approved drug therapy and for which no therapies are currently in development. Patients suffering from these diseases often have a high unmet medical need with significant morbidity and/or mortality. We are focused on developing and commercializing therapies for multiple such indications with the utmost urgency.</w:t>
      </w:r>
    </w:p>
    <w:p>
      <w:pPr>
        <w:spacing w:after="0" w:line="26" w:lineRule="exact"/>
        <w:rPr>
          <w:sz w:val="20"/>
          <w:szCs w:val="20"/>
          <w:color w:val="auto"/>
        </w:rPr>
      </w:pPr>
    </w:p>
    <w:p>
      <w:pPr>
        <w:ind w:left="900" w:right="80" w:hanging="365"/>
        <w:spacing w:after="0" w:line="275" w:lineRule="auto"/>
        <w:rPr>
          <w:sz w:val="20"/>
          <w:szCs w:val="20"/>
          <w:color w:val="auto"/>
        </w:rPr>
      </w:pPr>
      <w:r>
        <w:rPr>
          <w:rFonts w:ascii="Arial" w:cs="Arial" w:eastAsia="Arial" w:hAnsi="Arial"/>
          <w:sz w:val="13"/>
          <w:szCs w:val="13"/>
          <w:color w:val="auto"/>
        </w:rPr>
        <w:t>—</w:t>
      </w:r>
      <w:r>
        <w:rPr>
          <w:rFonts w:ascii="Arial" w:cs="Arial" w:eastAsia="Arial" w:hAnsi="Arial"/>
          <w:sz w:val="16"/>
          <w:szCs w:val="16"/>
          <w:b w:val="1"/>
          <w:bCs w:val="1"/>
          <w:i w:val="1"/>
          <w:iCs w:val="1"/>
          <w:color w:val="auto"/>
        </w:rPr>
        <w:t xml:space="preserve">Focus on diseases and therapies with clear mechanisms of action. </w:t>
      </w:r>
      <w:r>
        <w:rPr>
          <w:rFonts w:ascii="Arial" w:cs="Arial" w:eastAsia="Arial" w:hAnsi="Arial"/>
          <w:sz w:val="16"/>
          <w:szCs w:val="16"/>
          <w:color w:val="auto"/>
        </w:rPr>
        <w:t>We also focus on diseases that have biology and root causes that are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understood. For example, several of our product candidates are replacement therapies for a single deficient enzyme or substrate in the body. We believe that developing drugs that directly impact known disease pathways will increase the probability of success of our development programs.</w:t>
      </w:r>
    </w:p>
    <w:p>
      <w:pPr>
        <w:spacing w:after="0" w:line="2" w:lineRule="exact"/>
        <w:rPr>
          <w:sz w:val="20"/>
          <w:szCs w:val="20"/>
          <w:color w:val="auto"/>
        </w:rPr>
      </w:pPr>
    </w:p>
    <w:p>
      <w:pPr>
        <w:ind w:left="900" w:right="20" w:hanging="365"/>
        <w:spacing w:after="0" w:line="227" w:lineRule="auto"/>
        <w:rPr>
          <w:sz w:val="20"/>
          <w:szCs w:val="20"/>
          <w:color w:val="auto"/>
        </w:rPr>
      </w:pPr>
      <w:r>
        <w:rPr>
          <w:rFonts w:ascii="Arial" w:cs="Arial" w:eastAsia="Arial" w:hAnsi="Arial"/>
          <w:sz w:val="13"/>
          <w:szCs w:val="13"/>
          <w:color w:val="auto"/>
        </w:rPr>
        <w:t>—</w:t>
      </w:r>
      <w:r>
        <w:rPr>
          <w:rFonts w:ascii="Arial" w:cs="Arial" w:eastAsia="Arial" w:hAnsi="Arial"/>
          <w:sz w:val="18"/>
          <w:szCs w:val="18"/>
          <w:b w:val="1"/>
          <w:bCs w:val="1"/>
          <w:i w:val="1"/>
          <w:iCs w:val="1"/>
          <w:color w:val="auto"/>
        </w:rPr>
        <w:t xml:space="preserve">Leverage our experience and relationships to in-license promising product candidates. </w:t>
      </w:r>
      <w:r>
        <w:rPr>
          <w:rFonts w:ascii="Arial" w:cs="Arial" w:eastAsia="Arial" w:hAnsi="Arial"/>
          <w:sz w:val="18"/>
          <w:szCs w:val="18"/>
          <w:color w:val="auto"/>
        </w:rPr>
        <w:t>Our management team has strong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opinion leaders in the metabolic genetic field, as well as a history of success in the development and commercialization of therapies for rare and ultra-rare genetic diseases. Accordingly, we enjoy unique access to many in-licensing opportunities. All of our current product candidates are in-licensed from academic institutions or derived from partnerships with other pharmaceutical companies. We believe these parties have agreed to license product candidates to us because they are confident in our drug development capabilities and experience in bringing rare disease therapies to market.</w:t>
      </w:r>
    </w:p>
    <w:p>
      <w:pPr>
        <w:spacing w:after="0" w:line="27" w:lineRule="exact"/>
        <w:rPr>
          <w:sz w:val="20"/>
          <w:szCs w:val="20"/>
          <w:color w:val="auto"/>
        </w:rPr>
      </w:pPr>
    </w:p>
    <w:p>
      <w:pPr>
        <w:ind w:left="900" w:hanging="365"/>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6"/>
          <w:szCs w:val="16"/>
          <w:b w:val="1"/>
          <w:bCs w:val="1"/>
          <w:i w:val="1"/>
          <w:iCs w:val="1"/>
          <w:color w:val="auto"/>
        </w:rPr>
        <w:t xml:space="preserve">Develop and commercialize multiple product candidates in parallel. </w:t>
      </w:r>
      <w:r>
        <w:rPr>
          <w:rFonts w:ascii="Arial" w:cs="Arial" w:eastAsia="Arial" w:hAnsi="Arial"/>
          <w:sz w:val="16"/>
          <w:szCs w:val="16"/>
          <w:color w:val="auto"/>
        </w:rPr>
        <w:t>Clinical studies for rare and ultra-rare diseases can often be smaller, fewer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number, and less expensive than those for larger market indications. Development of multiple programs in the metabolic genetics field also generates organizational efficiencies and economies of scale. As a result of these efficiencies, we can feasibly develop multiple clinical-stage product candidates in parallel, resulting in a more diversified portfolio that provides multiple opportunities to create value.</w:t>
      </w:r>
    </w:p>
    <w:p>
      <w:pPr>
        <w:spacing w:after="0" w:line="8" w:lineRule="exact"/>
        <w:rPr>
          <w:sz w:val="20"/>
          <w:szCs w:val="20"/>
          <w:color w:val="auto"/>
        </w:rPr>
      </w:pPr>
    </w:p>
    <w:p>
      <w:pPr>
        <w:jc w:val="both"/>
        <w:ind w:left="900" w:right="40" w:hanging="365"/>
        <w:spacing w:after="0" w:line="231" w:lineRule="auto"/>
        <w:rPr>
          <w:sz w:val="20"/>
          <w:szCs w:val="20"/>
          <w:color w:val="auto"/>
        </w:rPr>
      </w:pPr>
      <w:r>
        <w:rPr>
          <w:rFonts w:ascii="Arial" w:cs="Arial" w:eastAsia="Arial" w:hAnsi="Arial"/>
          <w:sz w:val="13"/>
          <w:szCs w:val="13"/>
          <w:color w:val="auto"/>
        </w:rPr>
        <w:t>—</w:t>
      </w:r>
      <w:r>
        <w:rPr>
          <w:rFonts w:ascii="Arial" w:cs="Arial" w:eastAsia="Arial" w:hAnsi="Arial"/>
          <w:sz w:val="18"/>
          <w:szCs w:val="18"/>
          <w:b w:val="1"/>
          <w:bCs w:val="1"/>
          <w:i w:val="1"/>
          <w:iCs w:val="1"/>
          <w:color w:val="auto"/>
        </w:rPr>
        <w:t xml:space="preserve">Focus on excellent and rapid clinical and regulatory execution. </w:t>
      </w:r>
      <w:r>
        <w:rPr>
          <w:rFonts w:ascii="Arial" w:cs="Arial" w:eastAsia="Arial" w:hAnsi="Arial"/>
          <w:sz w:val="18"/>
          <w:szCs w:val="18"/>
          <w:color w:val="auto"/>
        </w:rPr>
        <w:t>We believe that building a successful and sustainable rare disease-focused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requires very specific expertise in the areas of patient identification, clinical study design and conduct, and regulatory strategy. We have assembled a team with a successful track record in managing global clinical development activities in an efficient manner, and with multinational experience in obtaining regulatory approvals for rare disease products.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ind w:left="900" w:right="160" w:hanging="365"/>
        <w:spacing w:after="0" w:line="273"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Seek to retain global commercialization rights to product candidates. </w:t>
      </w:r>
      <w:r>
        <w:rPr>
          <w:rFonts w:ascii="Arial" w:cs="Arial" w:eastAsia="Arial" w:hAnsi="Arial"/>
          <w:sz w:val="16"/>
          <w:szCs w:val="16"/>
          <w:color w:val="auto"/>
        </w:rPr>
        <w:t>We intend to seek and retain global commercialization rights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whenever possible to maximize the potential value of our product portfolio. Our plan is to establish our own commercial organization in major pharmaceutical markets and develop a network of third-party distributors in smaller markets. We believe this commercial organization can be modest and targeted due to the relatively small number of specialists who typically treat patients with the diseases to be addressed by our product candidates. As a result, we do not expect that we will require pharmaceutical partners for commercialization of our product candidates, although we may consider partnering for certain territories or indications or for other strategic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94"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current pipeline consists of two product categories: biologics, including a monoclonal antibody and enzyme replacement therapies;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57785</wp:posOffset>
            </wp:positionV>
            <wp:extent cx="5351145" cy="2804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KRN23 (UX023) for the treatment of XLH</w:t>
      </w:r>
    </w:p>
    <w:p>
      <w:pPr>
        <w:spacing w:after="0" w:line="9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KRN23 is a fully human monoclonal antibody administered via subcutaneous injection that is designed to bind and reduce the biological activity of fibroblast growth factor 23, or FGF23, to increase abnormally low phosphate levels in patients with X-linked hypophosphatemia, or XLH. Patients with XLH have low serum phosphate levels due to excessive phosphate loss into the urine, which is directly caused by the effect on kidney function of excess FGF23 production in bone cells. Low phosphate levels lead to poor bone mineralization and a variety of clinical manifestations, including skeletal deformity, bone pain, short stature, gross motor impairment, muscle weakness, and lower than normal bone density. There is no approved drug therapy or treatment for the underlying cause of XLH. Most patients are managed using frequently dosed oral phosphate replacement and/or vitamin D therapy, which is only partially effective at restoring bone physiology and growth and has significant side effects. These therapies require extremely close monitoring due to the potential for excessive spikes in phosphate levels, which can result in severe damage to the kidneys from excess calcium and phosphate deposits and other complications. Additionally, some patients are unable to tolerate the regimen due to the chalky stool that results from taking large amounts of oral phosphate or the high frequency of dosing required.</w:t>
      </w:r>
    </w:p>
    <w:p>
      <w:pPr>
        <w:spacing w:after="0" w:line="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August 2013, we formed a collaboration with Kyowa Hakko Kirin Co., Ltd., or KHK, to jointly develop and commercialize KRN23 for the treatment of XLH. KHK has conducted one Phase 1 study, one Phase 1/2 study and one Phase 1/2 extension study of KRN23 in adults with XLH. We reviewed safety and efficacy data from the Phase 1/2 studies prior to entering into our collaboration with KHK, and we entered into the collaboration based in part upon our conclusion that these data were supportive of further development (i.e., serum phosphate, renal tubular reabsorption of phosphate, and Vitamin D levels were increased, and the product appeared well tolerated).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36" w:right="279" w:bottom="1440" w:gutter="0" w:footer="0" w:header="0"/>
        </w:sectPr>
      </w:pPr>
    </w:p>
    <w:bookmarkStart w:id="5" w:name="page6"/>
    <w:bookmarkEnd w:id="5"/>
    <w:p>
      <w:pPr>
        <w:ind w:right="100" w:firstLine="518"/>
        <w:spacing w:after="0" w:line="290" w:lineRule="auto"/>
        <w:rPr>
          <w:sz w:val="20"/>
          <w:szCs w:val="20"/>
          <w:color w:val="auto"/>
        </w:rPr>
      </w:pPr>
      <w:r>
        <w:rPr>
          <w:rFonts w:ascii="Arial" w:cs="Arial" w:eastAsia="Arial" w:hAnsi="Arial"/>
          <w:sz w:val="16"/>
          <w:szCs w:val="16"/>
          <w:color w:val="auto"/>
        </w:rPr>
        <w:t>Results from the Phase 1 single dose study in 38 adult XLH patients were presented at the American Society for Bone and Mineral Research Annual Meeting in October 2013 and published in the Journal of Clinical Investigation in February 2014. The data demonstrated that KRN23 was well tolerated and increased serum phosphate, or phosphorus, as well as vitamin D levels. Of the 38 adult XLH patients, 12 received a single subcutaneous injection of KRN23 (at doses of 0.1, 0.3, 0.6, or 1.0 mg/kg), 17 received a single intravenous injection of KRN23 (at doses of 0.003, 0.01, 0.03, 0.1, or 0.3 mg/kg) and 9 received placebo. The effect of KRN23 on the increase in serum phosphate levels was comparable between intravenous and subcutaneous administration; however, time to reach peak effect was slower and duration of effect was greater with subcutaneous administration The demonstrated improvement suggests that significant benefit could be expected. Corresponding changes were observed in renal tubular reabsorption of phosphate. Increases in Vitamin D were also observed, suggesting improved intestinal absorption of both phosphate and calcium. Changes were not observed in serum calcium.</w:t>
      </w:r>
    </w:p>
    <w:p>
      <w:pPr>
        <w:spacing w:after="0" w:line="31" w:lineRule="exact"/>
        <w:rPr>
          <w:sz w:val="20"/>
          <w:szCs w:val="20"/>
          <w:color w:val="auto"/>
        </w:rPr>
      </w:pPr>
    </w:p>
    <w:p>
      <w:pPr>
        <w:ind w:right="440" w:firstLine="518"/>
        <w:spacing w:after="0" w:line="297" w:lineRule="auto"/>
        <w:rPr>
          <w:sz w:val="20"/>
          <w:szCs w:val="20"/>
          <w:color w:val="auto"/>
        </w:rPr>
      </w:pPr>
      <w:r>
        <w:rPr>
          <w:rFonts w:ascii="Arial" w:cs="Arial" w:eastAsia="Arial" w:hAnsi="Arial"/>
          <w:sz w:val="16"/>
          <w:szCs w:val="16"/>
          <w:color w:val="auto"/>
        </w:rPr>
        <w:t>No serious adverse events were reported in the Phase 1 study, although some patients (approximately 83%) experienced non-serious treatment-emergent adverse events. The most common non-serious treatment-emergent adverse events in the study overall were nausea and headache, although no patients in the placebo or subcutaneous treatment arms reported these events. In the subcutaneous arm, two patients (approximately 17%) experienced elevated levels of the enzyme amylase in the blood, and two other patients (approximately 17%) experienced back pain. There did not appear to be a relationship between the incidence and types of adverse events and the dose administered following a single dose of study drug.</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data from the completed Phase 1/2 adult repeat-dose studies will be released in 2014.</w:t>
      </w:r>
    </w:p>
    <w:p>
      <w:pPr>
        <w:spacing w:after="0" w:line="7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Following discussions with multiple regulatory agencies on our pediatric study design, we plan to initiate a Phase 2 pediatric study in 2014 in approximately 30 patients with radiographic evidence of bone disease. Depending on the results of our Phase 2 pediatric study, we intend to conduct a Phase 3 pediatric trial. Given the high turnover and growth of bone during childhood and the critical role phosphate plays in bone growth, pediatric XLH patients have the highest morbidity and potential for benefit in a shorter timeframe. As a result, pediatric XLH patients may also have the greatest potential for improvement based on third-party data regarding enzyme replacement therapy in hypophosphatasia, which is another genetic bone disease with poor bone mineralization related to phosphate metabolism caused by a different, unrelated mechanism. We also expect to continue to develop KRN23 in adults with XLH and plan to conduct an adult Phase 2b study in parallel with our Phase 3 pediatric trial.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rhGUS (UX003) for the treatment of MPS 7</w:t>
      </w:r>
    </w:p>
    <w:p>
      <w:pPr>
        <w:spacing w:after="0" w:line="7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Recombinant human beta-glucuronidase, or rhGUS, is an intravenous, or IV, enzyme replacement therapy for the treatment of mucopolysaccharidosis 7, or MPS 7, also known as Sly Syndrome. Patients with MPS 7 suffer from severe cellular and organ dysfunction that typically leads to death in the teens or early adulthood. MPS 7 is caused by a deficiency of the lysosomal enzyme beta-glucuronidase, which is required for the breakdown of certain complex carbohydrates known as glycosaminoglycans, or GAGs. The inability to properly break down GAGs leads to their accumulation in many tissues, resulting in a serious multi-system disease. There are currently no approved drug therapies for MPS 7.</w:t>
      </w:r>
    </w:p>
    <w:p>
      <w:pPr>
        <w:spacing w:after="0" w:line="24"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licensed exclusive worldwide rights to rhGUS-related know-how and cell lines from Saint Louis University in November 2010. We have conducted preclinical studies to support the chronic IV administration of rhGUS. Administration of rhGUS resulted in substantial distribution of enzyme, as well as reduction in tissue pathology in a wide variety of tissues, including the liver, spleen, lung, heart, kidney, muscle, bone, and brain. No adverse toxicology related to rhGUS was noted in these studies.</w:t>
      </w:r>
    </w:p>
    <w:p>
      <w:pPr>
        <w:spacing w:after="0" w:line="5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December 2013 we initiated an open-label, Phase 1/2 study in the United Kingdom to evaluate the safety, tolerability, efficacy, and dose of IV administration every other week of rhGUS in up to five patients with MPS 7 who are between five and 30 years of age. The initial 12-week treatment period will be followed by a dose-titration period and a long-term extension study. We expect to release interim data from this study during 2014. If these results are supportive, we plan to initiate a pivotal Phase 3 study enrolling at least 12 patients.</w:t>
      </w:r>
    </w:p>
    <w:p>
      <w:pPr>
        <w:spacing w:after="0" w:line="38" w:lineRule="exact"/>
        <w:rPr>
          <w:sz w:val="20"/>
          <w:szCs w:val="20"/>
          <w:color w:val="auto"/>
        </w:rPr>
      </w:pPr>
    </w:p>
    <w:p>
      <w:pPr>
        <w:ind w:right="80" w:firstLine="518"/>
        <w:spacing w:after="0" w:line="246" w:lineRule="auto"/>
        <w:rPr>
          <w:sz w:val="20"/>
          <w:szCs w:val="20"/>
          <w:color w:val="auto"/>
        </w:rPr>
      </w:pPr>
      <w:r>
        <w:rPr>
          <w:rFonts w:ascii="Arial" w:cs="Arial" w:eastAsia="Arial" w:hAnsi="Arial"/>
          <w:sz w:val="17"/>
          <w:szCs w:val="17"/>
          <w:color w:val="auto"/>
        </w:rPr>
        <w:t>We are also supplying rhGUS to an investigator who is treating a single U.S. patient under an emergency investigational new drug, or eIND, application. Results from the treatment of this patient were presented at the Lysosomal Disease Network’s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Annual World Symposium in February 2014. Preliminary data showed a reduction in lysosomal storage based on reduced excretion of urinary glycosaminoglycans, or urinary GAG, and a reduction in the size of the enlarged liver and spleen. The patient showed an improvement of pulmonary function and no infusion-associated reactions during the first 14 weeks of treatment. The patient’s caregivers also reported improved stamina and increased time spent in school.</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European Medicines Agency, or EMA, has agreed that approval under exceptional circumstances could be possible for a proposed 12-</w:t>
      </w:r>
    </w:p>
    <w:p>
      <w:pPr>
        <w:spacing w:after="0" w:line="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patient placebo-controlled pivotal study in this disease with urinary GAG levels as a surrogate primary endpoint provided the data was strongly supportive of a favorable benefit/risk ratio. The EMA requested that some evidence or trend in improvement in clinical endpoints be observed to support the primary endpoint, but recognized that a statistically significant result on clinical endpoints was unlikely given the small number of patients expected to be enrolled in the study. The United States Food and Drug Administration, or FDA, has not yet agreed to the pivotal study plan and would like to see additional data correlating urinary GAG levels with other clinical endpoints, which we are collecting through our Phase 1/2 study.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36" w:right="239" w:bottom="1440" w:gutter="0" w:footer="0" w:header="0"/>
        </w:sectPr>
      </w:pPr>
    </w:p>
    <w:bookmarkStart w:id="6" w:name="page7"/>
    <w:bookmarkEnd w:id="6"/>
    <w:p>
      <w:pPr>
        <w:jc w:val="both"/>
        <w:ind w:right="20" w:firstLine="518"/>
        <w:spacing w:after="0" w:line="264" w:lineRule="auto"/>
        <w:rPr>
          <w:sz w:val="20"/>
          <w:szCs w:val="20"/>
          <w:color w:val="auto"/>
        </w:rPr>
      </w:pPr>
      <w:r>
        <w:rPr>
          <w:rFonts w:ascii="Arial" w:cs="Arial" w:eastAsia="Arial" w:hAnsi="Arial"/>
          <w:sz w:val="18"/>
          <w:szCs w:val="18"/>
          <w:color w:val="auto"/>
        </w:rPr>
        <w:t>In addition to the above development plan, we intend to study MPS 7 patients under the age of five years, including younger infants born with hydrops fetalis. Currently, these infants may die within a few months to one year, but enzyme replacement therapy might be able to reduce GAG storage and improve health and survival in these patients.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rhPPCA (UX004) for the treatment of galactosialidosis</w:t>
      </w:r>
    </w:p>
    <w:p>
      <w:pPr>
        <w:spacing w:after="0" w:line="7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Recombinant human protective protein cathepsin-A, or rhPPCA, which we in-licensed from St. Jude Children’s Research Hospital in September 2012, is in preclinical development as an enzyme replacement therapy for galactosialidosis, a rare lysosomal storage disease for which there are no currently approved drug therapies. Similar to MPS patients, patients with galactosialidosis present with both soft tissue storage in the liver, spleen, and other tissues, as well as connective tissue (bone and cartilage) related disease. As with MPS 7, an enzyme deficiency results in accumulation of substrates in the lysosomes, causing skeletal and organ dysfunction, and death. We plan to continue preclinical development of rhPPCA during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Triheptanoin (UX007) for the treatment of LC-FAOD</w:t>
      </w:r>
    </w:p>
    <w:p>
      <w:pPr>
        <w:spacing w:after="0" w:line="9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are developing triheptanoin for oral administration intended as a substrate replacement therapy for patients with long-chain fatty acid oxidation disorders, or LC-FAOD. Triheptanoin is a medium odd-chain triglyceride of three seven-carbon fatty acids designed to provide substrate replacement for fatty acid metabolism and restore production of energy. Patients with LC-FAOD have a deficiency that impairs the ability to produce energy from fat, which can lead to depletion of glucose in the body, and severe liver, muscle, and heart disease, as well as death. There are currently no approved drugs or treatments specifically for LC-FAOD. The current standard of care for LC-FAOD includes diligent prevention of fasting combined with the use of low-fat/high-carbohydrate diets, carnitine supplementation in some cases, and medium even-chain triglyceride, or MCT, oil supplementation. Despite treatment with the current standard of care, many patients continue to suffer significant morbidity and mortality.</w:t>
      </w:r>
    </w:p>
    <w:p>
      <w:pPr>
        <w:spacing w:after="0" w:line="29"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licensed certain intellectual property rights relating to triheptanoin from Baylor Research Institute in August 2012. Triheptanoin has been studied clinically for 13 years in approximately 130 human subjects affected by a variety of diseases, including greater than 60 patients with LC-FAOD. Multiple investigator-sponsored open-label studies suggest clinical improvements with triheptanoin treatment, even for patients who were on standard of care. We recently presented a retrospective medical record review study assessing the clinical outcome of triheptanoin treatment on LC-FAOD subjects who have been participating in a compassionate use program at the University of Pittsburgh Medical Center. The data showed that treatment with triheptanoin appeared to reduce the frequency and severity of hospitalizations previously experienced by these patients for disease-related causes, including muscle rupture, hypoglycemia, and cardiomyopathy. A reduction in mean total hospital days per year from 17.55 to 5.40 (69%; p = 0.0242) was observed.</w:t>
      </w:r>
    </w:p>
    <w:p>
      <w:pPr>
        <w:spacing w:after="0" w:line="1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Triheptanoin is currently being evaluated in a prospective, interventional, open-label Phase 2 study in approximately 30 severely affected LC-FAOD patients, ages 6 months to 35 years, exhibiting significant clinical manifestations of LC-FAOD despite current therapy. A principal goal of the study is to determine the appropriate clinical endpoints and patient population for testing in potential later-stage pivotal studies. The study will be conducted at approximately eight clinical sites in the United States and Europe. Prior to initiating treatment with triheptanoin, subjects will continue current therapy for four weeks to establish their baseline condition. Triheptanoin will then be titrated to an expected target dose of 25-35% of total daily caloric intake via oral administration, while ensuring tolerability. The study will assess the impact of triheptanoin on several endpoints, including cycle ergometer performance, 12-minute walk test, muscle strength, creatine kinase levels, hypoglycemia, liver size, cardiac disease, and major medical events. The patients will be followed to evaluate the effects of triheptanoin treatment on acute clinical pathophysiology associated with LC-FAOD over 24 weeks, then may continue treatment for an additional 54 weeks for observation of major medical events. We expect that data from this study will be available in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Triheptanoin (UX007) for the treatment of Glut1 DS</w:t>
      </w:r>
    </w:p>
    <w:p>
      <w:pPr>
        <w:spacing w:after="0" w:line="50" w:lineRule="exact"/>
        <w:rPr>
          <w:sz w:val="20"/>
          <w:szCs w:val="20"/>
          <w:color w:val="auto"/>
        </w:rPr>
      </w:pPr>
    </w:p>
    <w:p>
      <w:pPr>
        <w:ind w:firstLine="518"/>
        <w:spacing w:after="0" w:line="224" w:lineRule="auto"/>
        <w:rPr>
          <w:sz w:val="20"/>
          <w:szCs w:val="20"/>
          <w:color w:val="auto"/>
        </w:rPr>
      </w:pPr>
      <w:r>
        <w:rPr>
          <w:rFonts w:ascii="Arial" w:cs="Arial" w:eastAsia="Arial" w:hAnsi="Arial"/>
          <w:sz w:val="18"/>
          <w:szCs w:val="18"/>
          <w:color w:val="auto"/>
        </w:rPr>
        <w:t>We are also developing triheptanoin for patients with glucose transporter type-1 deficiency syndrome, or Glut1 DS. Glut1 DS is caused by a mutation affecting the gene that codes for Glut1, which is a protein that transports glucose from the blood into the brain. Because glucose is the primary source of energy for the brain, Glut1 DS results in a chronic state of brain energy deficiency and is characterized by seizures, developmental delay, and movement disorder. There are currently no approved drugs specific to Glut1 DS. The current standard of care for Glut1 DS is the ketogenic diet, an extreme high-fat (70-80% of daily calories as fat)/low-carbohydrate diet, which generates ketone bodies as an alternative energy source to glucose, and one or more antiepileptic drugs. The ketogenic diet is difficult to comply with and may have limited effectiveness in the treatment of developmental delay and movement disorders. In addition, ketogenic diet can lead to side effects including renal stones. There are currently no antiepileptic drugs approved specifically for patients with Glut 1 DS. In general, Glut 1 DS patients are considered relatively refractory to antiepileptic drugs with only approximately 10% achieving seizure control on antiepileptic drugs alone.</w:t>
      </w:r>
    </w:p>
    <w:p>
      <w:pPr>
        <w:spacing w:after="0" w:line="31" w:lineRule="exact"/>
        <w:rPr>
          <w:sz w:val="20"/>
          <w:szCs w:val="20"/>
          <w:color w:val="auto"/>
        </w:rPr>
      </w:pPr>
    </w:p>
    <w:p>
      <w:pPr>
        <w:ind w:right="80" w:firstLine="518"/>
        <w:spacing w:after="0" w:line="228" w:lineRule="auto"/>
        <w:rPr>
          <w:sz w:val="20"/>
          <w:szCs w:val="20"/>
          <w:color w:val="auto"/>
        </w:rPr>
      </w:pPr>
      <w:r>
        <w:rPr>
          <w:rFonts w:ascii="Arial" w:cs="Arial" w:eastAsia="Arial" w:hAnsi="Arial"/>
          <w:sz w:val="18"/>
          <w:szCs w:val="18"/>
          <w:color w:val="auto"/>
        </w:rPr>
        <w:t>Triheptanoin is intended as a substrate replacement therapy to provide an alternative source of energy to the brain in Glut1 DS patients. Although an open-label investigator-sponsored clinical study is ongoing and the results have not yet been reported, there are anecdotal reports of benefit in terms of reduced seizures and improved development rate in some Glut1 DS subjects taking triheptanoin. In March 2014, we initiated a Phase 2 global, randomized, double-blind, placebo-controlled, parallel-group study of up to 50 patients between three and 17 years of age inclusive, who are currently not fully compliant with ketogenic diet and continue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36" w:right="259" w:bottom="1440" w:gutter="0" w:footer="0" w:header="0"/>
        </w:sectPr>
      </w:pPr>
    </w:p>
    <w:bookmarkStart w:id="7" w:name="page8"/>
    <w:bookmarkEnd w:id="7"/>
    <w:p>
      <w:pPr>
        <w:ind w:right="140"/>
        <w:spacing w:after="0" w:line="231" w:lineRule="auto"/>
        <w:rPr>
          <w:sz w:val="20"/>
          <w:szCs w:val="20"/>
          <w:color w:val="auto"/>
        </w:rPr>
      </w:pPr>
      <w:r>
        <w:rPr>
          <w:rFonts w:ascii="Arial" w:cs="Arial" w:eastAsia="Arial" w:hAnsi="Arial"/>
          <w:sz w:val="18"/>
          <w:szCs w:val="18"/>
          <w:color w:val="auto"/>
        </w:rPr>
        <w:t>have seizures. The primary efficacy objective is the reduction in frequency of seizures compared to placebo following a 6-week baseline period and subsequent 8-week placebo-controlled treatment period. The blinded treatment period will be followed by an open-label extension period in which patients will be treated with triheptanoin through week 52. Patient enrollment may be modified based on an interim analysis. We expect to release data from this trial in 2015.</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continue to support investigator-sponsored trials studying triheptanoin across multiple indications.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SA-ER (UX001) for the treatment of HIBM</w:t>
      </w:r>
    </w:p>
    <w:p>
      <w:pPr>
        <w:spacing w:after="0" w:line="7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are developing an extended-release, oral formulation of sialic acid, or SA-ER, for the treatment of hereditary inclusion body myopathy, or HIBM, which is also known as GNE myopathy. HIBM is characterized by severe progressive muscular myopathy, or disease in which muscle fibers do not function properly, with onset typically in the late teens or twenties. Patients with HIBM have a genetic defect in the gene coding for a particular enzyme that is involved in the first step in the biosynthesis of sialic acid. Therefore, HIBM patients have a sialic acid deficiency, which interferes with muscle function, leading to myopathy and atrophy. Patients typically lose major muscle function within ten to 20 years of diagnosis. There is no approved drug therapy for HIBM.</w:t>
      </w:r>
    </w:p>
    <w:p>
      <w:pPr>
        <w:spacing w:after="0" w:line="58"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SA-ER is intended as a substrate replacement therapy designed to address sialic acid deficiency and restore muscle function in HIBM patients. We have conducted a Phase 2 randomized, double-blind, placebo-controlled study of SA-ER in 47 HIBM patients. Top-line results after 48 weeks of treatment showed a modest increase in upper extremity muscle strength composite at the higher dose that was statistically significant versus the decline observed at the lower dose. A positive trend was seen in a patient-reported outcome of functional activity. The results were consistent with the 24-week analysis. SA-ER appears to be well tolerated with no serious adverse events observed to date in either dose group. Data from this study is expected to be presented during 2014. We continue to treat patients in an extension study evaluating an increased daily dosage of sialic acid based on the dose dependence observed at weeks 24 and 48. We anticipate that data from the extension study should be available in late 2014. We also plan to discuss data from this program with regulatory authorities during 2014. In parallel, we are pursuing development of preclinical prodrugs of sialic acid, which may have better absorption into muscle tissue.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commercialization of new drugs is competitive, and we may face worldwide competition from individual investigators, major pharmaceutical companies, specialty pharmaceutical companies, biotechnology companies, nutraceutical companies, and ultimately biosimilar and generic companies. Our competitors may develop or market therapies that are more effective, safer, or less costly than any that may be commercialized by us, or may obtain regulatory approval for their therapies more rapidly than we may obtain approval for ours.</w:t>
      </w:r>
    </w:p>
    <w:p>
      <w:pPr>
        <w:spacing w:after="0" w:line="52"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The acquisition or licensing of pharmaceutical products is also very competitive, and a number of more established companies, which have acknowledged strategies to license or acquire products, may have competitive advantages as may other emerging companies taking similar or different approaches to product acquisitions. These established companies may have a competitive advantage over us due to their size, cash flows, and institutional experience.</w:t>
      </w:r>
    </w:p>
    <w:p>
      <w:pPr>
        <w:spacing w:after="0" w:line="3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With respect to KRN23, although we are not aware of any other products currently in clinical development for the treatment of XLH, it is possible that competitors may produce, develop, and commercialize therapeutics, or utilize other approaches such as gene therapy, to treat XLH. Most pediatric patients with XLH are managed using oral phosphate replacement and/or vitamin D therapy, which is relatively inexpensive and therefore may adversely affect our ability to commercialize KRN23, if approved, in some countries.</w:t>
      </w:r>
    </w:p>
    <w:p>
      <w:pPr>
        <w:spacing w:after="0" w:line="3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With respect to rhGUS and rhPPCA, we are not aware of any other compounds currently in clinical development for MPS 7 or galactosialidosis, but it is possible that other companies may produce, develop, and commercialize compounds that might treat these diseases. Additionally, gene therapy and other therapeutic approaches may emerge for the treatment of lysosomal diseases. Bone marrow or stem cell transplants have also been used in MPS 7 and in other lysosomal storage diseases and represent a potential competing therapy. Stem cell transplants have been effective in treating soft tissue storage and in having an impact on brain disease, but have not to date proven effective in treating bone and connective tissue disease. Enzyme replacement therapy can have an impact on bone and connective tissue disease if patients are treated early.</w:t>
      </w:r>
    </w:p>
    <w:p>
      <w:pPr>
        <w:spacing w:after="0" w:line="4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With respect to triheptanoin, there are currently no approved drugs or treatments for patients with LC-FAOD or Glut1 DS. LC-FAOD is commonly treated with diet therapy and medium even-chain triglycerides, or MCT, and triheptanoin would compete with MCT. Glut1 DS is commonly treated with ketogenic diet and antiepileptic drugs. Triheptanoin may compete with these approaches, though it may also be used in combination. Although we believe that triheptanoin should be considered a drug and will be regulated that way, it is possible that other companies or individuals may attempt to produce triheptanoin for use by LC-FAOD, Glut1 DS, and other patients by attempting to sell the product via a nutraceutical or food pathway. Investigators are testing triheptanoin in clinical studies across multiple indications, including LC-FAOD and Glut1 DS. For example, B. Braun Medical Inc., or B. Braun, has applied for and received orphan drug designation for triheptanoin in Europe; we are not, however, aware of any ongoing development activities by B. Braun. It is also possible that other companies may produce, develop, and commercialize other medium odd-chain fatty acids, or completely different compounds, to treat LC-FAOD and Glut1 DS. Other companies may also utilize other approaches, such as gene therapy, to treat LC-FAOD and Glut1 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2" w:right="239" w:bottom="1440" w:gutter="0" w:footer="0" w:header="0"/>
        </w:sectPr>
      </w:pPr>
    </w:p>
    <w:bookmarkStart w:id="8" w:name="page9"/>
    <w:bookmarkEnd w:id="8"/>
    <w:p>
      <w:pPr>
        <w:ind w:right="140" w:firstLine="518"/>
        <w:spacing w:after="0" w:line="276" w:lineRule="auto"/>
        <w:rPr>
          <w:sz w:val="20"/>
          <w:szCs w:val="20"/>
          <w:color w:val="auto"/>
        </w:rPr>
      </w:pPr>
      <w:r>
        <w:rPr>
          <w:rFonts w:ascii="Arial" w:cs="Arial" w:eastAsia="Arial" w:hAnsi="Arial"/>
          <w:sz w:val="17"/>
          <w:szCs w:val="17"/>
          <w:color w:val="auto"/>
        </w:rPr>
        <w:t>With respect to SA-ER, although there are currently no approved drug therapies for the treatment of HIBM, it is possible that others may develop alternative approaches to the treatment of HIBM, including other metabolites from the sialic acid pathway, prodrugs, other drug therapies, and gene therapy. We are aware of a program at the National Institutes of Health that is investigating the use of another metabolite in the sialic acid pathway, N-acetyl mannosamine, or ManNAc, for the treatment of HIBM. This program is licensed to New Zealand Pharma, which manufactures ManNAc. The program recently completed a Phase 1 clinical study, and we anticipate that it will advance into Phase 2 testing.</w:t>
      </w:r>
    </w:p>
    <w:p>
      <w:pPr>
        <w:spacing w:after="0" w:line="3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creates value in patient therapy.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63" w:lineRule="exact"/>
        <w:rPr>
          <w:sz w:val="20"/>
          <w:szCs w:val="20"/>
          <w:color w:val="auto"/>
        </w:rPr>
      </w:pPr>
    </w:p>
    <w:p>
      <w:pPr>
        <w:ind w:right="120" w:firstLine="518"/>
        <w:spacing w:after="0" w:line="258" w:lineRule="auto"/>
        <w:rPr>
          <w:sz w:val="20"/>
          <w:szCs w:val="20"/>
          <w:color w:val="auto"/>
        </w:rPr>
      </w:pPr>
      <w:r>
        <w:rPr>
          <w:rFonts w:ascii="Arial" w:cs="Arial" w:eastAsia="Arial" w:hAnsi="Arial"/>
          <w:sz w:val="16"/>
          <w:szCs w:val="16"/>
          <w:color w:val="auto"/>
        </w:rPr>
        <w:t>In August 2013, we entered into a collaboration and license agreement with Kyowa Hakko Kirin Co., Ltd., or KHK, pursuant to which we and KHK will collaborate on the development and commercialization of certain products containing KRN23, an antibody directed towards FGF23, in the field of orphan diseases in the United States and Canada, or the profit share territory, and in the European Union, Switzerland, and Turkey, or the European territory, and we will have the right to develop and commercialize such products in the field of orphan diseases in Mexico and Central and South America, or Latin America. Under the agreement, we also have a right of first negotiation with KHK to receive a license to develop and commercialize products in any non-diagnostic field, or in the field of orphan drugs outside of the profit share territory, the European territory, and Latin America.</w:t>
      </w:r>
    </w:p>
    <w:p>
      <w:pPr>
        <w:spacing w:after="0" w:line="15" w:lineRule="exact"/>
        <w:rPr>
          <w:sz w:val="20"/>
          <w:szCs w:val="20"/>
          <w:color w:val="auto"/>
        </w:rPr>
      </w:pPr>
    </w:p>
    <w:p>
      <w:pPr>
        <w:ind w:firstLine="518"/>
        <w:spacing w:after="0" w:line="237" w:lineRule="auto"/>
        <w:rPr>
          <w:sz w:val="20"/>
          <w:szCs w:val="20"/>
          <w:color w:val="auto"/>
        </w:rPr>
      </w:pPr>
      <w:r>
        <w:rPr>
          <w:rFonts w:ascii="Arial" w:cs="Arial" w:eastAsia="Arial" w:hAnsi="Arial"/>
          <w:sz w:val="17"/>
          <w:szCs w:val="17"/>
          <w:color w:val="auto"/>
        </w:rPr>
        <w:t>In the field of orphan diseases, and except for studies conducted by KHK, we will be the lead party for development activities in the profit share territory and in the European territory until, with respect to the profit share territory, the fifth anniversary of the first commercial sale in the United States in the first indication and, with respect to the European territory, the date on which marketing approval for a licensed product for the first indication is obtained in the European territory on a country-by-country basis; each such date is referred to herein as the applicable transition date. We will share the costs for development activities in the profit share territory and European territory conducted pursuant to the development plan before the applicable transition date equally with KHK. On the applicable transition date in the relevant territory, KHK will become the lead party and be responsible for these costs. However, we will continue to share the costs of the studies commenced prior to the applicable transition date equally with KHK. While we are the lead development party in the profit share territory, we must use commercially reasonable efforts to conduct development activities in at least one orphan disease indication other than XLH, as mutually agreed upon by KHK and us.</w:t>
      </w:r>
    </w:p>
    <w:p>
      <w:pPr>
        <w:spacing w:after="0" w:line="32" w:lineRule="exact"/>
        <w:rPr>
          <w:sz w:val="20"/>
          <w:szCs w:val="20"/>
          <w:color w:val="auto"/>
        </w:rPr>
      </w:pPr>
    </w:p>
    <w:p>
      <w:pPr>
        <w:jc w:val="both"/>
        <w:ind w:right="160" w:firstLine="518"/>
        <w:spacing w:after="0" w:line="266" w:lineRule="auto"/>
        <w:rPr>
          <w:sz w:val="20"/>
          <w:szCs w:val="20"/>
          <w:color w:val="auto"/>
        </w:rPr>
      </w:pPr>
      <w:r>
        <w:rPr>
          <w:rFonts w:ascii="Arial" w:cs="Arial" w:eastAsia="Arial" w:hAnsi="Arial"/>
          <w:sz w:val="16"/>
          <w:szCs w:val="16"/>
          <w:color w:val="auto"/>
        </w:rPr>
        <w:t>In the profit share territory, KHK will book sales of products and we will have the sole right to promote the products for a specified period of time, with KHK increasingly participating in the promotion of the products until five years from commercial launch, after which KHK will have the sole right to promote the products, subject to a limited promotion right retained by us. In the European territory, KHK will book sales of products and have the sole right to promote and sell the products. In Latin America, we will book sales of products and have the sole right to promote and sell the products.</w:t>
      </w:r>
    </w:p>
    <w:p>
      <w:pPr>
        <w:spacing w:after="0" w:line="22" w:lineRule="exact"/>
        <w:rPr>
          <w:sz w:val="20"/>
          <w:szCs w:val="20"/>
          <w:color w:val="auto"/>
        </w:rPr>
      </w:pPr>
    </w:p>
    <w:p>
      <w:pPr>
        <w:jc w:val="both"/>
        <w:ind w:firstLine="518"/>
        <w:spacing w:after="0" w:line="228" w:lineRule="auto"/>
        <w:rPr>
          <w:sz w:val="20"/>
          <w:szCs w:val="20"/>
          <w:color w:val="auto"/>
        </w:rPr>
      </w:pPr>
      <w:r>
        <w:rPr>
          <w:rFonts w:ascii="Arial" w:cs="Arial" w:eastAsia="Arial" w:hAnsi="Arial"/>
          <w:sz w:val="18"/>
          <w:szCs w:val="18"/>
          <w:color w:val="auto"/>
        </w:rPr>
        <w:t>The profit or loss from commercializing products in the profit share territory until the applicable transition date will be shared between us and KHK on a 50/50 basis. Thereafter, we will be entitled to receive a tiered double-digit revenue share in the mid to high twenty percent range in the profit share territory, intended to approximate the profit share. We will also be entitled to receive a royalty of up to 10% on net sales in the European territory. In Latin America, we will pay to KHK a low single-digit royalty on net sales. Our and KHK’s obligations to pay royalties will continue on a country-by-country basis for so long as we or KHK, as applicable, are selling products in such country.</w:t>
      </w:r>
    </w:p>
    <w:p>
      <w:pPr>
        <w:spacing w:after="0" w:line="30" w:lineRule="exact"/>
        <w:rPr>
          <w:sz w:val="20"/>
          <w:szCs w:val="20"/>
          <w:color w:val="auto"/>
        </w:rPr>
      </w:pPr>
    </w:p>
    <w:p>
      <w:pPr>
        <w:jc w:val="both"/>
        <w:ind w:right="220" w:firstLine="518"/>
        <w:spacing w:after="0" w:line="235" w:lineRule="auto"/>
        <w:rPr>
          <w:sz w:val="20"/>
          <w:szCs w:val="20"/>
          <w:color w:val="auto"/>
        </w:rPr>
      </w:pPr>
      <w:r>
        <w:rPr>
          <w:rFonts w:ascii="Arial" w:cs="Arial" w:eastAsia="Arial" w:hAnsi="Arial"/>
          <w:sz w:val="18"/>
          <w:szCs w:val="18"/>
          <w:color w:val="auto"/>
        </w:rPr>
        <w:t>KHK will supply all quantities of product for clinical studies. KHK will also supply all quantities of product for commercial sales in the profit share territory and in Latin America. The supply price to us for commercial sales in the profit share territory and in Latin America will be determined based on a fixed double-digit percentage of net sales.</w:t>
      </w:r>
    </w:p>
    <w:p>
      <w:pPr>
        <w:spacing w:after="0" w:line="27" w:lineRule="exact"/>
        <w:rPr>
          <w:sz w:val="20"/>
          <w:szCs w:val="20"/>
          <w:color w:val="auto"/>
        </w:rPr>
      </w:pPr>
    </w:p>
    <w:p>
      <w:pPr>
        <w:ind w:right="500" w:firstLine="518"/>
        <w:spacing w:after="0" w:line="246" w:lineRule="auto"/>
        <w:rPr>
          <w:sz w:val="20"/>
          <w:szCs w:val="20"/>
          <w:color w:val="auto"/>
        </w:rPr>
      </w:pPr>
      <w:r>
        <w:rPr>
          <w:rFonts w:ascii="Arial" w:cs="Arial" w:eastAsia="Arial" w:hAnsi="Arial"/>
          <w:sz w:val="18"/>
          <w:szCs w:val="18"/>
          <w:color w:val="auto"/>
        </w:rPr>
        <w:t>The collaboration and license agreement will continue for as long as products in the field of orphan diseases are sold in the profit share territory, European territory, or Latin America, unless the agreement is terminated in accordance with its terms.</w:t>
      </w:r>
    </w:p>
    <w:p>
      <w:pPr>
        <w:spacing w:after="0" w:line="35" w:lineRule="exact"/>
        <w:rPr>
          <w:sz w:val="20"/>
          <w:szCs w:val="20"/>
          <w:color w:val="auto"/>
        </w:rPr>
      </w:pPr>
    </w:p>
    <w:p>
      <w:pPr>
        <w:ind w:right="80" w:firstLine="518"/>
        <w:spacing w:after="0" w:line="237" w:lineRule="auto"/>
        <w:rPr>
          <w:sz w:val="20"/>
          <w:szCs w:val="20"/>
          <w:color w:val="auto"/>
        </w:rPr>
      </w:pPr>
      <w:r>
        <w:rPr>
          <w:rFonts w:ascii="Arial" w:cs="Arial" w:eastAsia="Arial" w:hAnsi="Arial"/>
          <w:sz w:val="17"/>
          <w:szCs w:val="17"/>
          <w:color w:val="auto"/>
        </w:rPr>
        <w:t>KHK may terminate the entire agreement if we do not timely initiate a first pediatric study in XLH. In addition, KHK may terminate the agreement in certain countries or territories based upon our failure to meet certain milestones. Specifically, if we do not obtain U.S. or European marketing approval of KRN23 for the treatment of XLH by a certain date, or make a first commercial sale, on a country-by-country basis, in Latin America by certain deadlines, KHK may terminate the agreement only with respect to the applicable territory or country in which the milestone was not timely met. In certain circumstances, we have the right to obtain an extension of the applicable deadline by making a payment to KHK in the low single-digit to low double-digit millions of dollars, depending on the milestone. Also, in the event of the occurrence of certain excusable delays, the deadline for meeting the applicable milestone above is extended to account for the period of the delay. Furthermore, either party may terminate the agreement for the material breach or bankruptcy of the other party. In any event of termination by KHK, unless such termination is the result of KHK’s termination for certain types of breach of the agreement by us, we may receive low single-digit to low double-digit royalties on net post-termination sales by KHK in one or more countries or territories, the amount of which varies depending on the timing of, and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36" w:right="259" w:bottom="1440" w:gutter="0" w:footer="0" w:header="0"/>
        </w:sectPr>
      </w:pPr>
    </w:p>
    <w:bookmarkStart w:id="9" w:name="page10"/>
    <w:bookmarkEnd w:id="9"/>
    <w:p>
      <w:pPr>
        <w:ind w:right="40"/>
        <w:spacing w:after="0" w:line="235" w:lineRule="auto"/>
        <w:rPr>
          <w:sz w:val="20"/>
          <w:szCs w:val="20"/>
          <w:color w:val="auto"/>
        </w:rPr>
      </w:pPr>
      <w:r>
        <w:rPr>
          <w:rFonts w:ascii="Arial" w:cs="Arial" w:eastAsia="Arial" w:hAnsi="Arial"/>
          <w:sz w:val="18"/>
          <w:szCs w:val="18"/>
          <w:color w:val="auto"/>
        </w:rPr>
        <w:t>reason for, such termination. In any event of termination, our rights to KRN23 under the agreement and our obligations to share development costs will cease, and the program will revert to KHK, worldwide if the agreement is terminated as a whole or solely in the terminated countries if the agreement is terminated solely with respect to certain countries.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Saint Louis University</w:t>
      </w:r>
    </w:p>
    <w:p>
      <w:pPr>
        <w:spacing w:after="0" w:line="7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In November 2010, we entered into a license agreement with Saint Louis University, or SLU, wherein SLU granted us certain exclusive rights to intellectual property related to GUS. Under the terms of the license agreement, SLU granted us an exclusive worldwide license to make, have made, use, import, offer for sale, and sell therapeutics related to SLU’s beta-glucuronidase product, such as our rhGUS product candidate, for use in the treatment of human diseases. Under this agreement, we agreed to use best efforts to develop and commercialize a licensed product as soon as practicable consistent with sound and reasonable business practices and judgment.</w:t>
      </w:r>
    </w:p>
    <w:p>
      <w:pPr>
        <w:spacing w:after="0" w:line="4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license agreement, we paid SLU an up-front fee of $10,000, which was recorded as a research and development expense. We will make a milestone payment of $100,000 upon approval of a glucuronidase-based enzyme therapy for treatment of MPS 7. Additionally, upon reaching a certain level of cumulative worldwide sales of the product, we will pay to SLU a low single-digit royalty on net sales of the licensed products in any country or region, subject to certain potential deductions. Our obligation to pay royalties to SLU continues on a country-by-country basis until the expiration of the last-to-expire licensed patent covering the product in such country or, in the United States, Japan, and the European Union, until the later expiration of any orphan drug exclusivity. We may deduct a portion of the royalty owed if a third-party license is required. We may terminate the agreement for convenience at any time and SLU may terminate the agreement for our material breach, bankruptcy, or challenge of the licensed patents or technology, and SLU may terminate the agreement or render our license non-exclusive if we fail to meet our diligence obligations. Unless terminated as set forth above, this license agreement continues in full force and effect until the latest of expiration of the last patent based on technology licensed under the agreement, at which point our license becomes fully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 Jude Children’s Research Hospital</w:t>
      </w:r>
    </w:p>
    <w:p>
      <w:pPr>
        <w:spacing w:after="0" w:line="50" w:lineRule="exact"/>
        <w:rPr>
          <w:sz w:val="20"/>
          <w:szCs w:val="20"/>
          <w:color w:val="auto"/>
        </w:rPr>
      </w:pPr>
    </w:p>
    <w:p>
      <w:pPr>
        <w:ind w:right="120" w:firstLine="518"/>
        <w:spacing w:after="0" w:line="228" w:lineRule="auto"/>
        <w:rPr>
          <w:sz w:val="20"/>
          <w:szCs w:val="20"/>
          <w:color w:val="auto"/>
        </w:rPr>
      </w:pPr>
      <w:r>
        <w:rPr>
          <w:rFonts w:ascii="Arial" w:cs="Arial" w:eastAsia="Arial" w:hAnsi="Arial"/>
          <w:sz w:val="18"/>
          <w:szCs w:val="18"/>
          <w:color w:val="auto"/>
        </w:rPr>
        <w:t>In September 2012, we entered into a license agreement with St. Jude Children’s Research Hospital, or St. Jude, wherein St. Jude granted us certain exclusive rights to intellectual property related to rhPPCA. Under the terms of the license agreement, St. Jude granted us an exclusive license under certain know-how to research, develop, make, use, offer to sell, import, and otherwise commercialize and exploit certain PPCA protein products to treat, prevent, and/or diagnose galactosialidosis and other monogenetic diseases. We agreed to make commercially reasonable efforts to develop and commercialize at least one licensed product.</w:t>
      </w:r>
    </w:p>
    <w:p>
      <w:pPr>
        <w:spacing w:after="0" w:line="30" w:lineRule="exact"/>
        <w:rPr>
          <w:sz w:val="20"/>
          <w:szCs w:val="20"/>
          <w:color w:val="auto"/>
        </w:rPr>
      </w:pPr>
    </w:p>
    <w:p>
      <w:pPr>
        <w:ind w:right="60" w:firstLine="518"/>
        <w:spacing w:after="0"/>
        <w:rPr>
          <w:sz w:val="20"/>
          <w:szCs w:val="20"/>
          <w:color w:val="auto"/>
        </w:rPr>
      </w:pPr>
      <w:r>
        <w:rPr>
          <w:rFonts w:ascii="Arial" w:cs="Arial" w:eastAsia="Arial" w:hAnsi="Arial"/>
          <w:sz w:val="17"/>
          <w:szCs w:val="17"/>
          <w:color w:val="auto"/>
        </w:rPr>
        <w:t>Under the license agreement, we paid St. Jude an up-front fee of $10,000, which was recorded as research and development expense. Additionally, we will pay to St. Jude a royalty of less than 1% on net sales of these products for so long as such products retain orphan drug exclusivity, on a country-by-country basis. We also received a right of first negotiation to receive an exclusive license under patents and know-how related to other uses of these products. We may terminate the agreement for convenience at any time and St. Jude may terminate the agreement for our material breach of the agreement. Unless terminated for convenience or material breach, as applicable, this license agreement continues in full force and effect, until our royalty obligations expire, at which point our license becomes irrevocable, perpetual, fully paid, and royalty-free.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Baylor Research Institute</w:t>
      </w:r>
    </w:p>
    <w:p>
      <w:pPr>
        <w:spacing w:after="0" w:line="50" w:lineRule="exact"/>
        <w:rPr>
          <w:sz w:val="20"/>
          <w:szCs w:val="20"/>
          <w:color w:val="auto"/>
        </w:rPr>
      </w:pPr>
    </w:p>
    <w:p>
      <w:pPr>
        <w:ind w:right="40" w:firstLine="518"/>
        <w:spacing w:after="0" w:line="250" w:lineRule="auto"/>
        <w:rPr>
          <w:sz w:val="20"/>
          <w:szCs w:val="20"/>
          <w:color w:val="auto"/>
        </w:rPr>
      </w:pPr>
      <w:r>
        <w:rPr>
          <w:rFonts w:ascii="Arial" w:cs="Arial" w:eastAsia="Arial" w:hAnsi="Arial"/>
          <w:sz w:val="16"/>
          <w:szCs w:val="16"/>
          <w:color w:val="auto"/>
        </w:rPr>
        <w:t>In August 2012, we entered into a license agreement with Baylor Research Institute, or BRI, whereby we exclusively licensed certain intellectual property related to triheptanoin for North America and paid BRI an up-front fee of $250,000. The license includes patents, patent applications, know-how, and intellectual property related to the composition and formulation of triheptanoin as well as its use in treating a number of orphan diseases, including FAOD. The license grant includes the sole right to develop, manufacture, and commercialize licensed products for all human and animal uses. In June 2013, we exercised our option to license this intellectual property outside of North America and paid BRI the $750,000 fee associated with this option exercise. Under the license agreement, we are obligated to use commercially reasonable efforts to develop and commercialize licensed products in select orphan indications. If we fail to meet our diligence obligations with respect to a specified orphan indication or set of orphan indications, BRI may convert our license to a non-exclusive license with respect to such orphan indication or set of orphan indications until we receive regulatory approval for licensed products in the applicable orphan indication or set of orphan indications. We are also obligated to pay a mid-single digit royalty on net sales to BRI, subject to certain reductions and offsets. Our obligation to pay royalties to BRI continues on a licensed product-by-licensed product and country-by-country basis until the later of the expiration of the first regulatory exclusivity granted with respect to such product in such country or the expiration of the last-to-expire licensed patent claiming such product in such country, in each case in connection with approval in such country for FAOD or an orphan disease covered by our license from BRI. We may make future payments of up to $10.5 million contingent upon attainment of certain development milestones and $7.5 million if certain sales milestones are achieved. We may terminate the agreement for convenience at any time and either we or BRI may terminate the agreement for the material breach or bankruptcy of the other party. If we terminate for BRI’s breach or bankruptcy, our license from BRI will remain in effect, subject to our continued payment of reduced milestones and royalties. Unless terminated for convenience or material breach or bankruptcy, as applicable, this license agreement continues in full force and effect, on a product-by-product and country-by-country basis, until our royalty obligations expire, at which point our license from BRI with respect to such product in such country becomes irrevocable, perpetual, fully paid and royalty-free.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Nobelpharma</w:t>
      </w:r>
    </w:p>
    <w:p>
      <w:pPr>
        <w:spacing w:after="0" w:line="9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September 2010, we entered into a collaboration and license agreement with Nobelpharma Co., Ltd., or Nobelpharma. Under the terms of the collaboration and license agreement, each party granted the other party a worldwide exclusive license under certain of that party’s intellectual property related to the compound identified as N-acetylneuraminic acid, also known as sialic acid, to develop, manufacture, and commercialize products. Nobelpharma’s licensed territory includes Japan and certain other Asian countries, and our licensed territory includes the rest of the world. The parties conduct development independently, and each party is obligated to make commercially reasonable efforts to file an investigational new drug application for licensed products in its territory and, in our case, to obtain patent term extensions and data exclusivity in Europe and North America, and share with the other party all data, documentation, and information that is generated in conducting such activities. Nobelpharma must use commercially reasonable efforts to supply us with the sialic acid drug substance. Either Nobelpharma or we can terminate this supply arrangement for convenience, at which point Nobelpharma would provide technical assistance to allow us to manufacture the sialic acid drug substance ourselves. If we choose to manufacture the sialic acid drug substance, Nobelpharma will have the right to purchase the sialic acid drug substance from us and we will use commercially reasonable efforts to supply Nobelpharma with the sialic acid drug substance.</w:t>
      </w:r>
    </w:p>
    <w:p>
      <w:pPr>
        <w:spacing w:after="0" w:line="34"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Under the collaboration and license agreement, we have paid Nobelpharma approximately $110,000 as an upfront fee and approximately $495,000 in development milestone payments and also issued 76,567 shares of common stock to Nobelpharma. We are required to pay Nobelpharma a high single digit royalty on net sales of products in our territory, and Nobelpharma is required to pay us a mid-single digit royalty on net sales in their territory (with the exception of Japan). Each party’s obligation to pay royalties is subject to certain offsets and deductions, and is payable on a product-by-product and country-by-country basis until the expiration of the collaboration and license agreement. In addition, we are obligated to make a future payment to Nobelpharma of ¥200 million (approximately $1.9 million U.S. dollars as of December 31, 2013) based upon achievement of a certain approval milestone. Either party may terminate the agreement for the material breach or bankruptcy of the other party. If either party terminates the agreement, the terminating party’s license will become irrevocable and royalty-free. Unless terminated for material breach or bankruptcy, as applicable, this license agreement continues in full force and effect, on a country-by-country basis, until the date of the first launch of a generic product of the licensed product in a country.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AAI Pharma</w:t>
      </w:r>
    </w:p>
    <w:p>
      <w:pPr>
        <w:spacing w:after="0" w:line="90"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In March 2011, we entered into a license agreement with AAIPharma Services Corp., or AAI Pharma. Under the terms of this license agreement, AAI Pharma granted us a fully paid-up, royalty-free, exclusive, perpetual, and irrevocable license to research, develop, make, have made, use, import, offer for sale, and sell products incorporating AAI Pharma’s controlled release matrix solid dose oral tablet technology for use in connection with sialic acid for the treatment of HIBM or distal myopathy with rimmed vacuoles. Under the license agreement, we will pay a mid-single digit percentage of any sublicense revenue received by us related to the sublicense of AAI Pharma technology. As consideration, we agreed to provide preclinical and clinical data to AAI Pharma. AAI Pharma is responsible for patent prosecution and maintenance, subject to our right to review and comment on such prosecution and maintenance. We may terminate the agreement for convenience at any time and either party may terminate the agreement for the material breach or bankruptcy of the other party.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HIBM Research Group</w:t>
      </w:r>
    </w:p>
    <w:p>
      <w:pPr>
        <w:spacing w:after="0" w:line="77" w:lineRule="exact"/>
        <w:rPr>
          <w:sz w:val="20"/>
          <w:szCs w:val="20"/>
          <w:color w:val="auto"/>
        </w:rPr>
      </w:pPr>
    </w:p>
    <w:p>
      <w:pPr>
        <w:ind w:right="800" w:firstLine="518"/>
        <w:spacing w:after="0" w:line="334" w:lineRule="auto"/>
        <w:rPr>
          <w:sz w:val="20"/>
          <w:szCs w:val="20"/>
          <w:color w:val="auto"/>
        </w:rPr>
      </w:pPr>
      <w:r>
        <w:rPr>
          <w:rFonts w:ascii="Arial" w:cs="Arial" w:eastAsia="Arial" w:hAnsi="Arial"/>
          <w:sz w:val="16"/>
          <w:szCs w:val="16"/>
          <w:color w:val="auto"/>
        </w:rPr>
        <w:t>In April 2012, we entered into an exclusive license agreement with HIBM Research Group, or HRG, wherein HRG granted us an exclusive, worldwide license to certain intellectual property related to the treatment of HIBM and related conditions using substrate replacement therapy.</w:t>
      </w:r>
    </w:p>
    <w:p>
      <w:pPr>
        <w:spacing w:after="0" w:line="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Under the terms of license agreement, we paid HRG an up-front fee of $25,000, which was recorded as a research and development expense. We will make future payments contingent upon attainment of various development and approval milestones of up to $300,000 in the aggregate. Additionally, we will pay to HRG a royalty of less than 1% of net sales of products, if any. Our obligation to pay royalties to HRG continues on a product-by-product and country-by-country basis until the expiration of the last-to-expire licensed patent claiming such product in such country, or the later expiration of orphan drug exclusivity in certain countries. We are obligated to make commercially reasonable efforts to develop and commercialize a substrate replacement therapy for HIBM. We may terminate the agreement for convenience at any time and either party may terminate the agreement for the material breach or bankruptcy of the other party. We must also terminate the agreement if we terminate our HIBM substrate replacement therapy program. Unless terminated for convenience, for our termination of our HIBM substrate replacement therapy program, or for material breach or bankruptcy, as applicable, this license agreement continues in full force and effect, on a product-by-product and country-by-country basis, until the expiration date of the last-to-expire licensed patent claiming such product in such country, or the later expiration of orphan drug exclusivity in certain countries, at which point our license becomes irrevocable, perpetual, fully paid, and royalty-free.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9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94"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proprietary nature of, and protection for, our product candidates, processes, and know-how are important to our business. Our success depends in part on our ability to protect the proprietary nature of our product candidates, technology, and know-how, to operate without infringing on the proprietary rights of others, and to prevent others from infringing our proprietary rights. We seek patent protection in the United States and internationally for our product candidates and other technology. Our policy is to patent or in-license the technology, inventions and improvements that we consider important to the development of our business. In addition to patent protection, we intend to use other means to protect our proprietary rights, including pursuing marketing or data exclusivity periods, orphan drug status, and similar rights that are available under regulatory provisions in certain countries, including the United States, Europe, Japan, and China. See “U.S. Government Regulation — Orphan Designation and Exclusivity,” “U.S. Government Regulation — Pediatric Studies and Exclusivity,” “U.S. Government Regulation — Patent Term Restoration,” “U.S. Government Regulation — Biosimilars and Exclusivity,” “U.S. Government Regulation — Abbreviated New Drug Applications for Generic Drugs,” “U.S. Government Regulation — Hatch-Waxman Patent Certification and the 30-Month Stay,” and “European Union/Rest of World Government Regulation — Orphan Designation and Exclusivity” below for additional information.</w:t>
      </w:r>
    </w:p>
    <w:p>
      <w:pPr>
        <w:spacing w:after="0" w:line="21" w:lineRule="exact"/>
        <w:rPr>
          <w:sz w:val="20"/>
          <w:szCs w:val="20"/>
          <w:color w:val="auto"/>
        </w:rPr>
      </w:pPr>
    </w:p>
    <w:p>
      <w:pPr>
        <w:ind w:right="40" w:firstLine="518"/>
        <w:spacing w:after="0" w:line="253" w:lineRule="auto"/>
        <w:rPr>
          <w:sz w:val="20"/>
          <w:szCs w:val="20"/>
          <w:color w:val="auto"/>
        </w:rPr>
      </w:pPr>
      <w:r>
        <w:rPr>
          <w:rFonts w:ascii="Arial" w:cs="Arial" w:eastAsia="Arial" w:hAnsi="Arial"/>
          <w:sz w:val="17"/>
          <w:szCs w:val="17"/>
          <w:color w:val="auto"/>
        </w:rPr>
        <w:t>We also rely on trade secrets, know -how, and continuing innovation to develop and maintain our competitive position.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w:t>
      </w:r>
    </w:p>
    <w:p>
      <w:pPr>
        <w:spacing w:after="0" w:line="17" w:lineRule="exact"/>
        <w:rPr>
          <w:sz w:val="20"/>
          <w:szCs w:val="20"/>
          <w:color w:val="auto"/>
        </w:rPr>
      </w:pPr>
    </w:p>
    <w:p>
      <w:pPr>
        <w:jc w:val="both"/>
        <w:ind w:right="60" w:firstLine="518"/>
        <w:spacing w:after="0" w:line="228" w:lineRule="auto"/>
        <w:rPr>
          <w:sz w:val="20"/>
          <w:szCs w:val="20"/>
          <w:color w:val="auto"/>
        </w:rPr>
      </w:pPr>
      <w:r>
        <w:rPr>
          <w:rFonts w:ascii="Arial" w:cs="Arial" w:eastAsia="Arial" w:hAnsi="Arial"/>
          <w:sz w:val="18"/>
          <w:szCs w:val="18"/>
          <w:color w:val="auto"/>
        </w:rPr>
        <w:t>We seek regulatory approval for our products in disease areas with high unmet medical need, great market potential, and where we have a proprietary position through patents covering various aspects of our products, such as composition, dosage, formulation, use, and manufacturing process, among others. Our success depends on an intellectual property portfolio that supports our future revenue streams and erects barriers to our competitors. We are maintaining and building our patent portfolio through filing new patent applications, prosecuting existing applications, and licensing and acquiring new patents and patent applications.</w:t>
      </w:r>
    </w:p>
    <w:p>
      <w:pPr>
        <w:spacing w:after="0" w:line="4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Despite these measures,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For more information, please see “Risks Related to our Intellectual Property.”</w:t>
      </w:r>
    </w:p>
    <w:p>
      <w:pPr>
        <w:spacing w:after="0" w:line="27" w:lineRule="exact"/>
        <w:rPr>
          <w:sz w:val="20"/>
          <w:szCs w:val="20"/>
          <w:color w:val="auto"/>
        </w:rPr>
      </w:pPr>
    </w:p>
    <w:p>
      <w:pPr>
        <w:ind w:firstLine="518"/>
        <w:spacing w:after="0" w:line="226" w:lineRule="auto"/>
        <w:rPr>
          <w:sz w:val="20"/>
          <w:szCs w:val="20"/>
          <w:color w:val="auto"/>
        </w:rPr>
      </w:pPr>
      <w:r>
        <w:rPr>
          <w:rFonts w:ascii="Arial" w:cs="Arial" w:eastAsia="Arial" w:hAnsi="Arial"/>
          <w:sz w:val="18"/>
          <w:szCs w:val="18"/>
          <w:color w:val="auto"/>
        </w:rPr>
        <w:t>As of March 10, 2014, we own 12 pending U.S. patent applications and corresponding patents and patent applications internationally. In addition, as of March 10, 2014, we have licensed 10 issued U.S. patents and 13 pending U.S. patent applications as well as corresponding foreign patents and applications from third parties, on an exclusive basis. With respect to our issued patents in the United States and Europe, we are also entitled to obtain a patent term extension to extend the patent expiration date. For example, in the United States, we can apply for a patent term extension of up to five years for one of the patents covering a product once the product is approved by the FDA. The exact duration of the extension depends on the time we spend in clinical studies as well as getting a new drug application approval from the FDA. The patent portfolios for our five leading product candidates as of March 10, 2014 are summarized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KRN23</w:t>
      </w:r>
    </w:p>
    <w:p>
      <w:pPr>
        <w:spacing w:after="0" w:line="63" w:lineRule="exact"/>
        <w:rPr>
          <w:sz w:val="20"/>
          <w:szCs w:val="20"/>
          <w:color w:val="auto"/>
        </w:rPr>
      </w:pPr>
    </w:p>
    <w:p>
      <w:pPr>
        <w:ind w:right="20" w:firstLine="518"/>
        <w:spacing w:after="0" w:line="258" w:lineRule="auto"/>
        <w:rPr>
          <w:sz w:val="20"/>
          <w:szCs w:val="20"/>
          <w:color w:val="auto"/>
        </w:rPr>
      </w:pPr>
      <w:r>
        <w:rPr>
          <w:rFonts w:ascii="Arial" w:cs="Arial" w:eastAsia="Arial" w:hAnsi="Arial"/>
          <w:sz w:val="16"/>
          <w:szCs w:val="16"/>
          <w:color w:val="auto"/>
        </w:rPr>
        <w:t>We have rights from KHK to patents and patent applications relating to KRN23, a fully human monoclonal antibody against FGF23, and its use for the treatment of XLH and various other hypophosphatemic conditions. Pursuant to this license, we share rights to 20 issued patents, including 3 U.S. patents and 1 pending U.S. application and patents and applications in other jurisdictions covering generic and specific antibodies against FGF23 as well as their use for the treatment of XLH and related conditions. The patent terms for issued patents in the United States are from 2022 to 2029 (without patent term extension). The projected patent term for pending applications in the United States is 2028. We intend to pursue marketing and orphan drug exclusivity periods that are available to us under regulatory provisions in certain countries. KRN23 has received orphan drug designation 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rhGUS</w:t>
      </w:r>
    </w:p>
    <w:p>
      <w:pPr>
        <w:spacing w:after="0" w:line="50" w:lineRule="exact"/>
        <w:rPr>
          <w:sz w:val="20"/>
          <w:szCs w:val="20"/>
          <w:color w:val="auto"/>
        </w:rPr>
      </w:pPr>
    </w:p>
    <w:p>
      <w:pPr>
        <w:ind w:right="20" w:firstLine="518"/>
        <w:spacing w:after="0" w:line="228" w:lineRule="auto"/>
        <w:rPr>
          <w:sz w:val="20"/>
          <w:szCs w:val="20"/>
          <w:color w:val="auto"/>
        </w:rPr>
      </w:pPr>
      <w:r>
        <w:rPr>
          <w:rFonts w:ascii="Arial" w:cs="Arial" w:eastAsia="Arial" w:hAnsi="Arial"/>
          <w:sz w:val="18"/>
          <w:szCs w:val="18"/>
          <w:color w:val="auto"/>
        </w:rPr>
        <w:t>We have no issued patents covering rhGUS but we have filed 1 U.S. application directed to compositions with certain characteristics that are useful for the enzyme replacement therapy for the treatment of multi-system lysosomal storage disease. Throughout clinical research and development, we also intend to file patent applications directed to various aspects of the treatment therapy including dosage, regiment, formulation, manufacturing, etc. We intend to pursue marketing and orphan drug exclusivity periods that are available under regulatory provisions in certain countries. rhGUS has received orphan drug designation in both the United States and Europe.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rhPPCA</w:t>
      </w:r>
    </w:p>
    <w:p>
      <w:pPr>
        <w:spacing w:after="0" w:line="50" w:lineRule="exact"/>
        <w:rPr>
          <w:sz w:val="20"/>
          <w:szCs w:val="20"/>
          <w:color w:val="auto"/>
        </w:rPr>
      </w:pPr>
    </w:p>
    <w:p>
      <w:pPr>
        <w:ind w:right="160" w:firstLine="518"/>
        <w:spacing w:after="0" w:line="228" w:lineRule="auto"/>
        <w:rPr>
          <w:sz w:val="20"/>
          <w:szCs w:val="20"/>
          <w:color w:val="auto"/>
        </w:rPr>
      </w:pPr>
      <w:r>
        <w:rPr>
          <w:rFonts w:ascii="Arial" w:cs="Arial" w:eastAsia="Arial" w:hAnsi="Arial"/>
          <w:sz w:val="18"/>
          <w:szCs w:val="18"/>
          <w:color w:val="auto"/>
        </w:rPr>
        <w:t>We have no issued patents or patent applications filed for rhPPCA, although it is partially protected by proprietary know-how licensed from St. Jude Children’s Hospital. We intend to build a patent portfolio directed to compositions with certain characteristics that are useful for the enzyme replacement therapy for the treatment of autosomal recessive lysosomal storage disease as well as various aspects of the treatment therapy including dosage, regimen, formulation, manufacturing, etc. We intend to pursue marketing and orphan drug exclusivity periods that are available under regulatory provisions in certain countries.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Triheptanoin</w:t>
      </w:r>
    </w:p>
    <w:p>
      <w:pPr>
        <w:spacing w:after="0" w:line="9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the licensee or owner of patents and patent applications relating to triheptanoin and its use for a number of diseases including FAOD and Glut1 DS. In particular, we have an exclusive license from Baylor Research Institute, or BRI, with respect to its triheptanoin patent portfolio. We have licensed from BRI 24 issued patents, including 7 U.S. patents and 8 pending U.S. applications and patents and applications in other jurisdictions covering composition, formulation, use and manufacturing of triheptanoin and related odd carbon fatty acids. The patent terms for issued patents in the United States are from 2020 to 2024 (without patent term extension). The projected patent terms for pending applications in the United States are from 2020 to 2034. We intend to pursue marketing and orphan drug exclusivity periods that are available under regulatory provisions in certain countries.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SA-ER</w:t>
      </w:r>
    </w:p>
    <w:p>
      <w:pPr>
        <w:spacing w:after="0" w:line="77"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We are the licensee or owner of patents and patent applications relating to sialic acid and its use for the treatment of HIBM. We have 10 pending U.S. applications and patents and applications in other jurisdictions covering the use of sialic acid for the treatment of HIBM, biomarkers useful for such treatment as well as extended release formulations of sialic acid. The projected patent terms for pending applications in the United States are from 2028 to 2034.</w:t>
      </w:r>
    </w:p>
    <w:p>
      <w:pPr>
        <w:spacing w:after="0" w:line="1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intend to pursue marketing and orphan drug exclusivity periods that are available under regulatory provisions in certain countries. SA-ER has received orphan drug designation in both the United States and the European Union.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U.S. trademark applications for ULTRAGENYX and ULTRAGENYX PHARMACEUTICAL.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rely upon unpatented trade secrets, know-how, and continuing technological innovation to develop and maintain our competitive position. We seek to protect our ownership of know-how and trade secrets through an active program of legal mechanisms including assignments, confidentiality agreements, material transfer agreements, research collaborations, and licenses.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currently contract with third parties for the manufacturing and testing of our product candidates for preclinical studies and clinical studies and intend to do so in the future. We do not own or operate manufacturing facilities for the production of clinical quantities of our product candidates. We currently have no plans to build our own clinical or commercial scale manufacturing capabilities. The use of contracted manufacturing and reliance on collaboration partners is relatively cost-efficient and has eliminated the need for our direct investment in manufacturing facilities and additional staff early in development. Although we rely on contract manufacturers, we have personnel with extensive manufacturing experience to oversee our contract manufacturers.</w:t>
      </w:r>
    </w:p>
    <w:p>
      <w:pPr>
        <w:spacing w:after="0" w:line="4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To date, our third-party manufacturers have met our manufacturing requirements. We expect third-party manufacturers to be capable of providing sufficient quantities of our product candidates to meet anticipated full scale commercial demands.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KRN23</w:t>
      </w:r>
    </w:p>
    <w:p>
      <w:pPr>
        <w:spacing w:after="0" w:line="9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drug substance and drug product for KRN23 are made by KHK in Japan under the collaboration and license agreement with KHK. The cell line to produce KRN23 is specific for this product and is in KHK’s control. All other raw materials are commercially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rhGUS</w:t>
      </w:r>
    </w:p>
    <w:p>
      <w:pPr>
        <w:spacing w:after="0" w:line="7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rhGUS drug substance and drug product are manufactured by Rentschler Biotechnologie GmbH, or Rentschler, under a development and clinical supply agreement executed in August 2012. Pursuant to the clinical supply agreement, we have agreed not to source larger quantities of drug substance or drug product from another supplier than from Rentschler in any given year. The supply agreement will continue in full force and effect until all clinical services have been completed or terminated per the terms of the supply agreement. Either party may terminate the supply agreement if the other party fails to pay any sum payable under the supply agreement within 30 days after a written demand is issued after the original due date, if the other party makes a material misrepresentation or commits a material breach of its obligations under the supply agreement and fails to cure such breach within specified time periods if curable, if the other party ceases to carry on its business for a period no less than 60 days, or if a party experiences certain insolvency events. Additionally, either party may terminate the supply agreement upon 30 days’ prior written notice if the Steering Committee concludes that the services required under the supply agreement cannot be performed and we may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8" w:right="239" w:bottom="1440" w:gutter="0" w:footer="0" w:header="0"/>
        </w:sectPr>
      </w:pPr>
    </w:p>
    <w:bookmarkStart w:id="13" w:name="page14"/>
    <w:bookmarkEnd w:id="13"/>
    <w:p>
      <w:pPr>
        <w:ind w:right="100"/>
        <w:spacing w:after="0" w:line="342" w:lineRule="auto"/>
        <w:rPr>
          <w:sz w:val="20"/>
          <w:szCs w:val="20"/>
          <w:color w:val="auto"/>
        </w:rPr>
      </w:pPr>
      <w:r>
        <w:rPr>
          <w:rFonts w:ascii="Arial" w:cs="Arial" w:eastAsia="Arial" w:hAnsi="Arial"/>
          <w:sz w:val="16"/>
          <w:szCs w:val="16"/>
          <w:color w:val="auto"/>
        </w:rPr>
        <w:t>terminate the agreement at any time before completion of the services rendered pursuant to the agreement upon 60 days’ prior written notice. The cell line to produce rhGUS is specific for this product and is in our control and stored in multiple secure locations. All other raw materials are commercially available.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rhPPCA</w:t>
      </w:r>
    </w:p>
    <w:p>
      <w:pPr>
        <w:spacing w:after="0" w:line="7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No supplier has yet been selected for rhPPCA. The cell line to produce rhPPCA is specific for this product and is in our control and stored in multiple secure locations. The process to produce rhPPCA will only contain commercially available materials.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Triheptanoin</w:t>
      </w:r>
    </w:p>
    <w:p>
      <w:pPr>
        <w:spacing w:after="0" w:line="9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pharmaceutical-grade drug substance for triheptanoin is manufactured by Cremer Oleo GmbH &amp; Co. KG in Germany under an exclusive worldwide supply agreement, subject to certain limitations, executed in 2012. The supply agreement has an initial term of three years; thereafter, the agreement shall be automatically renewed for additional two-year periods unless either party notifies the other party of its intention not to renew in writing at least three calendar months before the expiration of the then current term. Additionally, if a party materially breaches an obligation under the agreement and does not cure such breach within 60 days of receiving notice of the breach from the non-breaching party, the non-breaching party may terminate the agreement immediately upon written notice to the breaching party. Triheptanoin drug product manufacturing has been done with more than one party and is not considered a very specialized task.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SA-ER</w:t>
      </w:r>
    </w:p>
    <w:p>
      <w:pPr>
        <w:spacing w:after="0" w:line="7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drug substance for SA-ER is currently manufactured by Sanyo Fine Co., Ltd. in Japan through the license agreement with Nobelpharma. The SA-ER drug product is manufactured by AAI Pharma under our license agreement and accompanying purchase orders with AAI Pharma. We are in the process of identifying secondary sources of drug substance and drug product for SA-ER. Manufacture of the drug substance requires a specialized enzyme-catalyzed step, and a secondary source of the enzyme itself is also under development. All raw materials to produce the drug substance and drug product are commercially available. The cell line to produce the specialized enzyme is under our control and is stored in multiple secured locations.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currently intend to build the commercial infrastructure in the United States and Europe necessary to effectively support the commercialization of all of our product candidates, if and when we believe a regulatory approval of the first of such product candidates in a particular geographic market appears imminent. The commercial infrastructure for rare disease products typically consists of a targeted, specialty sales force that calls on a limited and focused group of physicians supported by sales management, medical liaisons, internal sales support, an internal marketing group, and distribution support. One challenge unique to commercializing therapies for rare diseases is the difficulty in identifying eligible patients due to the very small and sometimes heterogeneous disease populations. Our management team is experienced in maximizing patient identification for both clinical development and commercialization purposes in rare diseases.</w:t>
      </w:r>
    </w:p>
    <w:p>
      <w:pPr>
        <w:spacing w:after="0" w:line="4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Additional capabilities important to the rare disease marketplace include the management of key accounts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52"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pricing,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7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and biologics under the FDCA and the Public Health Service Act, or PHSA, and its implementing regulations. FDA approval is required before any new unapproved drug or dosage form, including a new use of a previously approved drug, can be marketed in the United States. Drugs and biologics are also subject to other federal, state, and local statutes and regulations. If we fail to comply with applicable FDA or other requirements at any time during the drug development process, clinical testing, the approval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36" w:right="259" w:bottom="1440" w:gutter="0" w:footer="0" w:header="0"/>
        </w:sectPr>
      </w:pPr>
    </w:p>
    <w:bookmarkStart w:id="14" w:name="page15"/>
    <w:bookmarkEnd w:id="14"/>
    <w:p>
      <w:pPr>
        <w:ind w:right="40"/>
        <w:spacing w:after="0" w:line="312" w:lineRule="auto"/>
        <w:rPr>
          <w:sz w:val="20"/>
          <w:szCs w:val="20"/>
          <w:color w:val="auto"/>
        </w:rPr>
      </w:pPr>
      <w:r>
        <w:rPr>
          <w:rFonts w:ascii="Arial" w:cs="Arial" w:eastAsia="Arial" w:hAnsi="Arial"/>
          <w:sz w:val="16"/>
          <w:szCs w:val="16"/>
          <w:color w:val="auto"/>
        </w:rPr>
        <w:t>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77" w:lineRule="exact"/>
        <w:rPr>
          <w:sz w:val="20"/>
          <w:szCs w:val="20"/>
          <w:color w:val="auto"/>
        </w:rPr>
      </w:pPr>
    </w:p>
    <w:p>
      <w:pPr>
        <w:ind w:left="900" w:right="14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completion of extensive preclinical laboratory tests and preclinical animal studies performed in accordance with the Good Laboratory Practices, or GLP, regulations;</w:t>
      </w:r>
    </w:p>
    <w:p>
      <w:pPr>
        <w:spacing w:after="0" w:line="54" w:lineRule="exact"/>
        <w:rPr>
          <w:sz w:val="20"/>
          <w:szCs w:val="20"/>
          <w:color w:val="auto"/>
        </w:rPr>
      </w:pPr>
    </w:p>
    <w:p>
      <w:pPr>
        <w:ind w:left="9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submission to the FDA of an investigational new drug application, or IND, which must become effective before human clinical studies may begin and must be updated annually;</w:t>
      </w:r>
    </w:p>
    <w:p>
      <w:pPr>
        <w:spacing w:after="0" w:line="54" w:lineRule="exact"/>
        <w:rPr>
          <w:sz w:val="20"/>
          <w:szCs w:val="20"/>
          <w:color w:val="auto"/>
        </w:rPr>
      </w:pPr>
    </w:p>
    <w:p>
      <w:pPr>
        <w:ind w:left="900" w:right="1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approval by an independent institutional review board, or IRB, or ethics committee representing each clinical site before each clinical study may be initiated;</w:t>
      </w:r>
    </w:p>
    <w:p>
      <w:pPr>
        <w:spacing w:after="0" w:line="54" w:lineRule="exact"/>
        <w:rPr>
          <w:sz w:val="20"/>
          <w:szCs w:val="20"/>
          <w:color w:val="auto"/>
        </w:rPr>
      </w:pPr>
    </w:p>
    <w:p>
      <w:pPr>
        <w:ind w:left="900" w:right="68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performance of adequate and well-controlled human clinical studies to establish the safety and efficacy of the product candidate for each proposed indication;</w:t>
      </w:r>
    </w:p>
    <w:p>
      <w:pPr>
        <w:spacing w:after="0" w:line="54" w:lineRule="exact"/>
        <w:rPr>
          <w:sz w:val="20"/>
          <w:szCs w:val="20"/>
          <w:color w:val="auto"/>
        </w:rPr>
      </w:pPr>
    </w:p>
    <w:p>
      <w:pPr>
        <w:ind w:left="900" w:right="24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preparation of and submission to the FDA of a new drug application, or NDA, or biologics license application, or BLA, after completion of all pivotal clinical studies;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potential review of the product application by an FDA advisory committee, where appropriate and if applicable;</w:t>
      </w:r>
    </w:p>
    <w:p>
      <w:pPr>
        <w:spacing w:after="0" w:line="12" w:lineRule="exact"/>
        <w:rPr>
          <w:sz w:val="20"/>
          <w:szCs w:val="20"/>
          <w:color w:val="auto"/>
        </w:rPr>
      </w:pPr>
    </w:p>
    <w:p>
      <w:pPr>
        <w:ind w:left="900" w:right="20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satisfactory completion of an FDA pre-approval inspection of the manufacturing facilities where the proposed product drug substance and drug product is produced to assess compliance with current Good Manufacturing Practices, or cGMP;</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FDA will typically inspect one or more clinical sites to assure compliance with cGPC; and</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FDA review and approval of an NDA or BLA prior to any commercial marketing or sale of the drug in the United States.</w:t>
      </w:r>
    </w:p>
    <w:p>
      <w:pPr>
        <w:spacing w:after="0" w:line="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if at all. Additionally, the IND may be placed on clinical hold and the IND sponsor and the FDA must resolve any outstanding concerns or questions before clinical studies can begin.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90"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Clinical studies involve the administration of the investigational new drug to human subjects under the supervision of qualified investigators in accordance with protocols and current Good Clinical Practices, or cGCPs. A protocol for each clinical study and any subsequent protocol amendments must be submitted to the FDA as part of the IND. Additionally, approval must also be obtained from each clinical study site’s institutional review board, or IRB, before the studies may be initiated, and the IRB must monitor the study until completed. There are also requirements governing the reporting of ongoing clinical studies and clinical study results to public registries.</w:t>
      </w:r>
    </w:p>
    <w:p>
      <w:pPr>
        <w:spacing w:after="0" w:line="4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clinical investigation of a drug is generally divided into three or four phases. Although the phases are usually conducted sequentially, they may overlap or be combined.</w:t>
      </w:r>
    </w:p>
    <w:p>
      <w:pPr>
        <w:spacing w:after="0" w:line="22" w:lineRule="exact"/>
        <w:rPr>
          <w:sz w:val="20"/>
          <w:szCs w:val="20"/>
          <w:color w:val="auto"/>
        </w:rPr>
      </w:pPr>
    </w:p>
    <w:p>
      <w:pPr>
        <w:ind w:left="900" w:right="10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Phase 1. </w:t>
      </w:r>
      <w:r>
        <w:rPr>
          <w:rFonts w:ascii="Arial" w:cs="Arial" w:eastAsia="Arial" w:hAnsi="Arial"/>
          <w:sz w:val="18"/>
          <w:szCs w:val="18"/>
          <w:color w:val="auto"/>
        </w:rPr>
        <w:t>The drug is initially introduced into healthy human subjects or patients with the target disease or condition. These studies are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the safety, dosage tolerance, pharmacokinetics and pharmacologic actions of the investigational new drug in humans, and if possible, to gain early evidence on effectiveness.</w:t>
      </w:r>
    </w:p>
    <w:p>
      <w:pPr>
        <w:spacing w:after="0" w:line="55" w:lineRule="exact"/>
        <w:rPr>
          <w:sz w:val="20"/>
          <w:szCs w:val="20"/>
          <w:color w:val="auto"/>
        </w:rPr>
      </w:pPr>
    </w:p>
    <w:p>
      <w:pPr>
        <w:ind w:left="900" w:right="1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Phase 2. </w:t>
      </w:r>
      <w:r>
        <w:rPr>
          <w:rFonts w:ascii="Arial" w:cs="Arial" w:eastAsia="Arial" w:hAnsi="Arial"/>
          <w:sz w:val="18"/>
          <w:szCs w:val="18"/>
          <w:color w:val="auto"/>
        </w:rPr>
        <w:t>The drug is administered to a limited patient population to evaluate dosage tolerance and optimal dosage, identify possible adverse side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and preliminarily evaluate efficacy.</w:t>
      </w:r>
    </w:p>
    <w:p>
      <w:pPr>
        <w:spacing w:after="0" w:line="54" w:lineRule="exact"/>
        <w:rPr>
          <w:sz w:val="20"/>
          <w:szCs w:val="20"/>
          <w:color w:val="auto"/>
        </w:rPr>
      </w:pPr>
    </w:p>
    <w:p>
      <w:pPr>
        <w:ind w:left="90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Phase 3. </w:t>
      </w:r>
      <w:r>
        <w:rPr>
          <w:rFonts w:ascii="Arial" w:cs="Arial" w:eastAsia="Arial" w:hAnsi="Arial"/>
          <w:sz w:val="18"/>
          <w:szCs w:val="18"/>
          <w:color w:val="auto"/>
        </w:rPr>
        <w:t>The drug is administered to an expanded patient population, generally at geographically dispersed clinical study sites to generate enough</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statistically evaluate dosage, clinical effectiveness and safety, to establish the overall benefit-risk relationship of the investigational new drug product, and to provide an adequate basis for product approval.</w:t>
      </w:r>
    </w:p>
    <w:p>
      <w:pPr>
        <w:spacing w:after="0" w:line="55" w:lineRule="exact"/>
        <w:rPr>
          <w:sz w:val="20"/>
          <w:szCs w:val="20"/>
          <w:color w:val="auto"/>
        </w:rPr>
      </w:pPr>
    </w:p>
    <w:p>
      <w:pPr>
        <w:ind w:left="900" w:right="8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Phase 4</w:t>
      </w:r>
      <w:r>
        <w:rPr>
          <w:rFonts w:ascii="Arial" w:cs="Arial" w:eastAsia="Arial" w:hAnsi="Arial"/>
          <w:sz w:val="18"/>
          <w:szCs w:val="18"/>
          <w:color w:val="auto"/>
        </w:rPr>
        <w:t>. In some cases, the FDA may condition approval of an NDA or BLA for a product candidate on the sponsor’s agreement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55" w:lineRule="exact"/>
        <w:rPr>
          <w:sz w:val="20"/>
          <w:szCs w:val="20"/>
          <w:color w:val="auto"/>
        </w:rPr>
      </w:pPr>
    </w:p>
    <w:p>
      <w:pPr>
        <w:jc w:val="both"/>
        <w:ind w:right="280" w:firstLine="518"/>
        <w:spacing w:after="0" w:line="259" w:lineRule="auto"/>
        <w:rPr>
          <w:sz w:val="20"/>
          <w:szCs w:val="20"/>
          <w:color w:val="auto"/>
        </w:rPr>
      </w:pPr>
      <w:r>
        <w:rPr>
          <w:rFonts w:ascii="Arial" w:cs="Arial" w:eastAsia="Arial" w:hAnsi="Arial"/>
          <w:sz w:val="18"/>
          <w:szCs w:val="18"/>
          <w:color w:val="auto"/>
        </w:rPr>
        <w:t>A pivotal study is a clinical study that adequately meets regulatory agency requirements for the evaluation of a drug candidate’s efficacy and safety such that it can be used to justify the approval of the product. Generally, pivotal studies are Phase 3 studies, but the FDA may accept results from Phase 2 studies if the study design provides a well-controlled and reliable assessment of clinical benefit, particularly in situations where there is an unmet medical need and the results are sufficiently robust.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36" w:right="259" w:bottom="1440" w:gutter="0" w:footer="0" w:header="0"/>
        </w:sectPr>
      </w:pPr>
    </w:p>
    <w:bookmarkStart w:id="15" w:name="page16"/>
    <w:bookmarkEnd w:id="15"/>
    <w:p>
      <w:pPr>
        <w:ind w:right="100" w:firstLine="518"/>
        <w:spacing w:after="0" w:line="277" w:lineRule="auto"/>
        <w:rPr>
          <w:sz w:val="20"/>
          <w:szCs w:val="20"/>
          <w:color w:val="auto"/>
        </w:rPr>
      </w:pPr>
      <w:r>
        <w:rPr>
          <w:rFonts w:ascii="Arial" w:cs="Arial" w:eastAsia="Arial" w:hAnsi="Arial"/>
          <w:sz w:val="18"/>
          <w:szCs w:val="18"/>
          <w:color w:val="auto"/>
        </w:rPr>
        <w:t>The FDA, the IRB, or the clinical study sponsor may suspend or terminate a clinical study at any time on various grounds, including a finding that the research subjects are being exposed to an unacceptable health risk.</w:t>
      </w:r>
    </w:p>
    <w:p>
      <w:pPr>
        <w:spacing w:after="0" w:line="3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The sponsor may also suspend or terminate a clinical study based on evolving business objectives and/or competitive climate.</w:t>
      </w:r>
    </w:p>
    <w:p>
      <w:pPr>
        <w:spacing w:after="0" w:line="3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clinical study process can take three to ten years or more to complete, and there can be no assurance that the data collected will support FDA approval or licensure of the product.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or BLA to the FDA</w:t>
      </w:r>
    </w:p>
    <w:p>
      <w:pPr>
        <w:spacing w:after="0" w:line="90"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investigational new drug product information is submitted to the FDA in the form of an NDA or BLA requesting approval to market the product for one or more indications. Under federal law, the submission of most NDAs and BLAs is subject to an application user fee. For fiscal year 2014, the application user fee exceeds $2.1 million, and the sponsor of an approved NDA or BLA is also subject to annual product and establishment user fees, set at $104,060 per product and $554,600 per establishment, as well as new application fees in excess of $1 million for supplemental applications with clinical data. These fees are typically increased annually. Applications for orphan drug products are exempted from the NDA and BLA user fees and may be exempted from product and establishment user fees, unless the application includes an indication for other than a rare disease or condition.</w:t>
      </w:r>
    </w:p>
    <w:p>
      <w:pPr>
        <w:spacing w:after="0" w:line="29"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An NDA or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new drug product to the satisfaction of the FDA.</w:t>
      </w:r>
    </w:p>
    <w:p>
      <w:pPr>
        <w:spacing w:after="0" w:line="2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Once an NDA or BLA has been submitted, the FDA’s goal is to review the application within ten months after it accepts the application for filing, or, if the application relates to an unmet medical need in a serious or life-threatening indication, six months after the FDA accepts the application for filing. The review process can be significantly extended by FDA requests for additional information or clarification.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 or BLA</w:t>
      </w:r>
    </w:p>
    <w:p>
      <w:pPr>
        <w:spacing w:after="0" w:line="7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FDA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or BLA does not satisfy the criteria for approval. The FDA could also approve the NDA or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9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 sponsor may seek approval of its product candidate under programs designed to accelerate FDA’s review and approval of NDAs and BLAs. For example, Fast Track Designation may be granted to a drug intended for treatment of a serious or life-threatening disease or condition that has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Based on results of the Phase 3 clinical study(ies) submitted in an NDA or BLA, upon the request of an applicant, the FDA may grant the NDA or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36" w:right="239" w:bottom="1440" w:gutter="0" w:footer="0" w:header="0"/>
        </w:sectPr>
      </w:pPr>
    </w:p>
    <w:bookmarkStart w:id="16" w:name="page17"/>
    <w:bookmarkEnd w:id="16"/>
    <w:p>
      <w:pPr>
        <w:ind w:right="40" w:firstLine="518"/>
        <w:spacing w:after="0" w:line="276" w:lineRule="auto"/>
        <w:rPr>
          <w:sz w:val="20"/>
          <w:szCs w:val="20"/>
          <w:color w:val="auto"/>
        </w:rPr>
      </w:pPr>
      <w:r>
        <w:rPr>
          <w:rFonts w:ascii="Arial" w:cs="Arial" w:eastAsia="Arial" w:hAnsi="Arial"/>
          <w:sz w:val="17"/>
          <w:szCs w:val="17"/>
          <w:color w:val="auto"/>
        </w:rPr>
        <w:t>Under the accelerated approval program, the FDA may approve an NDA or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3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7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5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Drug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Future FDA and state inspections may identify compliance issues with our pharmacovigilance systems or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NDA or BLA, including withdrawal or recall of the product from the market or other voluntary, FDA-initiated or judicial action that could delay or prohibit further marketing. Also, new government requirements, including those resulting from new legislation, may be established, or the FDA’s policies may change, which could delay or prevent regulatory approval of our products under development.</w:t>
      </w:r>
    </w:p>
    <w:p>
      <w:pPr>
        <w:spacing w:after="0" w:line="3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restrictions on the marketing or manufacturing of the product, complete withdrawal of the product from the market or product recalls;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fines, warning letters or holds on post-approval clinical studies;</w:t>
      </w: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refusal of the FDA to approve pending NDAs or supplements to approved NDAs, or suspension or revocation of product license approvals;</w:t>
      </w:r>
    </w:p>
    <w:p>
      <w:pPr>
        <w:spacing w:after="0" w:line="7"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seizure or detention, or refusal to permit the import or export of products; or</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injunctions or the imposition of civil or criminal penalties.</w:t>
      </w:r>
    </w:p>
    <w:p>
      <w:pPr>
        <w:spacing w:after="0" w:line="1" w:lineRule="exact"/>
        <w:rPr>
          <w:sz w:val="20"/>
          <w:szCs w:val="20"/>
          <w:color w:val="auto"/>
        </w:rPr>
      </w:pPr>
    </w:p>
    <w:p>
      <w:pPr>
        <w:ind w:right="40" w:firstLine="518"/>
        <w:spacing w:after="0" w:line="301"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and there is no reasonable expectation that the cost of developing and making the drug for this type of disease or condition will be recovered from sales in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36" w:right="239" w:bottom="1440" w:gutter="0" w:footer="0" w:header="0"/>
        </w:sectPr>
      </w:pPr>
    </w:p>
    <w:bookmarkStart w:id="17" w:name="page18"/>
    <w:bookmarkEnd w:id="17"/>
    <w:p>
      <w:pPr>
        <w:ind w:right="140" w:firstLine="518"/>
        <w:spacing w:after="0" w:line="279" w:lineRule="auto"/>
        <w:rPr>
          <w:sz w:val="20"/>
          <w:szCs w:val="20"/>
          <w:color w:val="auto"/>
        </w:rPr>
      </w:pPr>
      <w:r>
        <w:rPr>
          <w:rFonts w:ascii="Arial" w:cs="Arial" w:eastAsia="Arial" w:hAnsi="Arial"/>
          <w:sz w:val="17"/>
          <w:szCs w:val="17"/>
          <w:color w:val="auto"/>
        </w:rPr>
        <w:t>Orphan drug designation entitles a party to financial incentives such as opportunities for grant funding towards clinical study costs, tax advantages, and user-fee waivers. In addition, if a product receives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50" w:lineRule="exact"/>
        <w:rPr>
          <w:sz w:val="20"/>
          <w:szCs w:val="20"/>
          <w:color w:val="auto"/>
        </w:rPr>
      </w:pPr>
    </w:p>
    <w:p>
      <w:pPr>
        <w:ind w:right="80" w:firstLine="518"/>
        <w:spacing w:after="0" w:line="258" w:lineRule="auto"/>
        <w:rPr>
          <w:sz w:val="20"/>
          <w:szCs w:val="20"/>
          <w:color w:val="auto"/>
        </w:rPr>
      </w:pPr>
      <w:r>
        <w:rPr>
          <w:rFonts w:ascii="Arial" w:cs="Arial" w:eastAsia="Arial" w:hAnsi="Arial"/>
          <w:sz w:val="16"/>
          <w:szCs w:val="16"/>
          <w:color w:val="auto"/>
        </w:rPr>
        <w:t>NDAs and BLAs must contain data (or a proposal for post-marketing activity) to assess the safety and effectiveness of an investigational new drug product for the claimed indications in all relevant pediatric populations in order to support dosing and administration for each pediatric subpopulation for which the drug is safe and effective. The FDA may, on its own initiative or at the request of the applicant, grant deferrals for submission of some or all pediatric data until after approval of the product for use in adults or full or partial waivers if certain criteria are met. Discussions about pediatric development plans can be discussed with the FDA at any time, but usually occur any time between the end-of-Phase II meeting and submission of the NDA or BLA. The requirements for pediatric data do not apply to any drug for an indication for which orphan designation has been granted.</w:t>
      </w:r>
    </w:p>
    <w:p>
      <w:pPr>
        <w:spacing w:after="0" w:line="15" w:lineRule="exact"/>
        <w:rPr>
          <w:sz w:val="20"/>
          <w:szCs w:val="20"/>
          <w:color w:val="auto"/>
        </w:rPr>
      </w:pPr>
    </w:p>
    <w:p>
      <w:pPr>
        <w:ind w:right="180" w:firstLine="518"/>
        <w:spacing w:after="0" w:line="261" w:lineRule="auto"/>
        <w:rPr>
          <w:sz w:val="20"/>
          <w:szCs w:val="20"/>
          <w:color w:val="auto"/>
        </w:rPr>
      </w:pPr>
      <w:r>
        <w:rPr>
          <w:rFonts w:ascii="Arial" w:cs="Arial" w:eastAsia="Arial" w:hAnsi="Arial"/>
          <w:sz w:val="16"/>
          <w:szCs w:val="16"/>
          <w:color w:val="auto"/>
        </w:rPr>
        <w:t>Pediatric exclusivity is another type of non-patent exclusivity in the United States that may be granted if an NDA or BLA sponsor submits pediatric data that fairly respond to a written request from the FDA for such data. The data do not need to show the product to be effective in the pediatric population studied. If reports of FDA-requested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 relying on the NDA or BLA sponsor’s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w:t>
      </w:r>
    </w:p>
    <w:p>
      <w:pPr>
        <w:spacing w:after="0" w:line="50" w:lineRule="exact"/>
        <w:rPr>
          <w:sz w:val="20"/>
          <w:szCs w:val="20"/>
          <w:color w:val="auto"/>
        </w:rPr>
      </w:pPr>
    </w:p>
    <w:p>
      <w:pPr>
        <w:ind w:right="20" w:firstLine="518"/>
        <w:spacing w:after="0" w:line="254" w:lineRule="auto"/>
        <w:rPr>
          <w:sz w:val="20"/>
          <w:szCs w:val="20"/>
          <w:color w:val="auto"/>
        </w:rPr>
      </w:pPr>
      <w:r>
        <w:rPr>
          <w:rFonts w:ascii="Arial" w:cs="Arial" w:eastAsia="Arial" w:hAnsi="Arial"/>
          <w:sz w:val="16"/>
          <w:szCs w:val="16"/>
          <w:color w:val="auto"/>
        </w:rPr>
        <w:t>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studies and other factors involved in the filing of the relevant NDA or BLA.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63" w:lineRule="exact"/>
        <w:rPr>
          <w:sz w:val="20"/>
          <w:szCs w:val="20"/>
          <w:color w:val="auto"/>
        </w:rPr>
      </w:pPr>
    </w:p>
    <w:p>
      <w:pPr>
        <w:ind w:firstLine="518"/>
        <w:spacing w:after="0" w:line="237" w:lineRule="auto"/>
        <w:rPr>
          <w:sz w:val="20"/>
          <w:szCs w:val="20"/>
          <w:color w:val="auto"/>
        </w:rPr>
      </w:pPr>
      <w:r>
        <w:rPr>
          <w:rFonts w:ascii="Arial" w:cs="Arial" w:eastAsia="Arial" w:hAnsi="Arial"/>
          <w:sz w:val="17"/>
          <w:szCs w:val="17"/>
          <w:color w:val="auto"/>
        </w:rPr>
        <w:t>The Patient Protection and Affordable Care Act, or Affordable Care Act, signed into law on March 23, 2010, includes a subtitle called the Biologics Price Competition and Innovation Act of 2009, or BPCI Act, which created an abbreviated approval pathway for biological products shown to be 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28" w:lineRule="exact"/>
        <w:rPr>
          <w:sz w:val="20"/>
          <w:szCs w:val="20"/>
          <w:color w:val="auto"/>
        </w:rPr>
      </w:pPr>
    </w:p>
    <w:p>
      <w:pPr>
        <w:ind w:right="100" w:firstLine="518"/>
        <w:spacing w:after="0" w:line="261" w:lineRule="auto"/>
        <w:rPr>
          <w:sz w:val="20"/>
          <w:szCs w:val="20"/>
          <w:color w:val="auto"/>
        </w:rPr>
      </w:pPr>
      <w:r>
        <w:rPr>
          <w:rFonts w:ascii="Arial" w:cs="Arial" w:eastAsia="Arial" w:hAnsi="Arial"/>
          <w:sz w:val="16"/>
          <w:szCs w:val="16"/>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eighteen months after approval if there is no legal challenge, (iii) eighteen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63" w:lineRule="exact"/>
        <w:rPr>
          <w:sz w:val="20"/>
          <w:szCs w:val="20"/>
          <w:color w:val="auto"/>
        </w:rPr>
      </w:pPr>
    </w:p>
    <w:p>
      <w:pPr>
        <w:ind w:right="480" w:firstLine="518"/>
        <w:spacing w:after="0" w:line="246" w:lineRule="auto"/>
        <w:rPr>
          <w:sz w:val="20"/>
          <w:szCs w:val="20"/>
          <w:color w:val="auto"/>
        </w:rPr>
      </w:pPr>
      <w:r>
        <w:rPr>
          <w:rFonts w:ascii="Arial" w:cs="Arial" w:eastAsia="Arial" w:hAnsi="Arial"/>
          <w:sz w:val="17"/>
          <w:szCs w:val="17"/>
          <w:color w:val="auto"/>
        </w:rPr>
        <w:t>In 1984, with passage of the Hatch-Waxman Act,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 listed drug, or RLD.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36" w:right="259" w:bottom="1440" w:gutter="0" w:footer="0" w:header="0"/>
        </w:sectPr>
      </w:pPr>
    </w:p>
    <w:bookmarkStart w:id="18" w:name="page19"/>
    <w:bookmarkEnd w:id="18"/>
    <w:p>
      <w:pPr>
        <w:ind w:right="20" w:firstLine="518"/>
        <w:spacing w:after="0" w:line="259" w:lineRule="auto"/>
        <w:rPr>
          <w:sz w:val="20"/>
          <w:szCs w:val="20"/>
          <w:color w:val="auto"/>
        </w:rPr>
      </w:pPr>
      <w:r>
        <w:rPr>
          <w:rFonts w:ascii="Arial" w:cs="Arial" w:eastAsia="Arial" w:hAnsi="Arial"/>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an RLD if “the rate and extent of absorption of the [generic] drug does not show a significant difference from the rate and extent of absorption of the listed drug. . . .”</w:t>
      </w:r>
    </w:p>
    <w:p>
      <w:pPr>
        <w:spacing w:after="0" w:line="52"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an “AB” therapeutic equivalence rating to mean that a generic drug is fully substitutable for the RLD. In addition, by operation of certain state laws and numerous health insurance programs, the FDA’s designation of an “AB” rating often results in substitution of the generic drug without the knowledge or consent of either the prescribing physician or patient.</w:t>
      </w:r>
    </w:p>
    <w:p>
      <w:pPr>
        <w:spacing w:after="0" w:line="2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an NDA or supplement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9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required patent information has not been filed;</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listed patent has expired;</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listed patent has not expired, but will expire on a particular date and approval is sought after patent expiration; or</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listed patent is invalid, unenforceable or will not be infringed by the new product.</w:t>
      </w:r>
    </w:p>
    <w:p>
      <w:pPr>
        <w:spacing w:after="0" w:line="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w:t>
      </w:r>
    </w:p>
    <w:p>
      <w:pPr>
        <w:spacing w:after="0" w:line="39"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Union/Rest of World Government Regulation</w:t>
      </w:r>
    </w:p>
    <w:p>
      <w:pPr>
        <w:spacing w:after="0" w:line="7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w:t>
      </w:r>
    </w:p>
    <w:p>
      <w:pPr>
        <w:spacing w:after="0" w:line="3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study application, or CTA, must be submitted for each clinical protocol to each country’s national health authority and an independent ethics committee, much like the FDA and IRB, respectively. Once the CTA is accepted in accordance with a country’s requirements, the clinical study may proceed.</w:t>
      </w:r>
    </w:p>
    <w:p>
      <w:pPr>
        <w:spacing w:after="0" w:line="4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requirements and process governing the conduct of clinical studies vary from country to country. In all cases, the clinical studies are conducted in accordance with cGCP, the applicable regulatory requirements, and the ethical principles that have their origin in the Declaration of Helsinki.</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36" w:right="279" w:bottom="1440" w:gutter="0" w:footer="0" w:header="0"/>
        </w:sectPr>
      </w:pPr>
    </w:p>
    <w:bookmarkStart w:id="19" w:name="page20"/>
    <w:bookmarkEnd w:id="19"/>
    <w:p>
      <w:pPr>
        <w:ind w:right="400" w:firstLine="518"/>
        <w:spacing w:after="0" w:line="264" w:lineRule="auto"/>
        <w:rPr>
          <w:sz w:val="20"/>
          <w:szCs w:val="20"/>
          <w:color w:val="auto"/>
        </w:rPr>
      </w:pPr>
      <w:r>
        <w:rPr>
          <w:rFonts w:ascii="Arial" w:cs="Arial" w:eastAsia="Arial" w:hAnsi="Arial"/>
          <w:sz w:val="18"/>
          <w:szCs w:val="18"/>
          <w:color w:val="auto"/>
        </w:rPr>
        <w:t>To obtain regulatory approval of an investigational medicinal product under European Union regulatory systems, we must submit a marketing authorization application, or MAA. The content of the NDA or BLA filed in the United States is similar to that required in the European Union, with the exception of, among other things, country-specific document requirements.</w:t>
      </w:r>
    </w:p>
    <w:p>
      <w:pPr>
        <w:spacing w:after="0" w:line="4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product licensing, pricing, and reimbursement vary from country to country.</w:t>
      </w:r>
    </w:p>
    <w:p>
      <w:pPr>
        <w:spacing w:after="0" w:line="2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Countries that are part of the European Union, as well as countries outside of the European Union, have their own governing bodies, requirements, and processes with respect to the approval of pharmaceutical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Authorization Procedures in the European Union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Medicines can be authorized in the European Union by using either the centralized authorization procedure or national authorization procedures.</w:t>
      </w:r>
    </w:p>
    <w:p>
      <w:pPr>
        <w:spacing w:after="0" w:line="88" w:lineRule="exact"/>
        <w:rPr>
          <w:sz w:val="20"/>
          <w:szCs w:val="20"/>
          <w:color w:val="auto"/>
        </w:rPr>
      </w:pPr>
    </w:p>
    <w:p>
      <w:pPr>
        <w:ind w:left="900" w:right="140" w:hanging="365"/>
        <w:spacing w:after="0" w:line="273"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Centralized procedure. </w:t>
      </w:r>
      <w:r>
        <w:rPr>
          <w:rFonts w:ascii="Arial" w:cs="Arial" w:eastAsia="Arial" w:hAnsi="Arial"/>
          <w:sz w:val="16"/>
          <w:szCs w:val="16"/>
          <w:color w:val="auto"/>
        </w:rPr>
        <w:t>The EMA implemented the centralized procedure for the approval of human medicines to facilitate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that are valid throughout the European Economic Area, or EEA, which is comprised of the 28 member states of the European Union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29" w:lineRule="exact"/>
        <w:rPr>
          <w:sz w:val="20"/>
          <w:szCs w:val="20"/>
          <w:color w:val="auto"/>
        </w:rPr>
      </w:pPr>
    </w:p>
    <w:p>
      <w:pPr>
        <w:ind w:left="900" w:right="620" w:hanging="365"/>
        <w:spacing w:after="0" w:line="238"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spacing w:after="0" w:line="54" w:lineRule="exact"/>
        <w:rPr>
          <w:sz w:val="20"/>
          <w:szCs w:val="20"/>
          <w:color w:val="auto"/>
        </w:rPr>
      </w:pPr>
    </w:p>
    <w:p>
      <w:pPr>
        <w:ind w:left="900" w:right="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National authorization procedures. </w:t>
      </w:r>
      <w:r>
        <w:rPr>
          <w:rFonts w:ascii="Arial" w:cs="Arial" w:eastAsia="Arial" w:hAnsi="Arial"/>
          <w:sz w:val="18"/>
          <w:szCs w:val="18"/>
          <w:color w:val="auto"/>
        </w:rPr>
        <w:t>There are also two other possible routes to authorize medicinal products in several European Union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available for investigational medicinal products that fall outside the scope of the centralized procedure:</w:t>
      </w:r>
    </w:p>
    <w:p>
      <w:pPr>
        <w:spacing w:after="0" w:line="54" w:lineRule="exact"/>
        <w:rPr>
          <w:sz w:val="20"/>
          <w:szCs w:val="20"/>
          <w:color w:val="auto"/>
        </w:rPr>
      </w:pPr>
    </w:p>
    <w:p>
      <w:pPr>
        <w:ind w:left="1400" w:right="400" w:hanging="351"/>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Decentralized procedure. </w:t>
      </w:r>
      <w:r>
        <w:rPr>
          <w:rFonts w:ascii="Arial" w:cs="Arial" w:eastAsia="Arial" w:hAnsi="Arial"/>
          <w:sz w:val="18"/>
          <w:szCs w:val="18"/>
          <w:color w:val="auto"/>
        </w:rPr>
        <w:t>Using the decentralized procedure, an applicant may apply for simultaneous authorization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country of medicinal products that have not yet been authorized in any European Union country and that do not fall within the mandatory scope of the centralized procedure.</w:t>
      </w:r>
    </w:p>
    <w:p>
      <w:pPr>
        <w:spacing w:after="0" w:line="55" w:lineRule="exact"/>
        <w:rPr>
          <w:sz w:val="20"/>
          <w:szCs w:val="20"/>
          <w:color w:val="auto"/>
        </w:rPr>
      </w:pPr>
    </w:p>
    <w:p>
      <w:pPr>
        <w:ind w:left="1400" w:right="160" w:hanging="351"/>
        <w:spacing w:after="0" w:line="232"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Mutual recognition procedure. </w:t>
      </w:r>
      <w:r>
        <w:rPr>
          <w:rFonts w:ascii="Arial" w:cs="Arial" w:eastAsia="Arial" w:hAnsi="Arial"/>
          <w:sz w:val="18"/>
          <w:szCs w:val="18"/>
          <w:color w:val="auto"/>
        </w:rPr>
        <w:t>In the mutual recognition procedure, a medicine is first authorized in one European Union Member State,</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40" w:lineRule="exact"/>
        <w:rPr>
          <w:sz w:val="20"/>
          <w:szCs w:val="20"/>
          <w:color w:val="auto"/>
        </w:rPr>
      </w:pPr>
    </w:p>
    <w:p>
      <w:pPr>
        <w:ind w:right="80" w:firstLine="518"/>
        <w:spacing w:after="0" w:line="307" w:lineRule="auto"/>
        <w:rPr>
          <w:sz w:val="20"/>
          <w:szCs w:val="20"/>
          <w:color w:val="auto"/>
        </w:rPr>
      </w:pPr>
      <w:r>
        <w:rPr>
          <w:rFonts w:ascii="Arial" w:cs="Arial" w:eastAsia="Arial" w:hAnsi="Arial"/>
          <w:sz w:val="16"/>
          <w:szCs w:val="16"/>
          <w:color w:val="auto"/>
        </w:rPr>
        <w:t>In most cases, a Pediatric Investigation Plan, or PIP, and/or a request for waiver or deferral, is required for submission prior to submitting a marketing authorization application. A PIP describes, among other things, proposed pediatric studies and their timing relative to clinical studies in adults.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Chemical Entity Exclusivity</w:t>
      </w:r>
    </w:p>
    <w:p>
      <w:pPr>
        <w:spacing w:after="0" w:line="63" w:lineRule="exact"/>
        <w:rPr>
          <w:sz w:val="20"/>
          <w:szCs w:val="20"/>
          <w:color w:val="auto"/>
        </w:rPr>
      </w:pPr>
    </w:p>
    <w:p>
      <w:pPr>
        <w:ind w:firstLine="518"/>
        <w:spacing w:after="0" w:line="258" w:lineRule="auto"/>
        <w:rPr>
          <w:sz w:val="20"/>
          <w:szCs w:val="20"/>
          <w:color w:val="auto"/>
        </w:rPr>
      </w:pPr>
      <w:r>
        <w:rPr>
          <w:rFonts w:ascii="Arial" w:cs="Arial" w:eastAsia="Arial" w:hAnsi="Arial"/>
          <w:sz w:val="16"/>
          <w:szCs w:val="16"/>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50" w:lineRule="exact"/>
        <w:rPr>
          <w:sz w:val="20"/>
          <w:szCs w:val="20"/>
          <w:color w:val="auto"/>
        </w:rPr>
      </w:pPr>
    </w:p>
    <w:p>
      <w:pPr>
        <w:ind w:right="60" w:firstLine="518"/>
        <w:spacing w:after="0"/>
        <w:rPr>
          <w:sz w:val="20"/>
          <w:szCs w:val="20"/>
          <w:color w:val="auto"/>
        </w:rPr>
      </w:pPr>
      <w:r>
        <w:rPr>
          <w:rFonts w:ascii="Arial" w:cs="Arial" w:eastAsia="Arial" w:hAnsi="Arial"/>
          <w:sz w:val="17"/>
          <w:szCs w:val="17"/>
          <w:color w:val="auto"/>
        </w:rPr>
        <w:t>In the European Union, the EMA’s Committee for Orphan Medicinal Products, or COMP,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medicinal product.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36" w:right="259" w:bottom="1440" w:gutter="0" w:footer="0" w:header="0"/>
        </w:sectPr>
      </w:pPr>
    </w:p>
    <w:bookmarkStart w:id="20" w:name="page21"/>
    <w:bookmarkEnd w:id="20"/>
    <w:p>
      <w:pPr>
        <w:jc w:val="both"/>
        <w:ind w:right="20" w:firstLine="518"/>
        <w:spacing w:after="0" w:line="286" w:lineRule="auto"/>
        <w:rPr>
          <w:sz w:val="20"/>
          <w:szCs w:val="20"/>
          <w:color w:val="auto"/>
        </w:rPr>
      </w:pPr>
      <w:r>
        <w:rPr>
          <w:rFonts w:ascii="Arial" w:cs="Arial" w:eastAsia="Arial" w:hAnsi="Arial"/>
          <w:sz w:val="17"/>
          <w:szCs w:val="17"/>
          <w:color w:val="auto"/>
        </w:rPr>
        <w:t>In the European Union,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w:t>
      </w:r>
    </w:p>
    <w:p>
      <w:pPr>
        <w:spacing w:after="0" w:line="3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Circumstances/Conditional Approval</w:t>
      </w:r>
    </w:p>
    <w:p>
      <w:pPr>
        <w:spacing w:after="0" w:line="7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Orphan drugs or drugs with unmet medical needs may be eligible for EU approval under exceptional circumstances or with conditional approval. Approval under exceptional circumstances is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is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Review</w:t>
      </w:r>
    </w:p>
    <w:p>
      <w:pPr>
        <w:spacing w:after="0" w:line="7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or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9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drug products for which we obtain regulatory approval. In the United States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the approved drugs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3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3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collectively, the Healthcare Reform Law,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3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36" w:right="239" w:bottom="1440" w:gutter="0" w:footer="0" w:header="0"/>
        </w:sectPr>
      </w:pPr>
    </w:p>
    <w:bookmarkStart w:id="21" w:name="page22"/>
    <w:bookmarkEnd w:id="21"/>
    <w:p>
      <w:pPr>
        <w:ind w:right="100"/>
        <w:spacing w:after="0" w:line="259" w:lineRule="auto"/>
        <w:rPr>
          <w:sz w:val="20"/>
          <w:szCs w:val="20"/>
          <w:color w:val="auto"/>
        </w:rPr>
      </w:pPr>
      <w:r>
        <w:rPr>
          <w:rFonts w:ascii="Arial" w:cs="Arial" w:eastAsia="Arial" w:hAnsi="Arial"/>
          <w:sz w:val="18"/>
          <w:szCs w:val="18"/>
          <w:color w:val="auto"/>
        </w:rPr>
        <w:t>has been agreed to by the government.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5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7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52" w:lineRule="exact"/>
        <w:rPr>
          <w:sz w:val="20"/>
          <w:szCs w:val="20"/>
          <w:color w:val="auto"/>
        </w:rPr>
      </w:pPr>
    </w:p>
    <w:p>
      <w:pPr>
        <w:ind w:left="900" w:right="2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55" w:lineRule="exact"/>
        <w:rPr>
          <w:sz w:val="20"/>
          <w:szCs w:val="20"/>
          <w:color w:val="auto"/>
        </w:rPr>
      </w:pPr>
    </w:p>
    <w:p>
      <w:pPr>
        <w:ind w:left="900" w:right="40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spacing w:after="0" w:line="55" w:lineRule="exact"/>
        <w:rPr>
          <w:sz w:val="20"/>
          <w:szCs w:val="20"/>
          <w:color w:val="auto"/>
        </w:rPr>
      </w:pPr>
    </w:p>
    <w:p>
      <w:pPr>
        <w:ind w:left="900" w:right="380" w:hanging="365"/>
        <w:spacing w:after="0" w:line="227"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53" w:lineRule="exact"/>
        <w:rPr>
          <w:sz w:val="20"/>
          <w:szCs w:val="20"/>
          <w:color w:val="auto"/>
        </w:rPr>
      </w:pPr>
    </w:p>
    <w:p>
      <w:pPr>
        <w:ind w:left="900" w:right="1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federal transparency laws, including the federal Physician Payment Sunshine Act, that requires drug manufacturers to disclose payments and other transfers of value provided to physicians and teaching hospitals;</w:t>
      </w:r>
    </w:p>
    <w:p>
      <w:pPr>
        <w:spacing w:after="0" w:line="54" w:lineRule="exact"/>
        <w:rPr>
          <w:sz w:val="20"/>
          <w:szCs w:val="20"/>
          <w:color w:val="auto"/>
        </w:rPr>
      </w:pPr>
    </w:p>
    <w:p>
      <w:pPr>
        <w:ind w:left="900" w:right="560" w:hanging="365"/>
        <w:spacing w:after="0" w:line="252"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 xml:space="preserve"> HIPAA, as amended by the Health Information Technology and Clinical Health Act, or HITECH, and its implementing regulations, which imposes certain requirements relating to the privacy, security and transmission of individually identifiable health information; and</w:t>
      </w:r>
    </w:p>
    <w:p>
      <w:pPr>
        <w:spacing w:after="0" w:line="40" w:lineRule="exact"/>
        <w:rPr>
          <w:sz w:val="20"/>
          <w:szCs w:val="20"/>
          <w:color w:val="auto"/>
        </w:rPr>
      </w:pPr>
    </w:p>
    <w:p>
      <w:pPr>
        <w:ind w:left="900" w:right="60" w:hanging="365"/>
        <w:spacing w:after="0" w:line="232"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5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Healthcare Reform Law broadened the reach of the fraud and abuse laws by, among other things, amending the intent requirement of the federal Anti-Kickback Statute and the applicable criminal healthcare fraud statutes contained within 42 U.S.C. § 1320a-7b, effective March 23, 2010. Pursuant to the statutory amendment, a person or entity no longer needs to have actual knowledge of this statute or specific intent to violate it in order to have committed a violation. In addition, the Healthcare Reform Law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29"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are also subject to the Foreign Corrupt Practices Act, or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36"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December 31, 2013, we had 59 full-time employees. None of our employees is represented by labor unions or covered by collective bargaining agreements. We consider our relationship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recognized $4.7 million, $12.6 million, and $27.8 million in research and development expense in the years ended December 31, 2011, 2012,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offices are located at two leased facilities. The first is a 19,916 square foot facility in Novato, California used primarily for corporate, clinical, regulatory, manufacturing, and quality functions. On February 20, 2014, we executed an amendment to this lease adding approximately 25,000 square feet of additional space. The rental term for the additional space shall commence on May 1, 2014 and expire on April 30, 2019. The rental term for the current space shall also now expire on April 30, 2019, unless extended as permitted by the amendment. We also lease a 910 square foot facility in Novato, California used for research laboratory space, which expires in September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maintain product liability insurance that provides coverage in the amount of $5 million per incident and $5 million in aggregate.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 of the Registrant</w:t>
      </w:r>
    </w:p>
    <w:p>
      <w:pPr>
        <w:spacing w:after="0" w:line="81"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Information concerning our executive officers and key employees, including their names, ages and certain biographical information can be found in Part III, Item 10 under the caption, “Executive Officers and Key Employees of the Registrant.” This information is incorporated by reference into Part I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94"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We operate in a single accounting segment — the identification, acquisition, development and commercialization of novel products for the treatment of rare and ultra-rare diseases. Refer to Note 1, “Organization and Basis of Presentations” in the Notes to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1"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 xml:space="preserve">We were incorporated in California in April 2010 and reincorporated in Delaware in June 2011. Our principal executive offices are located at 60 Leveroni Court, Novato, California 94949. Our telephone number is (415) 483-8800 and our e-mail address is </w:t>
      </w:r>
      <w:r>
        <w:rPr>
          <w:rFonts w:ascii="Arial" w:cs="Arial" w:eastAsia="Arial" w:hAnsi="Arial"/>
          <w:sz w:val="17"/>
          <w:szCs w:val="17"/>
          <w:i w:val="1"/>
          <w:iCs w:val="1"/>
          <w:color w:val="auto"/>
        </w:rPr>
        <w:t>info@ultragenyx.com</w:t>
      </w:r>
      <w:r>
        <w:rPr>
          <w:rFonts w:ascii="Arial" w:cs="Arial" w:eastAsia="Arial" w:hAnsi="Arial"/>
          <w:sz w:val="17"/>
          <w:szCs w:val="17"/>
          <w:color w:val="auto"/>
        </w:rPr>
        <w:t xml:space="preserve">. Our Internet website address is </w:t>
      </w:r>
      <w:r>
        <w:rPr>
          <w:rFonts w:ascii="Arial" w:cs="Arial" w:eastAsia="Arial" w:hAnsi="Arial"/>
          <w:sz w:val="17"/>
          <w:szCs w:val="17"/>
          <w:i w:val="1"/>
          <w:iCs w:val="1"/>
          <w:color w:val="auto"/>
        </w:rPr>
        <w:t>www.ultragenyx.com.</w:t>
      </w:r>
      <w:r>
        <w:rPr>
          <w:rFonts w:ascii="Arial" w:cs="Arial" w:eastAsia="Arial" w:hAnsi="Arial"/>
          <w:sz w:val="17"/>
          <w:szCs w:val="17"/>
          <w:color w:val="auto"/>
        </w:rPr>
        <w:t xml:space="preserve"> No portion of our website is incorporated by reference into this Annual Report on Form 10-K.</w:t>
      </w:r>
    </w:p>
    <w:p>
      <w:pPr>
        <w:spacing w:after="0" w:line="30"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 xml:space="preserve">You are advised to read this Annual Report on Form 10-K in conjunction with other reports and documents that we file from time to time with the Securities and Exchange Commission, or SEC. In particular, please read our definitive proxy statements, our Quarterly Reports on Form 10-Q and any Current Reports on Form 8-K that we may file from time to time. You may obtain copies of these reports after the date of this annual report directly from us or from the SEC at the SEC’s Public Reference Room at 100 F Street, N.E. Washington, D.C. 20549. In addition, the SEC maintains information for electronic filers (including Ultragenyx) at its website at </w:t>
      </w:r>
      <w:r>
        <w:rPr>
          <w:rFonts w:ascii="Arial" w:cs="Arial" w:eastAsia="Arial" w:hAnsi="Arial"/>
          <w:sz w:val="17"/>
          <w:szCs w:val="17"/>
          <w:i w:val="1"/>
          <w:iCs w:val="1"/>
          <w:color w:val="auto"/>
        </w:rPr>
        <w:t>www.sec.gov</w:t>
      </w:r>
      <w:r>
        <w:rPr>
          <w:rFonts w:ascii="Arial" w:cs="Arial" w:eastAsia="Arial" w:hAnsi="Arial"/>
          <w:sz w:val="17"/>
          <w:szCs w:val="17"/>
          <w:color w:val="auto"/>
        </w:rPr>
        <w:t>.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594"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and have a limited operating history on which to assess our business, have incurred significant losses since our inception, and anticipate that we will continue to incur significant losses for the foreseeable future.</w:t>
      </w:r>
    </w:p>
    <w:p>
      <w:pPr>
        <w:spacing w:after="0" w:line="2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are a development-stage biopharmaceutical company with a limited operating history. We have incurred net losses in each year since our inception in April 2010, including net losses of $6.8 million, $16.3 million and $35.1 million for the years ended December 31, 2011, 2012 and 2013, respectively. As of December 31, 2013, we had incurred cumulative net losses of $59.</w:t>
      </w:r>
      <w:r>
        <w:rPr>
          <w:rFonts w:ascii="Arial" w:cs="Arial" w:eastAsia="Arial" w:hAnsi="Arial"/>
          <w:sz w:val="18"/>
          <w:szCs w:val="18"/>
          <w:color w:val="008000"/>
        </w:rPr>
        <w:t>6</w:t>
      </w:r>
      <w:r>
        <w:rPr>
          <w:rFonts w:ascii="Arial" w:cs="Arial" w:eastAsia="Arial" w:hAnsi="Arial"/>
          <w:sz w:val="18"/>
          <w:szCs w:val="18"/>
          <w:color w:val="auto"/>
        </w:rPr>
        <w:t xml:space="preserve"> million.</w:t>
      </w:r>
    </w:p>
    <w:p>
      <w:pPr>
        <w:spacing w:after="0" w:line="46"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We have devoted substantially all of our financial resources to identifying, acquiring, and developing our product candidates, including conducting clinical studies, developing manufacturing processes, and providing general and administrative support for these operations. To date, we have financed our operations primarily through the sale of equity securities. The amount of our future net losses will depend, in part, on the rate of our future expenditures and our ability to obtain funding through equity or debt financings, strategic collaborations, or grants. Biopharmaceutical product development is a highly speculative undertaking and involves a substantial degree of risk. We are in the early stages of clinical development for our product candidates, we have not yet commenced pivotal clinical studies for any product candidate and it may be several years, if ever, before we complete pivotal clinical studies and have a product candidate approved for commercialization. If we obtain regulatory approval to market a product candidate, our future revenue will depend upon the size of any markets in which our product candidates may receive approval, and our ability to achieve sufficient market acceptance, pricing, reimbursement from third-party payors, and adequate market share for our product candidates in those markets. However, even if we obtain adequate market share for our product candidates, because the potential markets in which our product candidates may ultimately receive regulatory approval are very small, and our expenses may be greater than expected, we may never become profitable despite obtaining such market share and acceptance of our products.</w:t>
      </w:r>
    </w:p>
    <w:p>
      <w:pPr>
        <w:spacing w:after="0" w:line="2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continue our research and nonclinical and clinical development of our product candidates;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expand the scope of our current clinical studies for our product candidates;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advance our programs into more expensive clinical studies;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initiate additional nonclinical, clinical, or other studies for our product candidates;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pursue preclinical and clinical development for additional indications for existing product candidates;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change or add additional manufacturers or suppliers;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seek regulatory and marketing approvals for our product candidates that successfully complete clinical studies;</w:t>
      </w: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establish a sales, marketing, and distribution infrastructure to commercialize any products for which we may obtain marketing approval;</w:t>
      </w:r>
    </w:p>
    <w:p>
      <w:pPr>
        <w:spacing w:after="0" w:line="7"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seek to identify, assess, acquire, and/or develop other product candidates;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make milestone or other payments under any license agreements;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seek to maintain, protect, and expand our intellectual property portfolio;</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seek to attract and retain skilled personnel;</w:t>
      </w:r>
    </w:p>
    <w:p>
      <w:pPr>
        <w:ind w:left="90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create additional infrastructure to support our operations as a public company and our product development and planned future commercialization efforts; and</w:t>
      </w:r>
    </w:p>
    <w:p>
      <w:pPr>
        <w:spacing w:after="0" w:line="55" w:lineRule="exact"/>
        <w:rPr>
          <w:sz w:val="20"/>
          <w:szCs w:val="20"/>
          <w:color w:val="auto"/>
        </w:rPr>
      </w:pPr>
    </w:p>
    <w:p>
      <w:pPr>
        <w:ind w:left="900" w:right="10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experience any delays or encounter issues with any of the above, including but not limited to failed studies, complex results, safety issues, or other regulatory challenges that require longer follow-up of existing studies, additional major studies, or additional supportive studies in order to pursue marketing approval.</w:t>
      </w:r>
    </w:p>
    <w:p>
      <w:pPr>
        <w:spacing w:after="0" w:line="5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90"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We have no products approved for commercialization and have never generated any revenue.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in the near future. Our ability to generate future revenue from product sales depends heavily on our success in many areas, including but not limited to:</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completing research and nonclinical and clinical development of our product candidates;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obtaining regulatory and marketing approvals for product candidates for which we complete clinical studies;</w:t>
      </w:r>
    </w:p>
    <w:p>
      <w:pPr>
        <w:ind w:left="900" w:right="140" w:hanging="365"/>
        <w:spacing w:after="0" w:line="232"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developing a sustainable and scalable manufacturing process for any approved product candidates and establishing and maintaining supply and manufacturing relationships with third parties that can conduct the processes and provide adequate (in amount and quality) product supply to support clinical development and the market demand for our product candidates, if approved;</w:t>
      </w:r>
    </w:p>
    <w:p>
      <w:pPr>
        <w:spacing w:after="0" w:line="55" w:lineRule="exact"/>
        <w:rPr>
          <w:sz w:val="20"/>
          <w:szCs w:val="20"/>
          <w:color w:val="auto"/>
        </w:rPr>
      </w:pPr>
    </w:p>
    <w:p>
      <w:pPr>
        <w:ind w:left="900" w:right="6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launching and commercializing product candidates for which we obtain regulatory and marketing approval, either directly or with a collaborator or distributor;</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obtaining market acceptance of our product candidates as viable treatment options;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addressing any competing technological and market developments;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identifying, assessing, acquiring and/or developing new product candidates;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negotiating favorable terms in any collaboration, licensing, or other arrangements into which we may enter;</w:t>
      </w: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maintaining, protecting, and expanding our portfolio of intellectual property rights, including patents, trade secrets, and know-how; and</w:t>
      </w:r>
    </w:p>
    <w:p>
      <w:pPr>
        <w:spacing w:after="0" w:line="7"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attracting, hiring, and retaining qualified personnel.</w:t>
      </w:r>
    </w:p>
    <w:p>
      <w:pPr>
        <w:spacing w:after="0" w:line="1"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domestic or foreign, to change our manufacturing processes or assays,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get reimbursement at any price, and whether we own the commercial rights for that territory. 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For example, the development of KRN23, rhGUS, and triheptanoin for pediatric use is an important part of our current business strategy; if we are unable to obtain regulatory approval for the desired age ranges, our business may suffer. Additionally, if we are not able to generate revenue from the sale of any approved products, we may never become profitable.</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expect that we will need to raise additional funding before we can expect to become profitable from sales of our products. This additional financing may not be available on acceptable terms, or at all. Failure to obtain this necessary capital when needed may force us to delay, limit, or terminate our product development efforts or other operations.</w:t>
      </w:r>
    </w:p>
    <w:p>
      <w:pPr>
        <w:spacing w:after="0" w:line="4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are currently advancing our KRN23, rhGUS, triheptanoin, and SA-ER product candidates through clinical development and our other product candidate, rhPPCA, as well as our other early stage research projects, through preclinical development. Developing our product candidates is expensive, and we expect our research and development expenses to increase substantially in connection with our ongoing activities, particularly as we advance our product candidates through clinical studies.</w:t>
      </w:r>
    </w:p>
    <w:p>
      <w:pPr>
        <w:spacing w:after="0" w:line="3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of December 31, 2013, our available cash, cash equivalents and short-term investments were $53.4 million. We expect that our existing cash, cash equivalents and short-term investments, including $121.7 million in net proceeds we received from the closing of our initial public offering, or IPO, in February 2014, will be sufficient to fund our current operations into 2016; however, we expect that we will require additional capital to obtain regulatory approval for, and to commercialize,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scope, rate of progress, results and cost of our clinical studies, nonclinical testing, and other related activities;</w:t>
      </w:r>
    </w:p>
    <w:p>
      <w:pPr>
        <w:spacing w:after="0" w:line="12" w:lineRule="exact"/>
        <w:rPr>
          <w:sz w:val="20"/>
          <w:szCs w:val="20"/>
          <w:color w:val="auto"/>
        </w:rPr>
      </w:pPr>
    </w:p>
    <w:p>
      <w:pPr>
        <w:ind w:left="900" w:right="48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of manufacturing clinical supplies, and establishing commercial supplies, of our product candidates and any products that we may develop;</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number and characteristics of product candidates that we pursue;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timing, and outcomes of regulatory approvals;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598" w:right="319" w:bottom="1440" w:gutter="0" w:footer="0" w:header="0"/>
        </w:sectPr>
      </w:pPr>
    </w:p>
    <w:bookmarkStart w:id="25" w:name="page26"/>
    <w:bookmarkEnd w:id="25"/>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and timing of establishing sales, marketing, and distribution capabilities; and</w:t>
      </w:r>
    </w:p>
    <w:p>
      <w:pPr>
        <w:spacing w:after="0" w:line="12" w:lineRule="exact"/>
        <w:rPr>
          <w:sz w:val="20"/>
          <w:szCs w:val="20"/>
          <w:color w:val="auto"/>
        </w:rPr>
      </w:pPr>
    </w:p>
    <w:p>
      <w:pPr>
        <w:ind w:left="900" w:right="10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terms and timing of any collaborative, licensing, and other arrangements that we may establish, including any required milestone and royalty payments thereunder.</w:t>
      </w:r>
    </w:p>
    <w:p>
      <w:pPr>
        <w:spacing w:after="0" w:line="5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collaborative partnerships or other arrangements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48"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which are in the early stages of clinical development. We cannot give any assurance that any of our product candidates will receive regulatory approval, which is necessary before they can be commercialized.</w:t>
      </w:r>
    </w:p>
    <w:p>
      <w:pPr>
        <w:spacing w:after="0" w:line="1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To date, we have invested substantially all of our efforts and financial resources to identifying, acquiring, and developing our product candidates, including conducting clinical studies and providing general and administrative support for these operations. Our future success is dependent on our ability to successfully develop, obtain regulatory approval for, and then successfully commercialize one or more product candidates. We currently generate no revenue from sales of any drugs, and we may never be able to develop or commercialize a marketable drug.</w:t>
      </w:r>
    </w:p>
    <w:p>
      <w:pPr>
        <w:spacing w:after="0" w:line="23"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Each of our product candidates is in the early stages of development and will require additional clinical development, management of nonclinical, clinical, and manufacturing activities, regulatory approval, obtaining adequate manufacturing supply, building of a commercial organization, and significant marketing efforts before we generate any revenue from product sales. We have five programs that are currently in or have completed Phase 1/2 or Phase 2 clinical studies. None of our product candidates have advanced into a pivotal study and it may be years before such study is initiated, if at all.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30"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Although certain of our employees have prior experience with submitting marketing applications to the FDA or comparable foreign regulatory authorities, we as a company have not submitted such applications for our product candidates. We cannot be certain that any of our product candidates will be successful in clinical studies or receive regulatory approval. Further, our product candidates may not receive regulatory approval even if they are successful in clinical studies. If we do not receive regulatory approvals for our product candidates, we may not be able to continue our operations.</w:t>
      </w:r>
    </w:p>
    <w:p>
      <w:pPr>
        <w:spacing w:after="0" w:line="36"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European Union, or EU,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207"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time required to obtain approval by the FDA and comparable foreign authorities is unpredictable, typically takes many years following the commencement of clinical studies, and depends upon numerous factors. In addition, approval policies, regulations, or the type and amount of clinical data necessary to gain approval may change during the course of a product candidate’s clinical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36" w:right="259" w:bottom="1440" w:gutter="0" w:footer="0" w:header="0"/>
        </w:sectPr>
      </w:pPr>
    </w:p>
    <w:bookmarkStart w:id="26" w:name="page27"/>
    <w:bookmarkEnd w:id="26"/>
    <w:p>
      <w:pPr>
        <w:ind w:right="100"/>
        <w:spacing w:after="0" w:line="264" w:lineRule="auto"/>
        <w:rPr>
          <w:sz w:val="20"/>
          <w:szCs w:val="20"/>
          <w:color w:val="auto"/>
        </w:rPr>
      </w:pPr>
      <w:r>
        <w:rPr>
          <w:rFonts w:ascii="Arial" w:cs="Arial" w:eastAsia="Arial" w:hAnsi="Arial"/>
          <w:sz w:val="18"/>
          <w:szCs w:val="18"/>
          <w:color w:val="auto"/>
        </w:rPr>
        <w:t>development and may vary among jurisdictions, which may cause delays in the approval or the decision not to approve an application. We have not obtained regulatory approval for any product candidate, and it is possible that none of our existing product candidates or any product candidates we may seek to develop in the future will ever obtain regulatory approval.</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FDA or comparable foreign regulatory authorities may disagree with the design or implementation of our clinical studies;</w:t>
      </w:r>
    </w:p>
    <w:p>
      <w:pPr>
        <w:spacing w:after="0" w:line="12" w:lineRule="exact"/>
        <w:rPr>
          <w:sz w:val="20"/>
          <w:szCs w:val="20"/>
          <w:color w:val="auto"/>
        </w:rPr>
      </w:pPr>
    </w:p>
    <w:p>
      <w:pPr>
        <w:ind w:left="900" w:right="18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population studied in the clinical program may not be sufficiently broad or representative to assure efficacy and safety in the full population for which we seek approval;</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the FDA or comparable foreign regulatory authorities may disagree with our interpretation of data from nonclinical studies or clinical studies;</w:t>
      </w:r>
    </w:p>
    <w:p>
      <w:pPr>
        <w:spacing w:after="0" w:line="23" w:lineRule="exact"/>
        <w:rPr>
          <w:sz w:val="20"/>
          <w:szCs w:val="20"/>
          <w:color w:val="auto"/>
        </w:rPr>
      </w:pPr>
    </w:p>
    <w:p>
      <w:pPr>
        <w:ind w:left="900" w:right="280" w:hanging="365"/>
        <w:spacing w:after="0" w:line="236"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 xml:space="preserve"> the data collected from clinical studies of our product candidates may not be sufficient to support the submission of a new drug application, or NDA, or biologics license application, or BLA, or other submission or to obtain regulatory approval in the United States or elsewhere;</w:t>
      </w:r>
    </w:p>
    <w:p>
      <w:pPr>
        <w:spacing w:after="0" w:line="54" w:lineRule="exact"/>
        <w:rPr>
          <w:sz w:val="20"/>
          <w:szCs w:val="20"/>
          <w:color w:val="auto"/>
        </w:rPr>
      </w:pPr>
    </w:p>
    <w:p>
      <w:pPr>
        <w:ind w:left="900" w:right="4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may be unable to demonstrate to the FDA or comparable foreign regulatory authorities that a product candidate’s risk-benefit ratio for its proposed indication is acceptable;</w:t>
      </w:r>
    </w:p>
    <w:p>
      <w:pPr>
        <w:spacing w:after="0" w:line="54" w:lineRule="exact"/>
        <w:rPr>
          <w:sz w:val="20"/>
          <w:szCs w:val="20"/>
          <w:color w:val="auto"/>
        </w:rPr>
      </w:pPr>
    </w:p>
    <w:p>
      <w:pPr>
        <w:ind w:left="900" w:right="36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FDA or comparable foreign regulatory authorities may fail to approve the manufacturing processes, test procedures and specifications, or facilities of third-party manufacturers with which we contract for clinical and commercial supplies;</w:t>
      </w:r>
    </w:p>
    <w:p>
      <w:pPr>
        <w:spacing w:after="0" w:line="54" w:lineRule="exact"/>
        <w:rPr>
          <w:sz w:val="20"/>
          <w:szCs w:val="20"/>
          <w:color w:val="auto"/>
        </w:rPr>
      </w:pPr>
    </w:p>
    <w:p>
      <w:pPr>
        <w:ind w:left="90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As a condition of marketing authorization in the EU, an agreed upon PIP detailing the designs and completion timelines for nonclinical and clinical studies is required. If the nonclinical or clinical development does not comply with the agreed upon PIP, marketing authorization could be denied or significantly delayed; and</w:t>
      </w:r>
    </w:p>
    <w:p>
      <w:pPr>
        <w:spacing w:after="0" w:line="55" w:lineRule="exact"/>
        <w:rPr>
          <w:sz w:val="20"/>
          <w:szCs w:val="20"/>
          <w:color w:val="auto"/>
        </w:rPr>
      </w:pPr>
    </w:p>
    <w:p>
      <w:pPr>
        <w:ind w:left="900" w:right="1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approval policies or regulations of the FDA or comparable foreign regulatory authorities may significantly change in a manner rendering our clinical data insufficient for approval.</w:t>
      </w:r>
    </w:p>
    <w:p>
      <w:pPr>
        <w:spacing w:after="0" w:line="55"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This lengthy approval process, as well as the unpredictability of the results of clinical and nonclinical studies, may result in our failing to obtain regulatory approval to market any of our product candidates, which would significantly harm our business, results of operations, and prospects.</w:t>
      </w:r>
    </w:p>
    <w:p>
      <w:pPr>
        <w:spacing w:after="0" w:line="1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may not be predictive of future study results.</w:t>
      </w:r>
    </w:p>
    <w:p>
      <w:pPr>
        <w:spacing w:after="0" w:line="3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study process. The results of nonclinical studies and early clinical studies of our product candidates may not be predictive of the results of later-stage clinical studies. Product candidates that have shown promising results in early-stage clinical studies may still suffer significant setbacks in subsequent clinical studies. For example, the safety or efficacy results generated to date in clinical studies for KRN23, rhGUS, triheptanoin, and SA-ER do not ensure that later clinical studies will demonstrate similar results. Results from investigator sponsored trials or compassionate use studies may negatively impact the prospects for our programs.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 Moreover, nonclinical and clinical data are often susceptible to varying interpretations and analyses. We do not know whether any clinical studies we may conduct will demonstrate consistent or adequate efficacy and safety sufficient to obtain regulatory approval to market our drug candidates.</w:t>
      </w:r>
    </w:p>
    <w:p>
      <w:pPr>
        <w:spacing w:after="0" w:line="196" w:lineRule="exact"/>
        <w:rPr>
          <w:sz w:val="20"/>
          <w:szCs w:val="20"/>
          <w:color w:val="auto"/>
        </w:rPr>
      </w:pPr>
    </w:p>
    <w:p>
      <w:pPr>
        <w:ind w:right="680"/>
        <w:spacing w:after="0" w:line="325"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studies given the limited number of patients who have the diseases for which our product candidates are being studied. Difficulty in enrolling patients could delay or prevent clinical studies of our product candidates.</w:t>
      </w:r>
    </w:p>
    <w:p>
      <w:pPr>
        <w:spacing w:after="0" w:line="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4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For our current product candidates:</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estimate that several thousand patients in the United States suffer from XLH, for which KRN23 is being studied;</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estimate that up to approximately 200 patients in the developed world may suffer from MPS 7, for which rhGUS is being studied;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36" w:right="259" w:bottom="1440" w:gutter="0" w:footer="0" w:header="0"/>
        </w:sectPr>
      </w:pPr>
    </w:p>
    <w:bookmarkStart w:id="27" w:name="page28"/>
    <w:bookmarkEnd w:id="27"/>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estimate that several thousand patients in the United States suffer from LC-FAOD, for which triheptanoin is being studied;</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estimate that several thousand patients in the United States suffer from Glut1 DS, for which triheptanoin is being studied; and</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estimate that about 1,200 to 2,000 patients in the developed world suffer from HIBM, for which SA-ER is being studied.</w:t>
      </w:r>
    </w:p>
    <w:p>
      <w:pPr>
        <w:spacing w:after="0" w:line="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addition to the rarity of these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Additionally, the process of finding and diagnosing patients may prove costly. We also may not be able to identify, recruit, and enroll a sufficient number of patients to complete our clinical studies because of the perceived risks and benefits of the product candidate under study, the availability and efficacy of competing therapies and clinical studies, the proximity and availability of clinical study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4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study of our product candidates, the commercial prospects of our product candidates will be harmed, and our ability to generate product revenue from any of these product candidates could be delayed or prevented. In addition, any delays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studies, or we may fail to demonstrate safety and efficacy to the satisfaction of applicable regulatory authorities.</w:t>
      </w:r>
    </w:p>
    <w:p>
      <w:pPr>
        <w:spacing w:after="0" w:line="2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Events that may prevent successful or timely completion of clinical development include but are not limited to:</w:t>
      </w:r>
    </w:p>
    <w:p>
      <w:pPr>
        <w:spacing w:after="0" w:line="53" w:lineRule="exact"/>
        <w:rPr>
          <w:sz w:val="20"/>
          <w:szCs w:val="20"/>
          <w:color w:val="auto"/>
        </w:rPr>
      </w:pPr>
    </w:p>
    <w:p>
      <w:pPr>
        <w:ind w:left="900" w:right="2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human clinical studies or filings for regulatory approval;</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delays in reaching a consensus with regulatory agencies on study design;</w:t>
      </w:r>
    </w:p>
    <w:p>
      <w:pPr>
        <w:spacing w:after="0" w:line="12" w:lineRule="exact"/>
        <w:rPr>
          <w:sz w:val="20"/>
          <w:szCs w:val="20"/>
          <w:color w:val="auto"/>
        </w:rPr>
      </w:pPr>
    </w:p>
    <w:p>
      <w:pPr>
        <w:ind w:left="900" w:hanging="365"/>
        <w:spacing w:after="0" w:line="219"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delays in obtaining required Institutional Review Board, or IRB, approval at each clinical study site;</w:t>
      </w:r>
    </w:p>
    <w:p>
      <w:pPr>
        <w:spacing w:after="0" w:line="12" w:lineRule="exact"/>
        <w:rPr>
          <w:sz w:val="20"/>
          <w:szCs w:val="20"/>
          <w:color w:val="auto"/>
        </w:rPr>
      </w:pPr>
    </w:p>
    <w:p>
      <w:pPr>
        <w:ind w:left="900" w:right="10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changes in clinical study design or development strategy resulting in delays related to obtaining approvals from IRBs and/or regulatory agencies to proceed with clinical studies;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to gain approval from competent authorities or IRBs to conduct clinical studies in certain countries;</w:t>
      </w:r>
    </w:p>
    <w:p>
      <w:pPr>
        <w:spacing w:after="0" w:line="12" w:lineRule="exact"/>
        <w:rPr>
          <w:sz w:val="20"/>
          <w:szCs w:val="20"/>
          <w:color w:val="auto"/>
        </w:rPr>
      </w:pPr>
    </w:p>
    <w:p>
      <w:pPr>
        <w:ind w:left="900" w:right="200" w:hanging="365"/>
        <w:spacing w:after="0" w:line="219"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imposition of a clinical hold by regulatory agencies due to a safety concern, after review of an investigational new drug, or IND, application or amendment, or equivalent application or amendment, or an inspection of our clinical study operations or study sites;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delays in recruiting suitable patients to participate in our clinical studies;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difficulty collaborating with patient groups and investigators;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by our CROs, other third parties, or us to adhere to clinical study requirements;</w:t>
      </w: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failure to perform in accordance with the FDA’s good clinical practices requirements, or applicable regulatory guidelines in other countries;</w:t>
      </w:r>
    </w:p>
    <w:p>
      <w:pPr>
        <w:spacing w:after="0" w:line="7"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delays in having patients complete participation in a study or return for post-treatment follow-up;</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patients dropping out of a study;</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occurrence of adverse events associated with the product candidate that are viewed to outweigh its potential benefits;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changes in regulatory requirements and guidance that require amending or submitting new clinical protocols;</w:t>
      </w: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of clinical studies of our drug candidates being greater than we anticipate;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36" w:right="279" w:bottom="1440" w:gutter="0" w:footer="0" w:header="0"/>
        </w:sectPr>
      </w:pPr>
    </w:p>
    <w:bookmarkStart w:id="28" w:name="page29"/>
    <w:bookmarkEnd w:id="28"/>
    <w:p>
      <w:pPr>
        <w:ind w:left="900" w:right="18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clinical studies of our drug candidates producing negative or inconclusive results, which may result in us deciding, or regulators requiring us, to conduct additional clinical or nonclinical studies or abandon drug development programs;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competing clinical studies of potential alternative product candidates or investigator-sponsored trials of our product candidates; and</w:t>
      </w:r>
    </w:p>
    <w:p>
      <w:pPr>
        <w:spacing w:after="0" w:line="12" w:lineRule="exact"/>
        <w:rPr>
          <w:sz w:val="20"/>
          <w:szCs w:val="20"/>
          <w:color w:val="auto"/>
        </w:rPr>
      </w:pPr>
    </w:p>
    <w:p>
      <w:pPr>
        <w:ind w:left="900" w:right="40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delays in manufacturing, testing, releasing, validating, or importing/exporting sufficient stable quantities of our product candidates for use in clinical studies or the inability to do any of the foregoing.</w:t>
      </w:r>
    </w:p>
    <w:p>
      <w:pPr>
        <w:spacing w:after="0" w:line="55"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impair our ability to generate revenue. In addition, if we make manufacturing or formulation changes to our product candidates, such as our plan to manufacture a combination extended release and immediate release version of sialic acid, or new formulations of triheptanoin, we may need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obtain orphan exclusivity and to successfully commercialize our product candidates and may harm our business and results of operations.</w:t>
      </w:r>
    </w:p>
    <w:p>
      <w:pPr>
        <w:spacing w:after="0" w:line="205" w:lineRule="exact"/>
        <w:rPr>
          <w:sz w:val="20"/>
          <w:szCs w:val="20"/>
          <w:color w:val="auto"/>
        </w:rPr>
      </w:pPr>
    </w:p>
    <w:p>
      <w:pPr>
        <w:ind w:right="620"/>
        <w:spacing w:after="0" w:line="325"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studies or further development, and could result in a more restrictive label or the delay or denial of regulatory approval by the FDA or other comparable foreign authorities. Our product candidates are in the early stages of development and the safety profile has not been established. In the completed Phase 1 study, patients treated with KRN23 have experienced nausea, headache, elevated serum amylase, and back pain. Most of these adverse events were mild and no serious adverse events have been observed. Only single-dose Phase 1 data for KRN23 has been reported to date and other side effects may result from repeated dosing and/or longer-term exposure. Patients treated with triheptanoin have experienced drug-related side effects such as cramping, diarrhea, and loose stools. In addition, during a 13-year study of approximately 130 human subjects, including greater than 60 with LC-FAOD, three serious adverse events were classified as possibly related to triheptanoin treatment (muscle cell rupture and elevated creatine kinase reported for two subjects and myoglobinuria in one subject); however, these serious adverse events can be considered typical of the underlying disease. While we have not completed our own clinical studies for triheptanoin, there may be other side effects associated with its use that we discover. Additionally, patients treated with SA-ER have experienced drug-related side effects including mild gastrointestinal discomfort. Enzyme replacement therapies have been associated with infusion-associated reactions due to a developing allergy to the product, which can cause rashes, pain, significant clinical disease, or even death. Our rhGUS and rhPPCA product candidates may also cause these or similar side effects as further development proceeds. Results of our studies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20"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or result in potential product liability claims. We currently carry product liability insurance in the amount of $5.0 million per incident and $5.0 million in the aggregate, and we are required to maintain product liability insurance pursuant to certain of our license agreements. We believe our product liability insurance coverage is sufficient in light of our current clinical programs; however, we may not be able to maintain insurance coverage at a reasonable cost or in sufficient amounts to protect us against losses due to liability, or losses may exceed the amount of insurance that we carry.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4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but not limited to:</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regulatory authorities may withdraw approvals of such product;</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regulatory authorities may require additional warnings on the label or restricted use;</w:t>
      </w:r>
    </w:p>
    <w:p>
      <w:pPr>
        <w:ind w:left="900" w:right="280" w:hanging="365"/>
        <w:spacing w:after="0" w:line="236"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 xml:space="preserve"> we may be required to create a Risk Evaluation and Mitigation Strategy, or REMS, plan, which could include a medication guide outlining the risks of such side effects for distribution to patients, a communication plan for healthcare providers, and/or other elements to assure safe use;</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could be sued and held liable for harm caused to patients;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36"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patients and physicians may elect not to use our products, or reimbursement authorities may elect not to reimburse for them; and</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our reputation may suffer.</w:t>
      </w:r>
    </w:p>
    <w:p>
      <w:pPr>
        <w:spacing w:after="0" w:line="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7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current Good Manufacturing Practices, or cGMP, regulations. As such, we and our contract manufacturers will be subject to continual review and inspections to assess compliance with cGMP and adherence to commitments made in any NDA, BLA, marketing authorization application, or MAA, or other comparable application for approval in another jurisdiction. Accordingly, we and others with whom we work must continue to expend time, money, and effort in all areas of regulatory compliance, including manufacturing, production, and quality control.</w:t>
      </w:r>
    </w:p>
    <w:p>
      <w:pPr>
        <w:spacing w:after="0" w:line="5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 We will be required to report certain adverse events and manufacturing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MAA, or other comparable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If original marketing approval were obtained via the accelerated approval pathway, we could be required to conduct a successful post-marketing clinical study to confirm clinical benefit for our products. An unsuccessful post-marketing study or failure to complete such a study could result in the withdrawal of marketing approval.</w:t>
      </w:r>
    </w:p>
    <w:p>
      <w:pPr>
        <w:spacing w:after="0" w:line="2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issue warning letters;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impose civil or criminal penalties;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suspend or withdraw regulatory approval;</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suspend any of our ongoing clinical studies;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refuse to approve pending applications or supplements to approved applications submitted by us;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impose restrictions on our operations, including closing our contract manufacturers’ facilities; or</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seize or detain products, or require a product recall.</w:t>
      </w:r>
    </w:p>
    <w:p>
      <w:pPr>
        <w:spacing w:after="0" w:line="1"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3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have relied upon and plan to continue to rely upon third-party CROs to monitor and manage data for our ongoing nonclinical and clinical programs.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cGMP, current good clinical practices, or cGCP, and Good Laboratory Practices, or GLP, which are regulations and guidelines enforced by the FDA, the Competent Authorities of the Member States of the European Economic Area, or EEA,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FDA, EMA, or comparable foreign regulatory authorities may require us to perform additional nonclinical and clinical studies before approving our marketing applications. We cannot assure you that upon inspection by a given regulatory authority, such regulatory authority will determine that any of our clinical studies comply with cGCP regulations or that nonclinical studies comply with GLP regulations. In addition, our clinical studies must be conducted with product produced under cGMP regulations. Our failure to comply with these regulations may require us to repeat clinical or nonclinical studies, which would delay the regulatory approval process.</w:t>
      </w:r>
    </w:p>
    <w:p>
      <w:pPr>
        <w:spacing w:after="0" w:line="3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of changes in scope of work or otherwise. As a result, our results of operations and the commercial prospects for our product candidates would be harmed, our costs could increase, and our ability to generate revenue could be delayed.</w:t>
      </w:r>
    </w:p>
    <w:p>
      <w:pPr>
        <w:spacing w:after="0" w:line="4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may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are dependent on KHK for the supply of clinical and commercial KRN23 for all major markets and for the development and commercialization of KRN23 in certain major markets, and KHK’s failure to provide adequate supply of KRN23 or to commercialize KRN23 in those markets could result in a material adverse effect on our business and operating results.</w:t>
      </w:r>
    </w:p>
    <w:p>
      <w:pPr>
        <w:spacing w:after="0" w:line="3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Under our agreement with KHK, KHK has the sole right to commercialize KRN23 in Europe and, at a specified time, in the United States and Canada subject to a limited promotion right retained by us. Our development partnership with KHK may not be successful, and we may not realize the expected benefits from such partnership, due to a number of important factors, including but not limited to the following:</w:t>
      </w:r>
    </w:p>
    <w:p>
      <w:pPr>
        <w:spacing w:after="0" w:line="46" w:lineRule="exact"/>
        <w:rPr>
          <w:sz w:val="20"/>
          <w:szCs w:val="20"/>
          <w:color w:val="auto"/>
        </w:rPr>
      </w:pPr>
    </w:p>
    <w:p>
      <w:pPr>
        <w:ind w:left="900" w:right="260" w:hanging="365"/>
        <w:spacing w:after="0" w:line="250"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KHK has no obligation under our agreement to use diligent efforts to commercialize KRN23 in Europe. The timing and amount of any royalty payments we may receive under our agreement will depend on, among other things, the efforts, allocation of resources, and successful commercialization of KRN23 by KHK in Europe. Additionally, if KHK were to decide not to commercialize KRN23 in Europe, and we nevertheless wished to commercialize KRN23 in Europe, we would need to renegotiate with KHK certain terms of our agreement but may be unable to do so on reasonable terms, in a timely manner, or at all;</w:t>
      </w:r>
    </w:p>
    <w:p>
      <w:pPr>
        <w:spacing w:after="0" w:line="45" w:lineRule="exact"/>
        <w:rPr>
          <w:sz w:val="20"/>
          <w:szCs w:val="20"/>
          <w:color w:val="auto"/>
        </w:rPr>
      </w:pPr>
    </w:p>
    <w:p>
      <w:pPr>
        <w:ind w:left="900" w:right="120" w:hanging="365"/>
        <w:spacing w:after="0" w:line="252"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 xml:space="preserve"> the timing and amount of any royalty payments we may receive under our agreement with KHK will depend on, among other things, the efforts, allocation of resources, and successful commercialization of KRN23 by KHK in the United States and Canada under our agreement;</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KHK may change the focus of its commercialization efforts or pursue higher-priority programs;</w:t>
      </w:r>
    </w:p>
    <w:p>
      <w:pPr>
        <w:spacing w:after="0" w:line="12" w:lineRule="exact"/>
        <w:rPr>
          <w:sz w:val="20"/>
          <w:szCs w:val="20"/>
          <w:color w:val="auto"/>
        </w:rPr>
      </w:pPr>
    </w:p>
    <w:p>
      <w:pPr>
        <w:ind w:left="900" w:right="22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KHK may fail to manufacture or supply sufficient drug product of KRN23 in compliance with applicable laws and regulations or otherwise for our development and clinical use, which could result in program delays;</w:t>
      </w:r>
    </w:p>
    <w:p>
      <w:pPr>
        <w:spacing w:after="0" w:line="55" w:lineRule="exact"/>
        <w:rPr>
          <w:sz w:val="20"/>
          <w:szCs w:val="20"/>
          <w:color w:val="auto"/>
        </w:rPr>
      </w:pPr>
    </w:p>
    <w:p>
      <w:pPr>
        <w:ind w:left="900" w:right="2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KHK may fail to manufacture or supply sufficient drug product of KRN23 in compliance with applicable laws and regulations or otherwise for our commercial use, if approved, which could result in lost revenue;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94" w:right="259" w:bottom="1440" w:gutter="0" w:footer="0" w:header="0"/>
        </w:sectPr>
      </w:pPr>
    </w:p>
    <w:bookmarkStart w:id="31" w:name="page32"/>
    <w:bookmarkEnd w:id="31"/>
    <w:p>
      <w:pPr>
        <w:ind w:left="900" w:right="44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KHK may elect to develop and commercialize KRN23 indications with a larger market than XLH and at a lower price, thereby reducing the profit margin on sales of KRN23 for any orphan indications, including XLH;</w:t>
      </w:r>
    </w:p>
    <w:p>
      <w:pPr>
        <w:spacing w:after="0" w:line="54" w:lineRule="exact"/>
        <w:rPr>
          <w:sz w:val="20"/>
          <w:szCs w:val="20"/>
          <w:color w:val="auto"/>
        </w:rPr>
      </w:pPr>
    </w:p>
    <w:p>
      <w:pPr>
        <w:ind w:left="900" w:right="36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if KHK were to breach or terminate the agreement with us, we would no longer have any rights to develop or commercialize KRN23 or such rights would be limited to non-terminated countries;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KHK may terminate its agreement with us, adversely impacting our potential revenue from licensed products; and</w:t>
      </w:r>
    </w:p>
    <w:p>
      <w:pPr>
        <w:spacing w:after="0" w:line="12" w:lineRule="exact"/>
        <w:rPr>
          <w:sz w:val="20"/>
          <w:szCs w:val="20"/>
          <w:color w:val="auto"/>
        </w:rPr>
      </w:pPr>
    </w:p>
    <w:p>
      <w:pPr>
        <w:ind w:left="900" w:right="56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timing and amounts of expense reimbursement that we may receive are uncertain, and the total expenses for which we are obligated to reimburse KHK may be greater than anticipated.</w:t>
      </w:r>
    </w:p>
    <w:p>
      <w:pPr>
        <w:spacing w:after="0" w:line="2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We rely completely on third parties to manufacture our nonclinical and clinical drug supplies. Our business could be harmed if those third parties fail to provide us with sufficient quantities of drug product, or fail to do so at acceptable quality levels or prices.</w:t>
      </w:r>
    </w:p>
    <w:p>
      <w:pPr>
        <w:spacing w:after="0" w:line="35" w:lineRule="exact"/>
        <w:rPr>
          <w:sz w:val="20"/>
          <w:szCs w:val="20"/>
          <w:color w:val="auto"/>
        </w:rPr>
      </w:pPr>
    </w:p>
    <w:p>
      <w:pPr>
        <w:ind w:firstLine="518"/>
        <w:spacing w:after="0" w:line="253"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our nonclinical and clinical drug supplies for use in the conduct of our clinical studies, and we lack the resources and the capability to manufacture any of our product candidates on a clinical or commercial scale. We rely on our manufacturers to purchase from third-party suppliers the materials necessary to produce our product candidates for our clinical studies. There are a limited number of suppliers for raw materials that we use to manufacture our drugs, placebos, or active controls,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 multitude of manufacturing risks, any of which could substantially increase our costs and limit supply of our product candidates.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process of manufacturing our product candidates is complex, highly regulated, and subject to several risks, including but not limited to:</w:t>
      </w:r>
    </w:p>
    <w:p>
      <w:pPr>
        <w:spacing w:after="0" w:line="75" w:lineRule="exact"/>
        <w:rPr>
          <w:sz w:val="20"/>
          <w:szCs w:val="20"/>
          <w:color w:val="auto"/>
        </w:rPr>
      </w:pPr>
    </w:p>
    <w:p>
      <w:pPr>
        <w:ind w:left="900" w:right="20" w:hanging="365"/>
        <w:spacing w:after="0" w:line="242" w:lineRule="auto"/>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the process of manufacturing our product candidates is extremely susceptible to product loss due to contamination, equipment failure or improper installation or operation of equipment, or vendor or operator error. Even minor deviations from normal manufacturing processes for any of our product candidates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and</w:t>
      </w:r>
    </w:p>
    <w:p>
      <w:pPr>
        <w:spacing w:after="0" w:line="27" w:lineRule="exact"/>
        <w:rPr>
          <w:sz w:val="20"/>
          <w:szCs w:val="20"/>
          <w:color w:val="auto"/>
        </w:rPr>
      </w:pPr>
    </w:p>
    <w:p>
      <w:pPr>
        <w:ind w:left="900" w:right="80" w:hanging="365"/>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8"/>
          <w:szCs w:val="18"/>
          <w:color w:val="auto"/>
        </w:rPr>
        <w:t>the manufacturing facilities in which our product candidates are made could be adversely affected by equipment failures, labor shortages, natural disasters, power failures, and numerous other factors.</w:t>
      </w:r>
    </w:p>
    <w:p>
      <w:pPr>
        <w:spacing w:after="0" w:line="21" w:lineRule="exact"/>
        <w:rPr>
          <w:sz w:val="20"/>
          <w:szCs w:val="20"/>
          <w:color w:val="auto"/>
        </w:rPr>
      </w:pPr>
    </w:p>
    <w:p>
      <w:pPr>
        <w:ind w:right="20" w:firstLine="518"/>
        <w:spacing w:after="0" w:line="246" w:lineRule="auto"/>
        <w:rPr>
          <w:sz w:val="20"/>
          <w:szCs w:val="20"/>
          <w:color w:val="auto"/>
        </w:rPr>
      </w:pPr>
      <w:r>
        <w:rPr>
          <w:rFonts w:ascii="Arial" w:cs="Arial" w:eastAsia="Arial" w:hAnsi="Arial"/>
          <w:sz w:val="17"/>
          <w:szCs w:val="17"/>
          <w:color w:val="auto"/>
        </w:rPr>
        <w:t>Although we have not experienced any contaminations, equipment failures, or other similar manufacturing problems, any adverse developments affecting manufacturing operations for our product candidates may result in shipment delays, inventory shortages, lot failures, withdrawals or recalls, or other interruptions in the supply of our product candidates. We may also have to take inventory write-offs and incur other charges and expenses for product candidates that fail to meet specifications, undertake costly remediation efforts, or seek more costly manufacturing alternatives.</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The drug substance and drug product for our product candidates are currently acquired from single-source suppliers. The loss of these suppliers, or their failure to supply us with the drug substance or drug product, could materially and adversely affect our business.</w:t>
      </w:r>
    </w:p>
    <w:p>
      <w:pPr>
        <w:spacing w:after="0" w:line="1" w:lineRule="exact"/>
        <w:rPr>
          <w:sz w:val="20"/>
          <w:szCs w:val="20"/>
          <w:color w:val="auto"/>
        </w:rPr>
      </w:pPr>
    </w:p>
    <w:p>
      <w:pPr>
        <w:ind w:right="20" w:firstLine="518"/>
        <w:spacing w:after="0" w:line="236" w:lineRule="auto"/>
        <w:rPr>
          <w:sz w:val="20"/>
          <w:szCs w:val="20"/>
          <w:color w:val="auto"/>
        </w:rPr>
      </w:pPr>
      <w:r>
        <w:rPr>
          <w:rFonts w:ascii="Arial" w:cs="Arial" w:eastAsia="Arial" w:hAnsi="Arial"/>
          <w:sz w:val="17"/>
          <w:szCs w:val="17"/>
          <w:color w:val="auto"/>
        </w:rPr>
        <w:t>The drug substance and drug product for KRN23 are made by KHK pursuant to our license and collaboration agreement with KHK. The drug substance and drug product for rhGUS are manufactured by Rentschler Biotechnologie GmbH under a development and clinical supply agreement and accompanying purchase orders. The pharmaceutical-grade drug substance for triheptanoin is manufactured by Cremer Oleo GmbH &amp; Co. KG, or Cremer, pursuant to our supply agreement with Cremer, and the drug product for triheptanoin is prepared by Haupt Pharma AG pursuant to purchase orders. The drug substance for SA-ER is manufactured by Sanyo Fine Co., Ltd. under our license agreement and accompanying purchase orders with Nobelpharma Co., Ltd., and the drug product for SA-ER is manufactured by AAIPharma Services Corp., or AAIPharma, pursuant to our license agreement and accompanying purchase orders with AAIPharma. We do not currently have any other suppliers for the drug substance or drug product of our product candidates and, although we believe that there are alternate sources of supply that could satisfy our clinical and commercial requirements, we cannot provide assurance that identifying alternate sources and establishing relationships with such sources would not result in significant delay in the development of our product candidates. Additionally, we may not be able to enter into supply arrangements with alternative suppliers on commercially reasonable terms, or at all. A delay in the development of our product candidates or having to enter into a new agreement with a different third party on less favorable terms than we have with our current suppliers could have a material adverse impact upon on our business.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36" w:right="259" w:bottom="1440" w:gutter="0" w:footer="0" w:header="0"/>
        </w:sectPr>
      </w:pPr>
    </w:p>
    <w:bookmarkStart w:id="32" w:name="page33"/>
    <w:bookmarkEnd w:id="32"/>
    <w:p>
      <w:pPr>
        <w:ind w:right="300"/>
        <w:spacing w:after="0" w:line="334" w:lineRule="auto"/>
        <w:rPr>
          <w:sz w:val="20"/>
          <w:szCs w:val="20"/>
          <w:color w:val="auto"/>
        </w:rPr>
      </w:pPr>
      <w:r>
        <w:rPr>
          <w:rFonts w:ascii="Arial" w:cs="Arial" w:eastAsia="Arial" w:hAnsi="Arial"/>
          <w:sz w:val="16"/>
          <w:szCs w:val="16"/>
          <w:b w:val="1"/>
          <w:bCs w:val="1"/>
          <w:i w:val="1"/>
          <w:iCs w:val="1"/>
          <w:color w:val="auto"/>
        </w:rPr>
        <w:t>We and our collaborators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NDA, BLA, MAA, or other application for regulatory approval, on a timely basis and must adhere to GLP, cGMP, and similar regulations enforced by the FDA and other regulatory agencies through their facilities inspection programs. Some of our contract manufacturers have never produced a commercially approved pharmaceutical product and therefore have not obtained the requisite regulatory authority approvals to do so.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3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collaborators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31" w:lineRule="exact"/>
        <w:rPr>
          <w:sz w:val="20"/>
          <w:szCs w:val="20"/>
          <w:color w:val="auto"/>
        </w:rPr>
      </w:pPr>
    </w:p>
    <w:p>
      <w:pPr>
        <w:ind w:right="40" w:firstLine="518"/>
        <w:spacing w:after="0" w:line="276" w:lineRule="auto"/>
        <w:rPr>
          <w:sz w:val="20"/>
          <w:szCs w:val="20"/>
          <w:color w:val="auto"/>
        </w:rPr>
      </w:pPr>
      <w:r>
        <w:rPr>
          <w:rFonts w:ascii="Arial" w:cs="Arial" w:eastAsia="Arial" w:hAnsi="Arial"/>
          <w:sz w:val="16"/>
          <w:szCs w:val="16"/>
          <w:color w:val="auto"/>
        </w:rPr>
        <w:t>If we, our collaborators, or any of our third-party manufacturers fail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w:t>
      </w:r>
    </w:p>
    <w:p>
      <w:pPr>
        <w:spacing w:after="0" w:line="14" w:lineRule="exact"/>
        <w:rPr>
          <w:sz w:val="20"/>
          <w:szCs w:val="20"/>
          <w:color w:val="auto"/>
        </w:rPr>
      </w:pPr>
    </w:p>
    <w:p>
      <w:pPr>
        <w:jc w:val="both"/>
        <w:ind w:right="360" w:firstLine="518"/>
        <w:spacing w:after="0" w:line="231"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or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7" w:lineRule="exact"/>
        <w:rPr>
          <w:sz w:val="20"/>
          <w:szCs w:val="20"/>
          <w:color w:val="auto"/>
        </w:rPr>
      </w:pPr>
    </w:p>
    <w:p>
      <w:pPr>
        <w:ind w:firstLine="518"/>
        <w:spacing w:after="0" w:line="276"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6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7"/>
          <w:szCs w:val="17"/>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letters of engagement,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9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potentially even smaller, we must be able to successfully identify patients and acquire a significant market share to achieve profitability and growth.</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focus our research and product development on treatments for rare and ultra-rare genetic diseases. Given the small number of patients who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diseases that we are targeting, it is critical to our ability to grow and become profitable that we continue to successfully identify patients with these rare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ultra-rare genetic diseases. Some of our current clinical programs may be most appropriate for patients with more severe forms of their disease.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instance, our Phase 2 trial of triheptanoin in LC-FAOD will enroll patients with more severe disease. In addition, while adults make up the majority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XLH patients, they often have less severe disease which may reduce the penetration of KRN23 in the adult population relative to the pediatric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population. Given the overall rarity of the diseases we target, it is difficult to project the prevalence of the more severe forms, or the other subsets of patients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may be most suitable to address with our product candidates, which may further limit the addressable patient population to a small subset.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projections of both the number of people who have these diseases, as well as the subset of people with these diseases who have the potential to benefit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treatment with our product candidates, are based on our beliefs and estimates. These estimates have been derived from a variety of sources,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scientific literature, surveys of clinics, patient foundations, or market research, and may prove to be incorrect. Further, new studies may change the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incidence or prevalence of these diseases. The number of patients may turn out to be lower than expected. The effort to identify patients with diseases we seek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treat is in early stages, and we cannot accurately predict the number of patients for whom treatment might be possible. Additionally, the potentially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addressable patient population for each of our product candidates may be limited or may not be amenable to treatment with our product candidates,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patients may become increasingly difficult to identify or gain access to, which would adversely affect our results of operations and our business. Further, 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we obtain significant market share for our product candidates, because the potential target populations are very small we may never become or remain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profitable nor generate sufficient revenue growth to sustain our business.</w:t>
      </w:r>
    </w:p>
    <w:p>
      <w:pPr>
        <w:spacing w:after="0" w:line="2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product candidates, but we have not entered into binding agreements with any such manufacturers to support commercialization. Additionally, these manufacturers do not have experience producing our product candidates at commercial levels and may not achieve the necessary regulatory approvals or produce our product candidates at the cost, quality, quantities, locations, and timing needed to support profitable commercialization.</w:t>
      </w:r>
    </w:p>
    <w:p>
      <w:pPr>
        <w:spacing w:after="0" w:line="52" w:lineRule="exact"/>
        <w:rPr>
          <w:sz w:val="20"/>
          <w:szCs w:val="20"/>
          <w:color w:val="auto"/>
        </w:rPr>
      </w:pPr>
    </w:p>
    <w:p>
      <w:pPr>
        <w:jc w:val="both"/>
        <w:ind w:right="340" w:firstLine="518"/>
        <w:spacing w:after="0" w:line="286" w:lineRule="auto"/>
        <w:rPr>
          <w:sz w:val="20"/>
          <w:szCs w:val="20"/>
          <w:color w:val="auto"/>
        </w:rPr>
      </w:pPr>
      <w:r>
        <w:rPr>
          <w:rFonts w:ascii="Arial" w:cs="Arial" w:eastAsia="Arial" w:hAnsi="Arial"/>
          <w:sz w:val="17"/>
          <w:szCs w:val="17"/>
          <w:color w:val="auto"/>
        </w:rPr>
        <w:t>We have not yet secured manufacturing capabilities for commercial quantities of our product candidates. Although we intend to rely on third-party manufacturers for commercialization, we have only entered into agreements with such manufacturers to support our clinical studies. We may be unable to negotiate binding agreements with the manufacturers to support our commercialization activities at commercially reasonable terms.</w:t>
      </w:r>
    </w:p>
    <w:p>
      <w:pPr>
        <w:spacing w:after="0" w:line="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Manufacturers may not have the experience or ability to produce our product candidates at commercial levels. We may run into technical or scientific issues related to manufacturing or development that we may be unable to resolve in a timely manner or with available funds. We also have not completed all of the characterization and validation activities necessary for commercialization and regulatory approvals. If our manufacturing partners do not conduct all such necessary activities in accordance with applicable regulations, our commercialization efforts will be harmed.</w:t>
      </w:r>
    </w:p>
    <w:p>
      <w:pPr>
        <w:spacing w:after="0" w:line="2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our third-party product manufacturers develop an acceptable manufacturing process, if such third-party manufacturers are unable to produce the necessary quantities of our product candidates, or in compliance with cGMP or other pertinent regulatory requirements, and within our planned timeframe and cost parameters, the development and sales of our products, if approved, may be materially harmed.</w:t>
      </w:r>
    </w:p>
    <w:p>
      <w:pPr>
        <w:spacing w:after="0" w:line="46"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Even if our third-party product manufacturers develop acceptable manufacturing processes that provide the necessary quantities of our product candidates in a compliant and timely manner, the cost to us for the supply of our product candidates by such third-parties may be high and limit our profitability. Furthermore, KHK is our sole supplier of commercial quantities of KRN23. The supply price to us for commercial sales of KRN23, which will be determined on a fixed double-digit percentage of net sales, will be higher than the typical cost of goods sold of companies focused on rare diseases.</w:t>
      </w:r>
    </w:p>
    <w:p>
      <w:pPr>
        <w:spacing w:after="0" w:line="16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3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We are currently aware of various existing therapies that may compete with our product candidates. For example, XLH is currently treated with oral phosphate and Vitamin D therapy, which may compete with KRN23. Furthermore, B. Braun Medical Inc., or B. Braun, has received orphan drug designation for triheptanoin in Europe for certain LC-FAOD indications and B. Braun may be evaluating whether or not to initiate clinical development. Triheptanoin is also available and is currently being studied in food-grade form, which may compete with our pharmaceutical-grade product. Investigator-sponsored trials evaluating triheptanoin in multiple indications are ongoing. LC-FAOD is currently treated with diet therapy and medium-chain triglyceride oil, which may compete with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4" w:right="239" w:bottom="1440" w:gutter="0" w:footer="0" w:header="0"/>
        </w:sectPr>
      </w:pPr>
    </w:p>
    <w:bookmarkStart w:id="34" w:name="page35"/>
    <w:bookmarkEnd w:id="34"/>
    <w:p>
      <w:pPr>
        <w:spacing w:after="0" w:line="297" w:lineRule="auto"/>
        <w:rPr>
          <w:sz w:val="20"/>
          <w:szCs w:val="20"/>
          <w:color w:val="auto"/>
        </w:rPr>
      </w:pPr>
      <w:r>
        <w:rPr>
          <w:rFonts w:ascii="Arial" w:cs="Arial" w:eastAsia="Arial" w:hAnsi="Arial"/>
          <w:sz w:val="16"/>
          <w:szCs w:val="16"/>
          <w:color w:val="auto"/>
        </w:rPr>
        <w:t>triheptanoin. Glut1 DS is currently treated primarily with the ketogenic diet and anti-epileptic drugs, which may also compete with triheptanoin. Additionally, we are aware of a program at the National Institutes of Health, whose intellectual property rights are licensed to a company in New Zealand that is investigating the use of another metabolite in the sialic acid pathway, ManNAc, for the treatment of HIBM, which could compete with SA-ER. ManNAc may have a potential advantage over SA-ER in that it is not a charged molecule like sialic acid is, which might improve its distribution and uptake. Gene therapy, gene correction, RNA-based therapies, and other approaches may also emerge for the treatment of any of the disease areas in which we focus.</w:t>
      </w:r>
    </w:p>
    <w:p>
      <w:pPr>
        <w:spacing w:after="0" w:line="2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specialty pharmaceutical companies, and biotechnology companies. Some of the pharmaceutical and biotechnology companies we expect to compete with include Shire, Sanofi, BioMarin, Alexion, and Roche, as well as other companies ranging from startups to large multinational companies.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 candidates uneconomical or obsolete, and we may not be successful in marketing our product candidates against competitors.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currently have no marketing and sales organization. If we are unable to establish sales and marketing capabilities or enter into agreements with third parties to market and sell our product candidates, we may be unable to generate any revenue.</w:t>
      </w:r>
    </w:p>
    <w:p>
      <w:pPr>
        <w:spacing w:after="0" w:line="2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Although our employees may have sold other similar products in the past while employed at other companies, we as a company have no experience selling and marketing our product candidates and we currently have no marketing or sales organization. To successfully commercialize any products that may result from our development programs, we will need to develop these capabilities, either on our own or with others. If our product candidates receive regulatory approval, we intend to establish a sales and marketing organization with technical expertise and supporting distribution capabilities to commercialize our product candidates in major markets, which will be expensive, difficult, and time consuming. Any failure or delay in the development of our internal sales, marketing, and distribution capabilities would adversely impact the commercialization of our products.</w:t>
      </w:r>
    </w:p>
    <w:p>
      <w:pPr>
        <w:spacing w:after="0" w:line="4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Further, given our lack of prior experience in marketing and selling biopharmaceutical products, our initial estimate of the size of the required sales force may be materially more or less than the size of the sales force actually required to effectively commercialize our product candidates. As such, we may be required to hire substantially more sales representatives to adequately support the commercialization of our product candidates or we may incur excess costs as a result of hiring more sales representatives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22"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Even with the requisite approvals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The degree of market acceptance of any of our product candidates, if approved for commercial sale, will depend on a number of factors, including:</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efficacy of the product as demonstrated in clinical studies and potential advantages over competing treatments;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prevalence and severity of any side effects, including any limitations or warnings contained in a product’s approved labeling;</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clinical indications for which approval is granted;</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relative convenience and ease of administration;</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of treatment, particularly in relation to competing treatments;</w:t>
      </w: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willingness of the target patient population to try new therapies and of physicians to prescribe these therapies;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36" w:right="279" w:bottom="1440" w:gutter="0" w:footer="0" w:header="0"/>
        </w:sectPr>
      </w:pPr>
    </w:p>
    <w:bookmarkStart w:id="35" w:name="page36"/>
    <w:bookmarkEnd w:id="35"/>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strength of marketing and distribution support and timing of market introduction of competitive products;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publicity concerning our products or competing products and treatments; and</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sufficient third-party insurance coverage and reimbursement.</w:t>
      </w:r>
    </w:p>
    <w:p>
      <w:pPr>
        <w:spacing w:after="0" w:line="1"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Even if a potential product displays a favorable efficacy and safety profile in nonclinical and clinical studies, market acceptance of the product will not be fully known until after it is launched. Our efforts to educate the medical community and third-party payors on the benefits of the product candidates may require significant resources and may never be successful.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221"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target patient populations are small, and accordingly the pricing, coverage, and reimbursement of our product candidates, if approved, must be adequate to support our commercial infrastructure. Our per-patient prices must be sufficient to recover our development and manufacturing costs and potentially achieve profitability. Accordingly, the availability and adequacy of coverage and reimbursement by governmental and private payors are essential for most patients to be able to afford expensive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3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5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4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effective patent rights for our product candidates or any future product candidates, we may not be able to compete effectively in our markets.</w:t>
      </w:r>
    </w:p>
    <w:p>
      <w:pPr>
        <w:spacing w:after="0" w:line="22"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ability to obtain and maintain patent and other intellectual property protection in the United States and in other countries with respect to our proprietary technology and products.</w:t>
      </w:r>
    </w:p>
    <w:p>
      <w:pPr>
        <w:spacing w:after="0" w:line="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36" w:right="259" w:bottom="1440" w:gutter="0" w:footer="0" w:header="0"/>
        </w:sectPr>
      </w:pPr>
    </w:p>
    <w:bookmarkStart w:id="36" w:name="page37"/>
    <w:bookmarkEnd w:id="36"/>
    <w:p>
      <w:pPr>
        <w:ind w:right="40" w:firstLine="518"/>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3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Although we have a number of patents covering methods of use and certain compositions of matter, we do not have complete patent protection for our product candidates. For example, there is no patent coverage for KRN23 in Latin America, where we have rights to commercialize the compound. Therefore, a competitor could develop the same or similar antibody as well as other approaches that target FGF23. Additionally, none of the current intellectual property relating to rhGUS covers composition of matter, and there are currently no patents that cover rhPPCA. Therefore, it is possible that a competitor could develop the same or similar enzyme with respect to rhGUS and/or rhPPCA, subject to any regulatory exclusivities. With respect to triheptanoin, although some of the patents relating to triheptanoin cover aspects of composition of matter, it is possible that a competitor could develop the same or similar molecule. With respect to SA-ER, none of the patents relating to SA-ER cover composition of matter. Therefore, it is possible that a competitor could develop the same or similar molecule. If we cannot obtain and maintain effective patent rights for our product candidates, we may not be able to compete effectively and our business and results of operations would be harmed.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9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Although various extensions may be available, the life of a patent, and the protection it affords, is limited. Even if patents covering our product candidates are obtained, once the patent life has expired for a product, we may be open to competition from generic medications.</w:t>
      </w:r>
    </w:p>
    <w:p>
      <w:pPr>
        <w:spacing w:after="0" w:line="33"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While patent term extensions under the Hatch-Waxman Act in the United States and under supplementary protection certificates in Europe may be available to extend the patent exclusivity term for KRN23, rhGUS, triheptanoin, and SA-ER, we cannot provide any assurances that any such patent term extension will be obtained and, if so, for how long. In addition, upon issuance in the United States any patent term can be adjusted based on certain delays caused by the applicant(s) or the United States Patent and Trademark Office, or USPTO. For example, a patent term can be reduced based on certain delays caused by the patent applicant during patent prosecution. If we do not have sufficient patent terms or regulatory exclusivity to protect our products, our business and results of operations will be adversely affected.</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35"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The effects of these changes are currently unclear as the USPTO must still implement various regulations, the courts have yet to address any of these provisions and the applicability of the act and new regulations on specific patents discussed herein have not been determined and would need to be reviewed.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36" w:right="239" w:bottom="1440" w:gutter="0" w:footer="0" w:header="0"/>
        </w:sectPr>
      </w:pPr>
    </w:p>
    <w:bookmarkStart w:id="37" w:name="page38"/>
    <w:bookmarkEnd w:id="37"/>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markets.</w:t>
      </w:r>
    </w:p>
    <w:p>
      <w:pPr>
        <w:spacing w:after="0" w:line="35"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3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9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30" w:lineRule="exact"/>
        <w:rPr>
          <w:sz w:val="20"/>
          <w:szCs w:val="20"/>
          <w:color w:val="auto"/>
        </w:rPr>
      </w:pPr>
    </w:p>
    <w:p>
      <w:pPr>
        <w:ind w:right="300" w:firstLine="518"/>
        <w:spacing w:after="0" w:line="254"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We have conducted freedom to operate analyses with respect to only certain of our product candidates, and therefore we do not know whether there are any third-party patents that would impair our ability to commercialize our other product candidates for which we have not conducted freedom to operate analyses. We also cannot guarantee that any of our analyses are complete and thorough, nor can we be sure that we have identified each and every patent and pending application in the United States and abroad that is relevant or necessary to the commercialization of our product candidates. Because patent applications can take many years to issue, there may be currently pending patent applications that may later result in issued patents that our product candidates may infringe.</w:t>
      </w:r>
    </w:p>
    <w:p>
      <w:pPr>
        <w:spacing w:after="0" w:line="44"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addition, third parties may obtain patents in the future and claim that use of our technologies infringes upon these patents. If any third-party patents were held by a court of competent jurisdiction to cover aspects of our formulations, the manufacturing process of any of our product candidates, methods of use, any molecules formed during the manufacturing process or any final product itself, the holders of any such patents may be able to block our ability to commercialize such product candidate unless we obtained a license under the applicable patents, or until such patents expire or are finally determined to be invalid or unenforceable. Such a license may not be available on commercially reasonable terms, or at all.</w:t>
      </w:r>
    </w:p>
    <w:p>
      <w:pPr>
        <w:spacing w:after="0" w:line="3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98" w:right="259" w:bottom="1440" w:gutter="0" w:footer="0" w:header="0"/>
        </w:sectPr>
      </w:pPr>
    </w:p>
    <w:bookmarkStart w:id="38" w:name="page39"/>
    <w:bookmarkEnd w:id="38"/>
    <w:p>
      <w:pPr>
        <w:ind w:right="60"/>
        <w:spacing w:after="0" w:line="255" w:lineRule="auto"/>
        <w:rPr>
          <w:sz w:val="20"/>
          <w:szCs w:val="20"/>
          <w:color w:val="auto"/>
        </w:rPr>
      </w:pPr>
      <w:r>
        <w:rPr>
          <w:rFonts w:ascii="Arial" w:cs="Arial" w:eastAsia="Arial" w:hAnsi="Arial"/>
          <w:sz w:val="18"/>
          <w:szCs w:val="18"/>
          <w:color w:val="auto"/>
        </w:rPr>
        <w:t>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5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face competition from biosimilars, which may have a material adverse impact on the future commercial prospects of KRN23, rhGUS, and rhPPCA.</w:t>
      </w:r>
    </w:p>
    <w:p>
      <w:pPr>
        <w:spacing w:after="0" w:line="35"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we may face competition from biosimilars with respect to KRN23, rhGUS, and rhPPCA.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2014, President Obama proposed to cut this 12-year period of exclusivity down to seven years. He also proposed to prohibit additional periods of exclusivity due to minor changes in product formulations, a practice often referred to as “evergreening.”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While it is uncertain when any such processes may be fully adopted by the FDA, any such processes could have a material adverse effect on the future commercial prospects for KRN23, rhGUS, and rhPPCA.</w:t>
      </w:r>
    </w:p>
    <w:p>
      <w:pPr>
        <w:spacing w:after="0" w:line="20"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3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small-molecule product candidates, which may result in a material decline in sales of triheptanoin and SA-ER.</w:t>
      </w:r>
    </w:p>
    <w:p>
      <w:pPr>
        <w:spacing w:after="0" w:line="22"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(e.g., five years for new chemical entities, three years for changes to an approved drug requiring a new clinical study,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36" w:right="239" w:bottom="1440" w:gutter="0" w:footer="0" w:header="0"/>
        </w:sectPr>
      </w:pPr>
    </w:p>
    <w:bookmarkStart w:id="39" w:name="page40"/>
    <w:bookmarkEnd w:id="39"/>
    <w:p>
      <w:pPr>
        <w:ind w:right="80" w:firstLine="518"/>
        <w:spacing w:after="0" w:line="276" w:lineRule="auto"/>
        <w:rPr>
          <w:sz w:val="20"/>
          <w:szCs w:val="20"/>
          <w:color w:val="auto"/>
        </w:rPr>
      </w:pPr>
      <w:r>
        <w:rPr>
          <w:rFonts w:ascii="Arial" w:cs="Arial" w:eastAsia="Arial" w:hAnsi="Arial"/>
          <w:sz w:val="17"/>
          <w:szCs w:val="17"/>
          <w:color w:val="auto"/>
        </w:rPr>
        <w:t>Accordingly, if triheptanoin and SA-ER are approved, competitors could file ANDAs for generic versions of triheptanoin and SA-ER, or 505(b)(2) NDAs that reference triheptanoin and SA-ER, respectively. If there are patents listed for triheptanoin and SA-ER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3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7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While we normally seek and gain the right to fully prosecute the patents relating to our product candidates, there may be times when patents relating to our product candidates are controlled by our licensors. This is the case with our agreement with KHK, who is primarily responsible for the prosecution of patents and patent applications licensed to us under the collaboration agreement. If KHK or any of our future licensing partners fail to appropriately prosecute and maintain patent protection for patents covering any of our product candidates, our ability to develop and commercialize those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194"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See “Business—License Agreements” for a description of our license agreements with KHK, Baylor Research Institute, Nobelpharma, AAIPharma, HIBM Research Group, St. Louis University and St. Jude Children’s Research Hospital, which includes a description of the termination provisions of these agreements.</w:t>
      </w:r>
    </w:p>
    <w:p>
      <w:pPr>
        <w:spacing w:after="0" w:line="3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some cases, patent prosecution of our licensed technology is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scope of rights granted under the license agreement and other interpretation-related issues;</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 xml:space="preserve">    the extent to which our technology and processes infringe on intellectual property of the licensor that is not subject to the licensing agreement;</w:t>
      </w:r>
    </w:p>
    <w:p>
      <w:pPr>
        <w:spacing w:after="0" w:line="30"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sublicensing of patent and other rights;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our diligence obligations under the license agreement and what activities satisfy those diligence obligations;</w:t>
      </w:r>
    </w:p>
    <w:p>
      <w:pPr>
        <w:ind w:left="900" w:right="58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ownership of inventions and know-how resulting from the joint creation or use of intellectual property by our licensors and us and our collaborators; and</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priority of invention of patented technology.</w:t>
      </w:r>
    </w:p>
    <w:p>
      <w:pPr>
        <w:spacing w:after="0" w:line="1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36" w:right="259" w:bottom="1440" w:gutter="0" w:footer="0" w:header="0"/>
        </w:sectPr>
      </w:pPr>
    </w:p>
    <w:bookmarkStart w:id="40" w:name="page41"/>
    <w:bookmarkEnd w:id="40"/>
    <w:p>
      <w:pPr>
        <w:ind w:right="180"/>
        <w:spacing w:after="0" w:line="277" w:lineRule="auto"/>
        <w:rPr>
          <w:sz w:val="20"/>
          <w:szCs w:val="20"/>
          <w:color w:val="auto"/>
        </w:rPr>
      </w:pPr>
      <w:r>
        <w:rPr>
          <w:rFonts w:ascii="Arial" w:cs="Arial" w:eastAsia="Arial" w:hAnsi="Arial"/>
          <w:sz w:val="18"/>
          <w:szCs w:val="18"/>
          <w:b w:val="1"/>
          <w:bCs w:val="1"/>
          <w:i w:val="1"/>
          <w:iCs w:val="1"/>
          <w:color w:val="auto"/>
        </w:rPr>
        <w:t>Although we are not currently involved in any litigation, we may be involved in lawsuits to protect or enforce our patents or the patents of our licensors, which could be expensive, time consuming, and unsuccessful.</w:t>
      </w:r>
    </w:p>
    <w:p>
      <w:pPr>
        <w:spacing w:after="0" w:line="35"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Competitors may infringe our patents or the patents of our licensors. Although we are not currently involved in any litigation, 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29" w:lineRule="exact"/>
        <w:rPr>
          <w:sz w:val="20"/>
          <w:szCs w:val="20"/>
          <w:color w:val="auto"/>
        </w:rPr>
      </w:pPr>
    </w:p>
    <w:p>
      <w:pPr>
        <w:ind w:right="260" w:firstLine="518"/>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sufficient capital to continue our clinical trials, continue our research programs, license necessary technology from third parties, or enter into development partnerships that would help us bring our product candidates to market.</w:t>
      </w:r>
    </w:p>
    <w:p>
      <w:pPr>
        <w:spacing w:after="0" w:line="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4"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employ certain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9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7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biotechnology industry involves both technological and legal complexity. Therefore, obtaining and enforcing biotechnology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9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KHK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3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Founder, President, and Chief Executive Officer and to attract, retain, and motivate other qualified personnel.</w:t>
      </w:r>
    </w:p>
    <w:p>
      <w:pPr>
        <w:spacing w:after="0" w:line="22"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17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our products, our competitors may sell products to treat the same conditions and our revenue will be reduced.</w:t>
      </w:r>
    </w:p>
    <w:p>
      <w:pPr>
        <w:spacing w:after="0" w:line="35" w:lineRule="exact"/>
        <w:rPr>
          <w:sz w:val="20"/>
          <w:szCs w:val="20"/>
          <w:color w:val="auto"/>
        </w:rPr>
      </w:pPr>
    </w:p>
    <w:p>
      <w:pPr>
        <w:ind w:right="20" w:firstLine="518"/>
        <w:spacing w:after="0" w:line="237" w:lineRule="auto"/>
        <w:rPr>
          <w:sz w:val="20"/>
          <w:szCs w:val="20"/>
          <w:color w:val="auto"/>
        </w:rPr>
      </w:pPr>
      <w:r>
        <w:rPr>
          <w:rFonts w:ascii="Arial" w:cs="Arial" w:eastAsia="Arial" w:hAnsi="Arial"/>
          <w:sz w:val="17"/>
          <w:szCs w:val="17"/>
          <w:color w:val="auto"/>
        </w:rPr>
        <w:t>Our business strategy focuses on the development of drugs that are eligible for FDA and EU orphan drug designation. 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8" w:lineRule="exact"/>
        <w:rPr>
          <w:sz w:val="20"/>
          <w:szCs w:val="20"/>
          <w:color w:val="auto"/>
        </w:rPr>
      </w:pPr>
    </w:p>
    <w:p>
      <w:pPr>
        <w:ind w:right="80" w:firstLine="518"/>
        <w:spacing w:after="0" w:line="225"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8" w:right="239" w:bottom="1440" w:gutter="0" w:footer="0" w:header="0"/>
        </w:sectPr>
      </w:pPr>
    </w:p>
    <w:bookmarkStart w:id="42" w:name="page43"/>
    <w:bookmarkEnd w:id="42"/>
    <w:p>
      <w:pPr>
        <w:ind w:right="140" w:firstLine="518"/>
        <w:spacing w:after="0" w:line="257" w:lineRule="auto"/>
        <w:rPr>
          <w:sz w:val="20"/>
          <w:szCs w:val="20"/>
          <w:color w:val="auto"/>
        </w:rPr>
      </w:pPr>
      <w:r>
        <w:rPr>
          <w:rFonts w:ascii="Arial" w:cs="Arial" w:eastAsia="Arial" w:hAnsi="Arial"/>
          <w:sz w:val="18"/>
          <w:szCs w:val="18"/>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5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Even though we have orphan drug designation for KRN23 in the United States, and rhGUS and SA-ER in the United States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organization, and we may experience difficulties in managing this growth, which could disrupt our operations.</w:t>
      </w:r>
    </w:p>
    <w:p>
      <w:pPr>
        <w:spacing w:after="0" w:line="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 of December 31, 2013, we had 59 full-time employees. As our development and commercialization plans and strategies develop, we expect to need additional managerial, operational, sales,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license, discover, develop, or commercialize additional product candidates.</w:t>
      </w:r>
    </w:p>
    <w:p>
      <w:pPr>
        <w:spacing w:after="0" w:line="7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Although a substantial amount of our effort will focus on the continued clinical testing, potential approval, and commercialization of our existing product candidates, the success of our business also depends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10" w:lineRule="exact"/>
        <w:rPr>
          <w:sz w:val="20"/>
          <w:szCs w:val="20"/>
          <w:color w:val="auto"/>
        </w:rPr>
      </w:pPr>
    </w:p>
    <w:p>
      <w:pPr>
        <w:ind w:left="900" w:right="86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our research or business development methodology or search criteria and process may be unsuccessful in identifying potential product candidates;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may not be able or willing to assemble sufficient resources to acquire or discover additional product candidates;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we may face competition in obtaining and/or developing additional product candidates;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our product candidates may not succeed in preclinical or clinical testing;</w:t>
      </w:r>
    </w:p>
    <w:p>
      <w:pPr>
        <w:ind w:left="900" w:right="64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our potential product candidates may be shown to have harmful side effects or may have other characteristics that may make the products unmarketable or unlikely to receive marketing approval;</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competitors may develop alternatives that render our product candidates obsolete or less attractive;</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candidates we develop may be covered by third parties’ patents or other exclusive rights;</w:t>
      </w:r>
    </w:p>
    <w:p>
      <w:pPr>
        <w:ind w:left="520"/>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 xml:space="preserve">    the market for a product candidate may change during our program so that such a product may become unreasonable to continue to develop;</w:t>
      </w:r>
    </w:p>
    <w:p>
      <w:pPr>
        <w:spacing w:after="0" w:line="30"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 product candidate may not be capable of being produced in commercial quantities at an acceptable cost, or at all; and</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 product candidate may not be accepted as safe and effective by patients, the medical community, or third-party payors.</w:t>
      </w:r>
    </w:p>
    <w:p>
      <w:pPr>
        <w:spacing w:after="0" w:line="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36" w:right="239" w:bottom="1440" w:gutter="0" w:footer="0" w:header="0"/>
        </w:sectPr>
      </w:pPr>
    </w:p>
    <w:bookmarkStart w:id="43" w:name="page44"/>
    <w:bookmarkEnd w:id="43"/>
    <w:p>
      <w:pPr>
        <w:ind w:right="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now required to devote substantial time to new compliance initiatives and corporate governance practices.</w:t>
      </w:r>
    </w:p>
    <w:p>
      <w:pPr>
        <w:spacing w:after="0" w:line="35"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The Sarbanes-Oxley Act of 2002, or the Sarbanes-Oxley Act, as well as rules subsequently implemented by the Securities and Exchange Commission, or SEC, and The NASDAQ Global Select Market impose various requirements on public companies, including establishment and maintenance of effective disclosure and financial controls and corporate governance practices.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pay parity.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devote a substantial amount of time to these compliance initiatives. Moreover, these rules and regulations have increased our legal and financial compliance costs and will make some activities more time consuming and costly. For example, being a public company could make it more difficult and more expensive for us to obtain director and officer liability insurance and we may be required to incur substantial costs to maintain our current levels of such coverage.</w:t>
      </w:r>
    </w:p>
    <w:p>
      <w:pPr>
        <w:spacing w:after="0" w:line="24"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Additionally, the Sarbanes-Oxley Act requires, among other things, that we maintain effective internal controls for financial reporting and disclosure controls and procedures. In particular, we will be required to perform system and process evaluation and testing of our internal controls over financial reporting to allow management to report, commencing in our annual report on Form 10-K for the year ending December 31, 2014, on the effectiveness of our internal controls over financial reporting, if then required by Section 404(a) of the Sarbanes-Oxley Act. In the event we lose our eligibility as an emerging growth company, or EGC, as a result of meeting the large accelerated filing requirement as defined by the SEC, we would then be subject to the compliance requirements of Section 404(b) of the Sarbanes-Oxley Act. We could lose our EGC eligibility as early as December 31, 2015, thereby requiring compliance with Section 404(b), which would cause us to incur substantial accounting expense and expend significant management efforts. We currently do not have an internal audit group, and we will need to hire additional accounting and financial staff with appropriate public company experience and technical accounting knowledge. Moreover, if we are not able to comply with the requirements of Section 404(b) in a timely manner or if we identify or our independent registered public accounting firm identifies deficiencies in our internal controls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3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For as long as we remain an EGC, we may take advantage of certain exemptions from various reporting requirements that are applicable to other public companies that are not emerging growth companies as described in the risk factor entitled “We are an ‘emerging growth company,’ and, due to the reduced reporting requirements applicable to emerging growth companies, certain investors may find investing in our common stock less attractive</w:t>
      </w:r>
      <w:r>
        <w:rPr>
          <w:rFonts w:ascii="Arial" w:cs="Arial" w:eastAsia="Arial" w:hAnsi="Arial"/>
          <w:sz w:val="17"/>
          <w:szCs w:val="17"/>
          <w:i w:val="1"/>
          <w:iCs w:val="1"/>
          <w:color w:val="auto"/>
        </w:rPr>
        <w:t>.</w:t>
      </w:r>
      <w:r>
        <w:rPr>
          <w:rFonts w:ascii="Arial" w:cs="Arial" w:eastAsia="Arial" w:hAnsi="Arial"/>
          <w:sz w:val="17"/>
          <w:szCs w:val="17"/>
          <w:color w:val="auto"/>
        </w:rPr>
        <w:t>” We intend to take advantage of these exemptions from various reporting requirements but cannot guarantee that we will not be required to implement these requirements sooner than budgeted or planned and thereby incur unexpected expenses and also be subject to shorter timelines within which we must file our periodic reports; having to file our periodic reports on shorter timelines may also result in increased expense to us. Additionally, new laws and regulations, as well as changes to existing laws and regulations affecting public companies, including the provisions of the Sarbanes-Oxley Act and rules adopted by the SEC and by NASDAQ, would likely result in increased costs to us as we respond to their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7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Health Care Reform Law, was passed, which substantially changes the way health care is financed by both governmental and private insurers, and significantly impacts the U.S. pharmaceutical industry. The Health Care Reform Law,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promotes a new Medicare Part D coverage gap discount program.</w:t>
      </w:r>
    </w:p>
    <w:p>
      <w:pPr>
        <w:spacing w:after="0" w:line="30"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98" w:right="259" w:bottom="1440" w:gutter="0" w:footer="0" w:header="0"/>
        </w:sectPr>
      </w:pPr>
    </w:p>
    <w:bookmarkStart w:id="44" w:name="page45"/>
    <w:bookmarkEnd w:id="44"/>
    <w:p>
      <w:pPr>
        <w:ind w:right="80"/>
        <w:spacing w:after="0" w:line="264" w:lineRule="auto"/>
        <w:rPr>
          <w:sz w:val="20"/>
          <w:szCs w:val="20"/>
          <w:color w:val="auto"/>
        </w:rPr>
      </w:pPr>
      <w:r>
        <w:rPr>
          <w:rFonts w:ascii="Arial" w:cs="Arial" w:eastAsia="Arial" w:hAnsi="Arial"/>
          <w:sz w:val="18"/>
          <w:szCs w:val="18"/>
          <w:color w:val="auto"/>
        </w:rPr>
        <w:t>payment reductions went into effect.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8"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4" w:lineRule="exact"/>
        <w:rPr>
          <w:sz w:val="20"/>
          <w:szCs w:val="20"/>
          <w:color w:val="auto"/>
        </w:rPr>
      </w:pPr>
    </w:p>
    <w:p>
      <w:pPr>
        <w:ind w:left="900" w:right="2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55" w:lineRule="exact"/>
        <w:rPr>
          <w:sz w:val="20"/>
          <w:szCs w:val="20"/>
          <w:color w:val="auto"/>
        </w:rPr>
      </w:pPr>
    </w:p>
    <w:p>
      <w:pPr>
        <w:ind w:left="900" w:right="40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55" w:lineRule="exact"/>
        <w:rPr>
          <w:sz w:val="20"/>
          <w:szCs w:val="20"/>
          <w:color w:val="auto"/>
        </w:rPr>
      </w:pPr>
    </w:p>
    <w:p>
      <w:pPr>
        <w:ind w:left="900" w:right="380" w:hanging="365"/>
        <w:spacing w:after="0" w:line="227"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53" w:lineRule="exact"/>
        <w:rPr>
          <w:sz w:val="20"/>
          <w:szCs w:val="20"/>
          <w:color w:val="auto"/>
        </w:rPr>
      </w:pPr>
    </w:p>
    <w:p>
      <w:pPr>
        <w:ind w:left="900" w:right="560" w:hanging="365"/>
        <w:spacing w:after="0" w:line="227"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HIPAA, as amended by the Health Information Technology and Clinical Health Act, or HITECH, and its implementing regulations, which imposes certain requirements relating to the privacy, security, and transmission of individually identifiable health information;</w:t>
      </w:r>
    </w:p>
    <w:p>
      <w:pPr>
        <w:spacing w:after="0" w:line="53" w:lineRule="exact"/>
        <w:rPr>
          <w:sz w:val="20"/>
          <w:szCs w:val="20"/>
          <w:color w:val="auto"/>
        </w:rPr>
      </w:pPr>
    </w:p>
    <w:p>
      <w:pPr>
        <w:ind w:left="900" w:hanging="365"/>
        <w:spacing w:after="0" w:line="245"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the federal physician sunshine requirements under the Health Care Reform Laws requires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51" w:lineRule="exact"/>
        <w:rPr>
          <w:sz w:val="20"/>
          <w:szCs w:val="20"/>
          <w:color w:val="auto"/>
        </w:rPr>
      </w:pPr>
    </w:p>
    <w:p>
      <w:pPr>
        <w:ind w:left="900" w:right="200" w:hanging="365"/>
        <w:spacing w:after="0" w:line="254"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state law equivalents of each of the above federal laws, such as anti-kickback and false claims laws that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5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36" w:right="25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35" w:lineRule="exact"/>
        <w:rPr>
          <w:sz w:val="20"/>
          <w:szCs w:val="20"/>
          <w:color w:val="auto"/>
        </w:rPr>
      </w:pPr>
    </w:p>
    <w:p>
      <w:pPr>
        <w:jc w:val="both"/>
        <w:ind w:right="20" w:firstLine="518"/>
        <w:spacing w:after="0" w:line="311" w:lineRule="auto"/>
        <w:rPr>
          <w:sz w:val="20"/>
          <w:szCs w:val="20"/>
          <w:color w:val="auto"/>
        </w:rPr>
      </w:pPr>
      <w:r>
        <w:rPr>
          <w:rFonts w:ascii="Arial" w:cs="Arial" w:eastAsia="Arial" w:hAnsi="Arial"/>
          <w:sz w:val="16"/>
          <w:szCs w:val="16"/>
          <w:color w:val="auto"/>
        </w:rPr>
        <w:t>We currently have limited international operations, but our business strategy incorporates potentially significant international expansion, particularly in anticipation of approval of our product candidates. We plan to maintain sales representatives and conduct physician and patient association outreach activities, as well as clinical trials, outside of the United States. Doing business internationally involves a number of risks, including but not limited to:</w:t>
      </w:r>
    </w:p>
    <w:p>
      <w:pPr>
        <w:spacing w:after="0" w:line="1" w:lineRule="exact"/>
        <w:rPr>
          <w:sz w:val="20"/>
          <w:szCs w:val="20"/>
          <w:color w:val="auto"/>
        </w:rPr>
      </w:pPr>
    </w:p>
    <w:p>
      <w:pPr>
        <w:ind w:left="900" w:right="16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multiple, conflicting, and changing laws and regulations such as privacy regulations, tax laws, export and import restrictions, employment laws, regulatory requirements, and other governmental approvals, permits, and licenses;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by us to obtain and maintain regulatory approvals for the use of our products in various countries;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additional potentially relevant third-party patent rights;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complexities and difficulties in obtaining protection and enforcing our intellectual property;</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difficulties in staffing and managing foreign operations;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complexities associated with managing multiple payor reimbursement regimes, government payors, or patient self-pay systems;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limits in our ability to penetrate international markets;</w:t>
      </w:r>
    </w:p>
    <w:p>
      <w:pPr>
        <w:ind w:left="900" w:right="54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financial risks, such as longer payment cycles, difficulty collecting accounts receivable, the impact of local and regional financial crises on demand and payment for our products, and exposure to foreign currency exchange rate fluctuations;</w:t>
      </w:r>
    </w:p>
    <w:p>
      <w:pPr>
        <w:spacing w:after="0" w:line="55" w:lineRule="exact"/>
        <w:rPr>
          <w:sz w:val="20"/>
          <w:szCs w:val="20"/>
          <w:color w:val="auto"/>
        </w:rPr>
      </w:pPr>
    </w:p>
    <w:p>
      <w:pPr>
        <w:ind w:left="900" w:right="2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natural disasters, political and economic instability, including wars, terrorism, and political unrest, outbreak of disease, boycotts, curtailment of trade, and other business restrictions;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certain expenses including, among others, expenses for travel, translation, and insurance; and</w:t>
      </w:r>
    </w:p>
    <w:p>
      <w:pPr>
        <w:spacing w:after="0" w:line="12" w:lineRule="exact"/>
        <w:rPr>
          <w:sz w:val="20"/>
          <w:szCs w:val="20"/>
          <w:color w:val="auto"/>
        </w:rPr>
      </w:pPr>
    </w:p>
    <w:p>
      <w:pPr>
        <w:ind w:left="900" w:right="500" w:hanging="365"/>
        <w:spacing w:after="0" w:line="219"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regulatory and compliance risks that relate to maintaining accurate information and control over sales and activities that may fall within the purview of the U.S. Foreign Corrupt Practices Act, or FCPA, its books and records provisions, or its anti-bribery provisions.</w:t>
      </w:r>
    </w:p>
    <w:p>
      <w:pPr>
        <w:spacing w:after="0" w:line="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3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22"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Our corporate headquarters and laboratory are located in the San Francisco Bay Area, and our collaboration partner for KRN23, KHK,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8" w:right="239" w:bottom="1440" w:gutter="0" w:footer="0" w:header="0"/>
        </w:sectPr>
      </w:pPr>
    </w:p>
    <w:bookmarkStart w:id="46" w:name="page47"/>
    <w:bookmarkEnd w:id="46"/>
    <w:p>
      <w:pPr>
        <w:ind w:right="300"/>
        <w:spacing w:after="0" w:line="308" w:lineRule="auto"/>
        <w:rPr>
          <w:sz w:val="20"/>
          <w:szCs w:val="20"/>
          <w:color w:val="auto"/>
        </w:rPr>
      </w:pPr>
      <w:r>
        <w:rPr>
          <w:rFonts w:ascii="Arial" w:cs="Arial" w:eastAsia="Arial" w:hAnsi="Arial"/>
          <w:sz w:val="17"/>
          <w:szCs w:val="17"/>
          <w:color w:val="auto"/>
        </w:rPr>
        <w:t>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market price of our common stock has been, and is likely to continue to be, volatile. We priced our initial public offering at $21.00 per share on January 30, 2014 and, since then, our common stock has reached a high of $69.77 per share. Our stock price could be subject to wide fluctuations in response to a variety of factors, including but not limited to the following:</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adverse results or delays in preclinical or clinical studies;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any inability to obtain additional funding;</w:t>
      </w:r>
    </w:p>
    <w:p>
      <w:pPr>
        <w:ind w:left="900" w:right="580" w:hanging="365"/>
        <w:spacing w:after="0" w:line="22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any delay in filing an IND, NDA, BLA, or other regulatory submission for any of our product candidates and any adverse development or perceived adverse development with respect to the applicable regulatory agency’s review of that IND, NDA, BLA, or other regulatory submission;</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perception of limited market sizes or pricing for our product candidates;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to successfully develop and commercialize our product candidates;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post-marketing safety issues;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to maintain our existing strategic collaborations or enter into new collaborations;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by us or our licensors and strategic collaboration partners to prosecute, maintain, or enforce our intellectual property rights;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changes in laws or regulations applicable to our products;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any inability to obtain adequate product supply for our product candidates or the inability to do so at acceptable prices;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adverse regulatory decisions;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introduction of new products, services, or technologies by our competitors;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to meet or exceed financial projections we may provide to the public;</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failure to meet or exceed the financial projections of the investment community;</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perception of the pharmaceutical industry by the public, legislatures, regulators, and the investment community;</w:t>
      </w:r>
    </w:p>
    <w:p>
      <w:pPr>
        <w:ind w:left="90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announcements of significant acquisitions, strategic partnerships, joint ventures, or capital commitments by us, our strategic collaboration partner, or our competitors;</w:t>
      </w:r>
    </w:p>
    <w:p>
      <w:pPr>
        <w:spacing w:after="0" w:line="55" w:lineRule="exact"/>
        <w:rPr>
          <w:sz w:val="20"/>
          <w:szCs w:val="20"/>
          <w:color w:val="auto"/>
        </w:rPr>
      </w:pPr>
    </w:p>
    <w:p>
      <w:pPr>
        <w:ind w:left="900" w:right="2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disputes or other developments relating to proprietary rights, including patents, litigation matters, and our ability to obtain patent protection for our technologies;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additions or departures of key scientific or management personnel;</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significant lawsuits, including patent or stockholder litigation;</w:t>
      </w:r>
    </w:p>
    <w:p>
      <w:pPr>
        <w:ind w:left="900" w:right="6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if securities or industry analysts do not publish research or reports about our business, or if they issue an adverse or misleading opinion regarding our stock;</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changes in the market valuations of similar companies;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general market or macroeconomic conditions;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of our common stock by us or our stockholders in the future; and</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trading volume of our common stock.</w:t>
      </w:r>
    </w:p>
    <w:p>
      <w:pPr>
        <w:spacing w:after="0" w:line="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22"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As of March 14, 2014, our executive officers, directors, five percent stockholders, and their affiliates beneficially owned approximately 48% of our voting stock. Therefore, these stockholders may have the ability to influence us through their ownership positions, which may prevent or discourage unsolicited acquisition proposals or offers for our common stock that you may believe are in your best interest as one of our stockholders.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36" w:right="259" w:bottom="1440" w:gutter="0" w:footer="0" w:header="0"/>
        </w:sectPr>
      </w:pPr>
    </w:p>
    <w:bookmarkStart w:id="47" w:name="page48"/>
    <w:bookmarkEnd w:id="47"/>
    <w:p>
      <w:pPr>
        <w:ind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due to the reduced reporting requirements applicable to emerging growth companies, certain investors may find investing in our common stock less attractive.</w:t>
      </w:r>
    </w:p>
    <w:p>
      <w:pPr>
        <w:spacing w:after="0" w:line="3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EGC, we may take advantage of exemptions from various reporting requirements that are applicable to other public companies that are not EGCs,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from the pricing of our initial public offering, although circumstances could cause us to lose that status earlier, including if we have total annual gross revenue of $1.0 billion or more during any fiscal year before that time or if we issue more than $1.0 billion in non-convertible debt during any three-year period before that time, in which we would cease to be an EGC immediately, or on the date which we become a large accelerated filer, as defined by the SEC, in which case we would no longer be an EGC as of the following calendar year-end. We would become a large accelerated filer, as currently defined, if the market value of our common stock held by non-affiliates exceeds $700.0 million as of any June 30 of any year in which we have been a public company for at least 12 calendar months. We cannot predict if investors will find our common stock less attractive because we may rely on this exemption. If some investors find our common stock less attractive as a result, there may be a less active trading market for our common stock and our stock price may be more volatile.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77"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discussed in this report lapse, the market price of our common stock could decline. As of March 14, 2014, we had a total of 30,035,894 shares of common stock issued and outstanding. After the lock-up agreements pertaining to our initial public offering expire on July 29, 2014, up to an additional 23.4 million shares of common stock will be eligible for sale in the public market, of which approximately 9.3 million shares are held by directors, executive officers and other affiliates and will be subject to the manner of sale, volume limitations, and public reporting requirements of Rule 144 under the Securities Act of 1933, as amended, or the Securities Act. J.P. Morgan Securities LLC and Morgan Stanley &amp; Co. LLC, however, may, in their sole discretion, permit our officers, directors, and other stockholders who are subject to these lock-up agreements to sell shares prior to the expiration of the lock-up agreements.</w:t>
      </w:r>
    </w:p>
    <w:p>
      <w:pPr>
        <w:spacing w:after="0" w:line="5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addition, as of March 14, 2014, approximately 5.5 million shares of common stock that are either subject to outstanding options, reserved for future issuance under our equity incentive plans,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6"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 holders of approximately 19.6 million shares of our common stock, or 20.0 million including the shares underlying outstanding warrants,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4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Pursuant to our 2014 Incentive Plan, or the 2014 Plan, our management is authorized to grant stock options and other equity-based awards to our employees, directors, and consultants. An aggregate of 2,250,000 shares were available for issuance at the inception of the 2014 Plan. The number of shares available for future grant under the 2014 Plan will automatically increase on January 1 (beginning January 1, 2015) of each year by the lesser of 2,500,000 shares or 4% of all shares of our capital stock outstanding as of December 31 of the prior calendar year, subject to the ability of our compensation committee to take action to reduce the size of the increase in any given year. Currently, we plan to register the increased number of shares available for issuance under the 2014 Plan each year.</w:t>
      </w:r>
    </w:p>
    <w:p>
      <w:pPr>
        <w:spacing w:after="0" w:line="45"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Pursuant to our 2014 Employee Stock Purchase Plan, or 2014 ESPP, eligible employees can acquire shares of our common stock at a discount to the prevailing market price, and an aggregate of 600,000 shares are available for issuance under the 2014 ESPP. The number of shares available for issuance under the 2014 ESPP will automatically increase on January 1 of each year (beginning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98" w:right="23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t>January 1, 2015) by the lesser of 1,200,000 shares or 1% of all shares of our capital stock outstanding as of December 31 of the prior calendar year, subject to the ability of our compensation committee to take action to reduce the size of the increase in any given year. If our board of directors elects to increase the number of shares available for future grant under the 2014 Plan or the 2014 ESPP, our stockholders may experience additional dilution, which could cause our stock price to fall.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7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income may be limited. We may experience ownership changes in the future as a result of subsequent shifts in our stock ownership. As a result, if we earn net taxable income, our ability to use our pre-change net operating loss carryforwards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9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We have never declared or paid any cash dividends on our common stock. Although we have paid dividends to our holders of preferred stock in the past, including a $4.3 million cash dividend paid in connection with our IPO in February 2014, all dividends paid were agreed to at the time of the private placement financings.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202" w:lineRule="exact"/>
        <w:rPr>
          <w:sz w:val="20"/>
          <w:szCs w:val="20"/>
          <w:color w:val="auto"/>
        </w:rPr>
      </w:pPr>
    </w:p>
    <w:p>
      <w:pPr>
        <w:ind w:right="100"/>
        <w:spacing w:after="0" w:line="347"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46" w:lineRule="exact"/>
        <w:rPr>
          <w:sz w:val="20"/>
          <w:szCs w:val="20"/>
          <w:color w:val="auto"/>
        </w:rPr>
      </w:pPr>
    </w:p>
    <w:p>
      <w:pPr>
        <w:ind w:left="900" w:right="2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authorize “blank check” preferred stock, which could be issued by our board of directors without stockholder approval and may contain voting, liquidation, dividend, and other rights superior to our common stock;</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create a classified board of directors whose members serve staggered three-year terms;</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specify that special meetings of our stockholders can be called only by our board of directors or the chairperson of our board of directors;</w:t>
      </w:r>
    </w:p>
    <w:p>
      <w:pPr>
        <w:spacing w:after="0" w:line="7"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prohibit stockholder action by written consent;</w:t>
      </w:r>
    </w:p>
    <w:p>
      <w:pPr>
        <w:ind w:left="900" w:right="14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establish an advance notice procedure for stockholder approvals to be brought before an annual meeting of our stockholders, including proposed nominations of persons for election to our board of directors;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provide that our directors may be removed only for cause;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provide that vacancies on our board of directors may be filled only by a majority of directors then in office, even though less than a quorum;</w:t>
      </w:r>
    </w:p>
    <w:p>
      <w:pPr>
        <w:spacing w:after="0" w:line="7"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specify that no stockholder is permitted to cumulate votes at any election of directors;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expressly authorize our board of directors to modify, alter or repeal our amended and restated by-laws; and</w:t>
      </w:r>
    </w:p>
    <w:p>
      <w:pPr>
        <w:ind w:left="900" w:right="16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require holders of 75% of our outstanding common stock to amend specified provisions of our amended and restated certificate of incorporation and amended and restated by-laws.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provisions, alone or together, could delay, deter, or prevent hostile takeovers and changes in control or changes in our management.</w:t>
      </w:r>
    </w:p>
    <w:p>
      <w:pPr>
        <w:spacing w:after="0" w:line="88" w:lineRule="exact"/>
        <w:rPr>
          <w:sz w:val="20"/>
          <w:szCs w:val="20"/>
          <w:color w:val="auto"/>
        </w:rPr>
      </w:pPr>
    </w:p>
    <w:p>
      <w:pPr>
        <w:ind w:right="280" w:firstLine="518"/>
        <w:spacing w:after="0" w:line="306"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3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offices are located at two leased facilities. The first is a 19,916 square foot facility in Novato, California used primarily for corporate, clinical, regulatory, manufacturing, and quality functions. On February 20, 2014, we executed an amendment to this lease adding approximately 25,000 square feet of additional space. The rental term for the additional space shall commence on May 1, 2014 and expire on April 30, 2019. The rental term for the current space shall also now expire on April 30, 2019, unless extended as permitted by the amendment. We also lease a 910 square foot facility in Novato, California used for research laboratory space, which expires in September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81"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634" w:right="319" w:bottom="1440" w:gutter="0" w:footer="0" w:header="0"/>
        </w:sectPr>
      </w:pPr>
    </w:p>
    <w:bookmarkStart w:id="50" w:name="page51"/>
    <w:bookmarkEnd w:id="50"/>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Our common stock has been traded on The NASDAQ Global Select Market since January 31, 2014 under the symbol “RARE”. Prior to such time, there was no public market for our common stock. As a result, we have not set forth quarterly information with respect to the high and low prices for our common stock for the two most recent fiscal years. The following table sets forth the intraday high and low prices of our common stock as reported by NASDAQ from January 31, 2014, our first day of trading on NASDAQ, to March 14, 2014.</w:t>
      </w:r>
    </w:p>
    <w:p>
      <w:pPr>
        <w:spacing w:after="0" w:line="111"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6350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8880"/>
        <w:spacing w:after="0"/>
        <w:tabs>
          <w:tab w:leader="none" w:pos="10100" w:val="left"/>
        </w:tabs>
        <w:rPr>
          <w:sz w:val="20"/>
          <w:szCs w:val="20"/>
          <w:color w:val="auto"/>
        </w:rPr>
      </w:pPr>
      <w:r>
        <w:rPr>
          <w:rFonts w:ascii="Arial" w:cs="Arial" w:eastAsia="Arial" w:hAnsi="Arial"/>
          <w:sz w:val="14"/>
          <w:szCs w:val="14"/>
          <w:b w:val="1"/>
          <w:bCs w:val="1"/>
          <w:color w:val="auto"/>
        </w:rPr>
        <w:t>High</w:t>
      </w:r>
      <w:r>
        <w:rPr>
          <w:sz w:val="20"/>
          <w:szCs w:val="20"/>
          <w:color w:val="auto"/>
        </w:rPr>
        <w:tab/>
      </w:r>
      <w:r>
        <w:rPr>
          <w:rFonts w:ascii="Arial" w:cs="Arial" w:eastAsia="Arial" w:hAnsi="Arial"/>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wp:posOffset>
            </wp:positionV>
            <wp:extent cx="651764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tabs>
          <w:tab w:leader="none" w:pos="8560" w:val="left"/>
          <w:tab w:leader="none" w:pos="9080" w:val="left"/>
          <w:tab w:leader="none" w:pos="9780" w:val="left"/>
          <w:tab w:leader="none" w:pos="10320" w:val="left"/>
        </w:tabs>
        <w:rPr>
          <w:sz w:val="20"/>
          <w:szCs w:val="20"/>
          <w:color w:val="auto"/>
        </w:rPr>
      </w:pPr>
      <w:r>
        <w:rPr>
          <w:rFonts w:ascii="Arial" w:cs="Arial" w:eastAsia="Arial" w:hAnsi="Arial"/>
          <w:sz w:val="18"/>
          <w:szCs w:val="18"/>
          <w:color w:val="auto"/>
        </w:rPr>
        <w:t>First Quarter (January 31, 2014 through March 14, 2014)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69.77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35.15</w:t>
      </w:r>
    </w:p>
    <w:p>
      <w:pPr>
        <w:spacing w:after="0" w:line="7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March 14, 2014, we had approximately 62 holders of record of our common stock. Certain shares are held in “street” name and, accordingly, the number of beneficial owners of such shares is not known or included in the foregoing number. We have not paid any dividends on our common stock since our inception and do not expect to pay dividends on our common stock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We have never declared or paid cash dividends on our common stock. Although we paid dividends to our holders of preferred stock in the past, including a $4.3 million cash dividend paid in connection with our IPO in February 2014, all dividends paid were agreed to at the time of the private placement financings. We currently intend to retain all available funds and any future earnings, if any, to fund the development, operation, and expansion of our business, and we do not anticipate paying any cash dividends on our common stock in the foreseeable future. Any future determination to pay dividends will be made at the discretion of our board of directors or any authorized committee thereof.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8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On January 30, 2014, the Company’s registration statements on Form S-1 (File Nos. 333-192244 and 333-193675) relating to the IPO of 5,760,369 shares of its common stock was declared effective by the SEC. As a result of our IPO and the exercise of the over-allotment option (864,054 additional shares of common stock) granted to the underwriters, both of which closed on February 5, 2014, the Company received total proceeds from the offering of $129.4 million, net of underwriting discounts and commissions of $9.7 million. After deducting offering expenses of approximately $3.3 million and a cash dividend of $4.3 million paid to the preferred stockholders at the closing of the IPO, net proceeds were approximately $121.7 million. J.P. Morgan Securities LLC and Morgan Stanley &amp; Co. LLC acted as joint book-running managers of the IPO and as representatives of the underwriters.</w:t>
      </w:r>
    </w:p>
    <w:p>
      <w:pPr>
        <w:spacing w:after="0" w:line="16"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net proceeds from the offerings described above have been used and will be used, together with our cash, cash equivalents and short-term investments, to fund continued advancement of our KRN23, rhGUS, LC-FAOD, Glut 1 DS, SA-ER, and pre-clinical programs, with the balance to be used to fund working capital, capital expenditures and other general corporate purposes, which may include in-licenses, acquiring, or investing in additional businesses, technologies, products, or assets the acquisition or licensing of other products, businesses or technologies.</w:t>
      </w:r>
    </w:p>
    <w:p>
      <w:pPr>
        <w:spacing w:after="0" w:line="36"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prospectus dated January 31, 2014, filed with the SEC pursuant to Rule 424(b) of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81"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Information regarding our equity compensation plans is incorporated by reference to Item 12, “Security Ownership of Certain Beneficial Owners and Management and Related Stockholder Matters—Equity Compensation Plan Information” of Part III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the three years preceding the filing of this Annual Report on Form 10-K, we or our California corporation predecessor have issued the following securities that were not registered under the Securities Act. Issuances made prior to June 2011 were made by Ultragenyx Pharmaceutical Inc., a California corporation. The share numbers under the heading “Common Stock Purchase Agreements” below reflect (i) that, in connection with our reincorporation from California to Delaware in June 2011, each outstanding share of common stock was converted into 80 shares of the new Delaware corporation and (ii) the 1-for-3.1345 reverse stock split we implemented on January 17, 2014.</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364"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Common Stock Purchase Agreements</w:t>
      </w:r>
    </w:p>
    <w:p>
      <w:pPr>
        <w:spacing w:after="0" w:line="9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On February 11, 2011, we issued 26,288 shares of common stock for consideration of $0.00039 per share, for an aggregate purchase price of $10.30 to William E. Aliski. Mr. Aliski is one of our directors.</w:t>
      </w:r>
    </w:p>
    <w:p>
      <w:pPr>
        <w:spacing w:after="0" w:line="2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On February 28, 2011, we issued 26,288 shares of common stock for consideration of $0.00039 per share, for an aggregate purchase price of $10.30 to Jonathan K. Wright.</w:t>
      </w:r>
    </w:p>
    <w:p>
      <w:pPr>
        <w:spacing w:after="0" w:line="2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On March 11, 2011, we issued 42,545 shares of common stock for consideration of $0.00039 per share, for an aggregate purchase price of $16.67 to William E. Aliski. Mr. Aliski is one of our directors.</w:t>
      </w:r>
    </w:p>
    <w:p>
      <w:pPr>
        <w:spacing w:after="0" w:line="3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On March 28, 2011, we issued 26,288 shares of common stock for consideration of $0.0039 per share, for an aggregate purchase price of $103.00 to Steven Jungles. Mr. Jungles is our Senior Vice President, Technical Operations.</w:t>
      </w:r>
    </w:p>
    <w:p>
      <w:pPr>
        <w:spacing w:after="0" w:line="2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On April 6, 2011, we issued 288,403 shares of common stock for consideration of $0.00039 per share, for an aggregate purchase price of $113.00 to John Klock.</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claimed exemption from registration under the Securities Act for the sale and issuance of these shares of common stock by virtue of Section 4(a)</w:t>
      </w:r>
    </w:p>
    <w:p>
      <w:pPr>
        <w:spacing w:after="0" w:line="46" w:lineRule="exact"/>
        <w:rPr>
          <w:sz w:val="20"/>
          <w:szCs w:val="20"/>
          <w:color w:val="auto"/>
        </w:rPr>
      </w:pPr>
    </w:p>
    <w:p>
      <w:pPr>
        <w:ind w:right="80" w:firstLine="8"/>
        <w:spacing w:after="0" w:line="271" w:lineRule="auto"/>
        <w:tabs>
          <w:tab w:leader="none" w:pos="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and/or Regulation D promulgated thereunder as transactions not involving any public offering. All of the purchasers of the shares of common stock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Series A Convertible Preferred Stock Warrants</w:t>
      </w:r>
    </w:p>
    <w:p>
      <w:pPr>
        <w:spacing w:after="0" w:line="7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February 15, 2011, we entered into a Note and Warrant Purchase Agreement with the John and Cynthia Klock Trust. Pursuant to the Note and Warrant Purchase Agreement, we issued a convertible promissory note in the amount of $1.5 million to the John and Cynthia Klock Trust and also issued to the trust a warrant to purchase up to 507,786 shares of our Series A convertible preferred stock. In connection with dividends that were paid in shares of Series A convertible preferred stock in August 2012 and December 2012, the number of shares of Series A convertible preferred stock issuable upon exercise of this warrant was increased to 547,445 shares of Series A convertible preferred stock. In connection with the automatic conversion of the Series A convertible preferred stock into common stock upon the closing of our initial public offering, this warrant is currently exercisable for 174,651 shares of common stock.</w:t>
      </w:r>
    </w:p>
    <w:p>
      <w:pPr>
        <w:spacing w:after="0" w:line="4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On February 23, 2011, we entered into a Note and Warrant Purchase Agreement with William Aliski, one of our directors. Pursuant to the Note and Warrant Purchase Agreement, we issued a convertible promissory note in the amount of $250,000 to Mr. Aliski and also issued him a warrant to purchase up to 84,631 shares of our Series A convertible preferred stock. In connection with dividends that were paid in shares of Series A convertible preferred stock in August 2012 and December 2012, the number of shares of Series A convertible preferred stock issuable upon exercise of this warrant was increased to 91,241 shares of Series A convertible preferred stock. In connection with the automatic conversion of the Series A convertible preferred stock into common stock upon the closing of our initial public offering, this warrant is currently exercisable for 29,108 shares of common stock.</w:t>
      </w:r>
    </w:p>
    <w:p>
      <w:pPr>
        <w:spacing w:after="0" w:line="3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June 14, 2011, we entered into a Note and Warrant Purchase Agreement with Emil D. Kakkis, our President and Chief Executive Officer and one of our directors. Pursuant to the Note and Warrant Purchase Agreement, we issued a convertible promissory note in the amount of $300,000 to Dr. Kakkis and also issued him a warrant to purchase up to 72,541 shares of our Series A convertible preferred stock. In connection with dividends that were paid in shares of Series A convertible preferred stock in August 2012 and December 2012, the number of shares of Series A convertible preferred stock issuable upon exercise of this warrant was increased to 78,206 shares of Series A convertible preferred stock. In connection with the automatic conversion of the Series A convertible preferred stock into common stock upon the closing of our initial public offering, this warrant is currently exercisable for 24,950 shares of common stock.</w:t>
      </w:r>
    </w:p>
    <w:p>
      <w:pPr>
        <w:spacing w:after="0" w:line="41"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On June 14, 2011, we entered into a second Note and Warrant Purchase Agreement with Emil D. Kakkis, our President and Chief Executive Officer and one of our directors. Pursuant to the Note and Warrant Purchase Agreement, we issued a convertible promissory note in the amount of $500,000 to</w:t>
      </w:r>
    </w:p>
    <w:p>
      <w:pPr>
        <w:spacing w:after="0" w:line="253" w:lineRule="auto"/>
        <w:rPr>
          <w:sz w:val="20"/>
          <w:szCs w:val="20"/>
          <w:color w:val="auto"/>
        </w:rPr>
      </w:pPr>
      <w:r>
        <w:rPr>
          <w:rFonts w:ascii="Arial" w:cs="Arial" w:eastAsia="Arial" w:hAnsi="Arial"/>
          <w:sz w:val="18"/>
          <w:szCs w:val="18"/>
          <w:color w:val="auto"/>
        </w:rPr>
        <w:t>Dr. Kakkis and also issued him a warrant to purchase up to 120,901 shares of our Series A convertible preferred stock. In connection with dividends that were paid in shares of Series A convertible preferred stock in August 2012 and December 2012, the number of shares of Series A convertible preferred stock issuable upon exercise of this warrant was increased to 130,344 shares of Series A convertible preferred stock. In connection with the automatic conversion of the Series A convertible preferred stock into common stock upon the closing of our initial public offering, this warrant is currently exercisable for 41,583 shares of common stock.</w:t>
      </w:r>
    </w:p>
    <w:p>
      <w:pPr>
        <w:spacing w:after="0" w:line="4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claimed exemption from registration under the Securities Act for the sale and issuance of these securities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98" w:right="259" w:bottom="1440" w:gutter="0" w:footer="0" w:header="0"/>
        </w:sectPr>
      </w:pPr>
    </w:p>
    <w:bookmarkStart w:id="52" w:name="page53"/>
    <w:bookmarkEnd w:id="52"/>
    <w:p>
      <w:pPr>
        <w:jc w:val="both"/>
        <w:ind w:right="120"/>
        <w:spacing w:after="0" w:line="264" w:lineRule="auto"/>
        <w:rPr>
          <w:sz w:val="20"/>
          <w:szCs w:val="20"/>
          <w:color w:val="auto"/>
        </w:rPr>
      </w:pPr>
      <w:r>
        <w:rPr>
          <w:rFonts w:ascii="Arial" w:cs="Arial" w:eastAsia="Arial" w:hAnsi="Arial"/>
          <w:sz w:val="18"/>
          <w:szCs w:val="18"/>
          <w:color w:val="auto"/>
        </w:rPr>
        <w:t>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 Financing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June 16, 2011, we sold an aggregate of 18,052,464 shares of our Series A convertible preferred stock to eight investors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$1.034 per share, for an aggregate purchase price of approximately $15.0 million in cash and $3.7 million in converted bridge notes. On July 16, 2012,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pursuant to a second tranche closing, an aggregate of 14,604,895 shares of our Series A convertible preferred stock to six investors at a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$1.034 per share, for an aggregate purchase price of $15.1 million in cash. We claimed exemption from registration under the Securities Act for the sale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these securities by virtue of Section 4(a)(2) and/or Regulation D promulgated thereunder as transactions not involving any public offering.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purchasers of unregistered securities for which we relied on Section 4(a)(2) and/or Regulation D represented that they were accredited investors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We claimed such exemption on the basis that (a) the purchasers in each case represented that they intended to acquire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investment only and not with a view to the distribution thereof and that they either received adequate information about the registrant or had access,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through employment or other relationships, to such information and (b) appropriate legends were affixed to the stock certificates issued in such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Paid-in-Kind Dividends</w:t>
      </w:r>
    </w:p>
    <w:p>
      <w:pPr>
        <w:spacing w:after="0" w:line="9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August 16, 2012, we issued an aggregate of 1,193,088 shares of our Series A convertible preferred stock to holders of our Series A convertible preferred stock in accordance with Article IV.B.1.(a) of our Certificate of Incorporation that was filed with the Secretary of State of the State of Delaware on June 13, 2011. We claimed exemption from registration under the Securities Act for the sale and issuance of these securities by virtue of Section 4(a)(2) and/or Regulation D promulgated thereunder as transactions not involving any public offering.</w:t>
      </w:r>
    </w:p>
    <w:p>
      <w:pPr>
        <w:spacing w:after="0" w:line="3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December 14, 2012, we issued an aggregate of 499,447 shares of our Series A convertible preferred stock to holders of our Series A convertible preferred stock in accordance with Article IV.B.1.(a) of our Certificate of Incorporation that was filed with the Secretary of State of the State of Delaware on June 13, 2011. We claimed exemption from registration under the Securities Act for the sale and issuance of these securities by virtue of Section 4(a)(2) and/or Regulation D promulgated thereunder as transactions not involving any public offering.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 Financing</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December 18, 2012, we sold an aggregate of 27,081,680 shares of our Series B convertible preferred stock to 34 investors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$2.7694 per share, for an aggregate purchase price of approximately $75 million in cash. We claimed exemption from registration under the Securities Act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 and issuance of these securities by virtue of Section 4(a)(2) and/or Regulation D promulgated thereunder as transactions not involving any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All of the purchasers of unregistered securities for which we relied on Section 4(a)(2) and/or Regulation D represented that they were accredited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investors as defined under the Securities Act. We claimed such exemption on the basis that (a) the purchasers in each case represented that they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acquire the securities for investment only and not with a view to the distribution thereof and that they either received adequate information about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registrant or had access, through employment or other relationships, to such information and (b) appropriate legends were affixed to the stock certificates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in such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From November 17, 2011 through December 31, 2013, we granted stock options to employees under our 2011 Equity Incentive Plan, as amended, covering an aggregate of 3,218,659 shares of common stock, at a weighted-average average exercise price of $2.55 per share. Of these, options covering an aggregate of 262,134 shares were cancelled without being exercised and we sold an aggregate of 727,682 shares of common stock to employees for cash consideration in the aggregate amount of $0.3 million upon the exercise of stock options.</w:t>
      </w:r>
    </w:p>
    <w:p>
      <w:pPr>
        <w:spacing w:after="0" w:line="36"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We claimed exemption from registration under the Securities Act for these sales and issuances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 Purchases of Equity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3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8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selected statements of operations data for the years ended December 31, 2011, 2012 and 2013 and the selected balance sheet data as of December 31, 2011, 2012 and 2013 are derived from our audited financial statements included elsewhere in this Form 10-K. Our historical results are not necessarily indicative of the results that may be expected in the future and interim results are not necessarily indicative of results to be expected for the full year. You should read the selected historical financial data below in conjunction with the section titled “Management’s Discussion and Analysis of Financial Condition and Results of Operations” and the financial statements and related notes included elsewhere in this Annual Report on Form 10-K.</w:t>
      </w:r>
    </w:p>
    <w:p>
      <w:pPr>
        <w:spacing w:after="0" w:line="1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12,641</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5"/>
                <w:szCs w:val="15"/>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(7,466)</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(19,561)</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(50,289)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w w:val="92"/>
              </w:rPr>
              <w:t>Net loss per share attributable to common stockholders, basic</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(14.20)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Borders>
              <w:top w:val="single" w:sz="8" w:color="CFF0FC"/>
            </w:tcBorders>
            <w:shd w:val="clear" w:color="auto" w:fill="CFF0FC"/>
          </w:tcPr>
          <w:p>
            <w:pPr>
              <w:ind w:left="120"/>
              <w:spacing w:after="0" w:line="182" w:lineRule="exact"/>
              <w:rPr>
                <w:sz w:val="20"/>
                <w:szCs w:val="20"/>
                <w:color w:val="auto"/>
              </w:rPr>
            </w:pPr>
            <w:r>
              <w:rPr>
                <w:rFonts w:ascii="Arial" w:cs="Arial" w:eastAsia="Arial" w:hAnsi="Arial"/>
                <w:sz w:val="18"/>
                <w:szCs w:val="18"/>
                <w:color w:val="auto"/>
                <w:w w:val="99"/>
              </w:rPr>
              <w:t>Shares used to compute net loss per share attributable to</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common stockholders, basic and diluted</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1,617,384</w:t>
            </w: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1,377,207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3,382,489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right="420" w:hanging="5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Notes 2 and 15 to our audited financial statements of this report for an explanation of the calculations of basic and diluted net loss per share attributable to common stockholders.</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86,190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83,257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12,129</w:t>
            </w:r>
          </w:p>
        </w:tc>
        <w:tc>
          <w:tcPr>
            <w:tcW w:w="2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88,316</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18,604</w:t>
            </w:r>
          </w:p>
        </w:tc>
        <w:tc>
          <w:tcPr>
            <w:tcW w:w="2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111,387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(27,058)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(7,961)</w:t>
            </w:r>
          </w:p>
        </w:tc>
        <w:tc>
          <w:tcPr>
            <w:tcW w:w="2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(27,047)</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(74,821)</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of this annual report entitled “Selected Financial Data” and our financial statements and related notes included elsewhere in this annual report. This discussion and other parts of this annual report contain forward-looking statements that involve risk and uncertainties, such as statements of our plans, objectives, expectations, and intentions. In this annual report, words such as “may,” “will,” “expect,” “anticipate,” “estimate,” “intend,” and similar expressions (as well as other words or expressions referencing future events, conditions or circumstances) are intended to identify forward-looking statements.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a development-stage biopharmaceutical company focused on the identification, acquisition, development, and commercialization of novel products for the treatment of rare and ultra-rare diseases, with an initial focus on serious, debilitating metabolic genetic diseases. We focus on diseases for which the unmet medical need is high, the biology for treatment is clear, and for which there are no approved therapies. Since our inception in 2010, we have in-licensed potential treatments for five different diseases that are currently in or have completed Phase 1/2 or Phase 2 clinical studies. Our strategy, which is predicated upon time- and cost-efficient drug development, allows us to pursue multiple programs in parallel with the goal of delivering safe and effective therapies to patients with the utmost urgency.</w:t>
      </w:r>
    </w:p>
    <w:p>
      <w:pPr>
        <w:spacing w:after="0" w:line="45"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Our current pipeline consists of two product categories: biologics, including a monoclonal antibody and enzyme replacement therapies;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biologics pipeline includes the following three product candidates:</w:t>
      </w:r>
    </w:p>
    <w:p>
      <w:pPr>
        <w:spacing w:after="0" w:line="90" w:lineRule="exact"/>
        <w:rPr>
          <w:sz w:val="20"/>
          <w:szCs w:val="20"/>
          <w:color w:val="auto"/>
        </w:rPr>
      </w:pPr>
    </w:p>
    <w:p>
      <w:pPr>
        <w:ind w:left="900" w:hanging="365"/>
        <w:spacing w:after="0" w:line="268"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6"/>
          <w:szCs w:val="16"/>
          <w:color w:val="auto"/>
        </w:rPr>
        <w:t xml:space="preserve"> KRN23, or UX023, is an antibody targeting fibroblast growth factor 23, or FGF23, intended for the treatment of X-linked hypophosphatemia, or XLH, a rare genetic disease that impairs bone growth. We are developing KRN23 pursuant to our collaboration with Kyowa Hakko Kirin Co., Ltd., or KHK. KHK has completed one Phase 1 study, one Phase 1/2 study, and one Phase 1/2 extension study of KRN23 in adults with XLH. We plan to initiate a Phase 2 pediatric study in 2014. We also expect to continue the clinical development of KRN23 in adults with XLH.</w:t>
      </w:r>
    </w:p>
    <w:p>
      <w:pPr>
        <w:spacing w:after="0" w:line="33" w:lineRule="exact"/>
        <w:rPr>
          <w:sz w:val="20"/>
          <w:szCs w:val="20"/>
          <w:color w:val="auto"/>
        </w:rPr>
      </w:pPr>
    </w:p>
    <w:p>
      <w:pPr>
        <w:ind w:left="900" w:right="40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rhGUS, or UX003, is an enzyme replacement therapy we are developing for the treatment of mucopolysaccharidosis 7, or MPS 7, a rare lysosomal storage disease that often leads to multi-organ dysfunction, pervasive skeletal disease, and death. We initiated a Phase 1/2 clinical study in MPS 7 in December 2013.</w:t>
      </w:r>
    </w:p>
    <w:p>
      <w:pPr>
        <w:spacing w:after="0" w:line="55" w:lineRule="exact"/>
        <w:rPr>
          <w:sz w:val="20"/>
          <w:szCs w:val="20"/>
          <w:color w:val="auto"/>
        </w:rPr>
      </w:pPr>
    </w:p>
    <w:p>
      <w:pPr>
        <w:ind w:left="900" w:right="4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rhPPCA, or UX004, is an enzyme replacement therapy in preclinical development for galactosialidosis, a rare lysosomal storage disease that can cause multi-system clinical disease similar to MPS 7 including enlarged liver, joint disease, abnormal bone development, short stature, and death. We plan to continue preclinical development of rhPPCA during 2014.</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substrate replacement therapy pipeline includes the following product candidates in development for three diseases:</w:t>
      </w:r>
    </w:p>
    <w:p>
      <w:pPr>
        <w:spacing w:after="0" w:line="77" w:lineRule="exact"/>
        <w:rPr>
          <w:sz w:val="20"/>
          <w:szCs w:val="20"/>
          <w:color w:val="auto"/>
        </w:rPr>
      </w:pPr>
    </w:p>
    <w:p>
      <w:pPr>
        <w:ind w:left="900" w:right="180" w:hanging="365"/>
        <w:spacing w:after="0" w:line="238"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Triheptanoin, or UX007, is synthetic oil with a specifically designed chemical composition being studied in an international open-label Phase 2 study for the treatment of long-chain fatty acid oxidation disorders, or LC-FAOD. This is a set of rare metabolic diseases that prevent the conversion of fat into energy and can cause low blood sugar, muscle rupture, and heart and liver disease.</w:t>
      </w:r>
    </w:p>
    <w:p>
      <w:pPr>
        <w:spacing w:after="0" w:line="54" w:lineRule="exact"/>
        <w:rPr>
          <w:sz w:val="20"/>
          <w:szCs w:val="20"/>
          <w:color w:val="auto"/>
        </w:rPr>
      </w:pPr>
    </w:p>
    <w:p>
      <w:pPr>
        <w:ind w:left="900" w:right="40" w:hanging="365"/>
        <w:spacing w:after="0" w:line="227"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Triheptanoin is also in a Phase 2 study for the treatment of glucose transporter type-1 deficiency syndrome, or Glut1 DS, a rare metabolic disease of brain energy deficiency that is characterized by seizures, developmental delay, and movement disorder. In addition,</w:t>
      </w:r>
    </w:p>
    <w:p>
      <w:pPr>
        <w:spacing w:after="0" w:line="53" w:lineRule="exact"/>
        <w:rPr>
          <w:sz w:val="20"/>
          <w:szCs w:val="20"/>
          <w:color w:val="auto"/>
        </w:rPr>
      </w:pPr>
    </w:p>
    <w:p>
      <w:pPr>
        <w:jc w:val="both"/>
        <w:ind w:left="900" w:right="40" w:hanging="365"/>
        <w:spacing w:after="0" w:line="245"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SA-ER, or UX001, is an extended-release form of sialic acid in a Phase 2 extension study for the treatment of hereditary inclusion body myopathy, or HIBM, a neuromuscular disorder that causes muscle weakness and wasting. We reported 24-week data from our completed Phase 2 study in HIBM in July 2013 and reported top-line 48-week data in December 2013. We continue to treat the patients from the Phase 2 study in an extension study and anticipate that data from the extension study will be available in late 2014.</w:t>
      </w:r>
    </w:p>
    <w:p>
      <w:pPr>
        <w:spacing w:after="0" w:line="51"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We are considered a development-stage company under U.S. generally accepted accounting principles, or U.S. GAAP, and have only a limited operating history. To date, we have invested substantially all of our efforts and financial resources to identifying, acquiring, and developing our product candidates, including conducting clinical studies and providing general and administrative support for these operations. To date, we have funded our operations primarily from the sale of convertible preferred stock and equity securities.</w:t>
      </w:r>
    </w:p>
    <w:p>
      <w:pPr>
        <w:spacing w:after="0" w:line="38"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We have never been profitable and have incurred net losses in each year since inception. Our net losses were $6.8 million, $16.3 million and $35.1 million for the years ended December 31, 2011, 2012, and 2013. As of December 31, 2013 we had incurred cumulative net losses of $59.6 million. Substantially all of our net losses have resulted from costs incurred in connection with our research and development programs and from general and administrative costs associated with our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To date, we have not generated any revenue. We do not expect to receive any revenue from any product candidates that we develop until we obtain regulatory approval and commercialize our products or enter into collaborative agreements with third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94"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for the development of our product candidates, which include: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expenses incurred under agreements with clinical study sites that conduct research and development activities on our behalf;</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expenses incurred under license agreements with third parties;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employee and consultant-related expenses, which include salaries, benefits, travel, and stock-based compensation;</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laboratory and vendor expenses related to the execution of preclinical, non-clinical, and clinical studies;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of acquiring, developing, and manufacturing clinical study materials; and</w:t>
      </w:r>
    </w:p>
    <w:p>
      <w:pPr>
        <w:ind w:left="900" w:right="36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facilities, depreciation, and other expenses, which include direct and allocated expenses for rent and maintenance of facilities, insurance, and other supply costs.</w:t>
      </w:r>
    </w:p>
    <w:p>
      <w:pPr>
        <w:spacing w:after="0" w:line="5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clinical sites. Nonrefundable advance payments for goods or services to be received in future periods for use in research and development activities are deferred and capitalized. The capitalized amounts are then expensed as the related goods are delivered and the services are performed.</w:t>
      </w:r>
    </w:p>
    <w:p>
      <w:pPr>
        <w:spacing w:after="0" w:line="23"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largest component of our total operating expenses has historically been our investment in research and development activities, including the clinical development of our product candidates. We allocate research and development salaries, benefits, stock-based compensation, and indirect costs to our product candidates on a program-specific basis, and we include these costs in the program-specific expenses. We expect our research and development expenses will increase in absolute dollars in future periods as we continue to invest in research and development activities related to developing our product candidates, and as programs advance into later stages of development and we enter into larger clinical studies. The process of conducting the necessary clinical research to obtain FDA approval is costly and time consuming and the successful development of our product candidates is highly uncertain. As a result, we are unable to determine the duration and completion costs of our research and development projects or when and to what extent, if any, we will generate revenue from the commercialization and sale of any of our product candidates.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7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General and administrative expenses consist primarily of personnel costs, allocated facilities costs, and other expenses for outside professional services, including legal, human resources, audit, and accounting services. Personnel costs consist of salaries, benefits, and stock-based compensation. We expect that our general and administrative expenses will increase in the future to support continued research and development activities, preparation for potential commercialization of our product candidates, and as a result of operating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administration and professional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short-term investments.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Interest expense consists of interest on outstanding borrowings under convertible promissory notes. We had no outstanding debt as of December 31, 2011 and thereafter as our convertible promissory notes and related accrued interest were converted into shares of Series A convertible preferred stock in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7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Other expense primarily consists of gains and losses resulting from the remeasurement of our convertible preferred stock warrant liability. We have continued to record adjustments to the estimated fair value of the convertible preferred stock warrants until their conversion into warrants to purchase shares of our common stock at the completion of our initial public offering. At that time, we reclassified the convertible preferred stock warrant liability as additional paid-in capital, and we will no longer record any related periodic fair value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98" w:right="259" w:bottom="1440" w:gutter="0" w:footer="0" w:header="0"/>
        </w:sectPr>
      </w:pPr>
    </w:p>
    <w:bookmarkStart w:id="56" w:name="page57"/>
    <w:bookmarkEnd w:id="56"/>
    <w:p>
      <w:pPr>
        <w:ind w:right="320"/>
        <w:spacing w:after="0" w:line="297" w:lineRule="auto"/>
        <w:rPr>
          <w:sz w:val="20"/>
          <w:szCs w:val="20"/>
          <w:color w:val="auto"/>
        </w:rPr>
      </w:pPr>
      <w:r>
        <w:rPr>
          <w:rFonts w:ascii="Arial" w:cs="Arial" w:eastAsia="Arial" w:hAnsi="Arial"/>
          <w:sz w:val="16"/>
          <w:szCs w:val="16"/>
          <w:color w:val="auto"/>
        </w:rPr>
        <w:t>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7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is related to accrued research and development expenses. This process involves reviewing contracts and purchase orders, identifying services that have been performed on our behalf, and estimating the level of service performed and the associated cost incurred for the service when we have not yet been invoiced or otherwise notified of the actual costs.</w:t>
      </w:r>
    </w:p>
    <w:p>
      <w:pPr>
        <w:spacing w:after="0" w:line="3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record accruals for estimated costs of research, preclinical and clinical studies, and manufacturing development. These costs are a significant component of our research and development expenses. A substantial portion of our ongoing research and development activities is conducted by third-party service providers. We accrue the costs incurred under our agreements with these third parties based on actual work completed in accordance with agreements established with these third parties. We determine the actual costs through discussions with internal personnel and external service providers as to the progress or stage of completion of the services and the agreed-upon fee to be paid for such services. We make significant judgments and estimates in determining the accrual balance in each reporting period.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Our accrual is dependent, in part, upon the receipt of timely and accurate reporting from clinical research organizations and other third-party vendors. To date, there have been no material differences from our accrued estimated expenses to the actual clinical trial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Fair Value of Convertible Preferred Stock Warrant Liability</w:t>
      </w:r>
    </w:p>
    <w:p>
      <w:pPr>
        <w:spacing w:after="0" w:line="7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Warrants for the purchase of Series A convertible preferred stock that are contingently redeemable are classified as liabilities on the balance sheet at their estimated fair value. At the end of each reporting period, changes in estimated fair value during the period are recorded in other expense, net. We have continued to adjust the carrying value of the warrants until the completion of our initial public offering, at which time the liabilities were reclassified to additional paid-in capital.</w:t>
      </w:r>
    </w:p>
    <w:p>
      <w:pPr>
        <w:spacing w:after="0" w:line="3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estimated the fair values of our convertible preferred stock warrants using an option-pricing model based on inputs as of the valuation measurement dates, including our estimated equity value at the valuation measurement dates, the estimated volatility of the price of our convertible preferred stock, the remaining contractual terms of the warrants, and the risk-free interest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Stock-based compensation costs related to stock options granted to employees are measured at the date of grant based on the estimated fair value of the award, net of estimated forfeitures. We estimate the grant date fair value, and the resulting stock-based compensation expense, using the Black-Scholes option-pricing model. The grant date fair value of the stock-based awards is recognized on a straight-line basis over the requisite service period, which is generally the vesting period of the respective awards. We expect to continue to grant stock options in the future, and to the extent that we do, our actual stock-based compensation will likely increase. The Black-Scholes option-pricing model requires the use of highly subjective assumptions which determine the estimated fair value of stock-based awards. These assumptions include:</w:t>
      </w:r>
    </w:p>
    <w:p>
      <w:pPr>
        <w:spacing w:after="0" w:line="30" w:lineRule="exact"/>
        <w:rPr>
          <w:sz w:val="20"/>
          <w:szCs w:val="20"/>
          <w:color w:val="auto"/>
        </w:rPr>
      </w:pPr>
    </w:p>
    <w:p>
      <w:pPr>
        <w:ind w:left="900" w:right="6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Expected term </w:t>
      </w:r>
      <w:r>
        <w:rPr>
          <w:rFonts w:ascii="Arial" w:cs="Arial" w:eastAsia="Arial" w:hAnsi="Arial"/>
          <w:sz w:val="18"/>
          <w:szCs w:val="18"/>
          <w:color w:val="auto"/>
        </w:rPr>
        <w:t>— 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w:t>
      </w:r>
    </w:p>
    <w:p>
      <w:pPr>
        <w:spacing w:after="0" w:line="54" w:lineRule="exact"/>
        <w:rPr>
          <w:sz w:val="20"/>
          <w:szCs w:val="20"/>
          <w:color w:val="auto"/>
        </w:rPr>
      </w:pPr>
    </w:p>
    <w:p>
      <w:pPr>
        <w:ind w:left="900" w:right="220" w:hanging="365"/>
        <w:spacing w:after="0" w:line="256"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Expected volatility </w:t>
      </w:r>
      <w:r>
        <w:rPr>
          <w:rFonts w:ascii="Arial" w:cs="Arial" w:eastAsia="Arial" w:hAnsi="Arial"/>
          <w:sz w:val="17"/>
          <w:szCs w:val="17"/>
          <w:color w:val="auto"/>
        </w:rPr>
        <w:t>— Prior to our IPO we were privately held and did not have any trading history for our common stock; accordingly,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volatility was estimated based on the average volatility for comparable publicly traded biopharmaceutical companies over a period equal to the expected term of the stock option grants. When selecting comparable publicly traded biopharmaceutical companies on which we based our expected stock price volatility, we selected companies with comparable characteristics to us,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We will continue to apply this process until a sufficient amount of historical information regarding the volatility of our own stock price becomes available.</w:t>
      </w:r>
    </w:p>
    <w:p>
      <w:pPr>
        <w:spacing w:after="0" w:line="42" w:lineRule="exact"/>
        <w:rPr>
          <w:sz w:val="20"/>
          <w:szCs w:val="20"/>
          <w:color w:val="auto"/>
        </w:rPr>
      </w:pPr>
    </w:p>
    <w:p>
      <w:pPr>
        <w:ind w:left="900" w:right="44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Risk-free interest rate </w:t>
      </w:r>
      <w:r>
        <w:rPr>
          <w:rFonts w:ascii="Arial" w:cs="Arial" w:eastAsia="Arial" w:hAnsi="Arial"/>
          <w:sz w:val="18"/>
          <w:szCs w:val="18"/>
          <w:color w:val="auto"/>
        </w:rPr>
        <w:t>— 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36" w:right="239" w:bottom="1440" w:gutter="0" w:footer="0" w:header="0"/>
        </w:sectPr>
      </w:pPr>
    </w:p>
    <w:bookmarkStart w:id="57" w:name="page58"/>
    <w:bookmarkEnd w:id="57"/>
    <w:p>
      <w:pPr>
        <w:ind w:left="900" w:right="14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Expected dividend </w:t>
      </w:r>
      <w:r>
        <w:rPr>
          <w:rFonts w:ascii="Arial" w:cs="Arial" w:eastAsia="Arial" w:hAnsi="Arial"/>
          <w:sz w:val="18"/>
          <w:szCs w:val="18"/>
          <w:color w:val="auto"/>
        </w:rPr>
        <w:t>— We have never paid dividends on our common stock and have no plans to pay dividends on our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41" w:lineRule="exact"/>
        <w:rPr>
          <w:sz w:val="20"/>
          <w:szCs w:val="20"/>
          <w:color w:val="auto"/>
        </w:rPr>
      </w:pPr>
    </w:p>
    <w:p>
      <w:pPr>
        <w:jc w:val="both"/>
        <w:ind w:right="380" w:firstLine="518"/>
        <w:spacing w:after="0" w:line="235" w:lineRule="auto"/>
        <w:rPr>
          <w:sz w:val="20"/>
          <w:szCs w:val="20"/>
          <w:color w:val="auto"/>
        </w:rPr>
      </w:pPr>
      <w:r>
        <w:rPr>
          <w:rFonts w:ascii="Arial" w:cs="Arial" w:eastAsia="Arial" w:hAnsi="Arial"/>
          <w:sz w:val="18"/>
          <w:szCs w:val="18"/>
          <w:color w:val="auto"/>
        </w:rPr>
        <w:t>In addition to the assumptions used in the Black-Scholes option-pricing model, we must also estimate a forfeiture rate to calculate the stock-based compensation for our awards. We will continue to use judgment in evaluating the expected volatility, expected terms, and forfeiture rates utilized for our stock-based compensation calculations on a prospective basis.</w:t>
      </w:r>
    </w:p>
    <w:p>
      <w:pPr>
        <w:spacing w:after="0" w:line="40" w:lineRule="exact"/>
        <w:rPr>
          <w:sz w:val="20"/>
          <w:szCs w:val="20"/>
          <w:color w:val="auto"/>
        </w:rPr>
      </w:pPr>
    </w:p>
    <w:p>
      <w:pPr>
        <w:ind w:right="340" w:firstLine="518"/>
        <w:spacing w:after="0" w:line="235" w:lineRule="auto"/>
        <w:rPr>
          <w:sz w:val="20"/>
          <w:szCs w:val="20"/>
          <w:color w:val="auto"/>
        </w:rPr>
      </w:pPr>
      <w:r>
        <w:rPr>
          <w:rFonts w:ascii="Arial" w:cs="Arial" w:eastAsia="Arial" w:hAnsi="Arial"/>
          <w:sz w:val="18"/>
          <w:szCs w:val="18"/>
          <w:color w:val="auto"/>
        </w:rPr>
        <w:t>For the years ended December 31, 2011, 2012, and 2013 stock-based compensation expense was $0.3 million, $0.9 million and $0.7 million, respectively. As of December 31, 2013, we had $4.8 million of total unrecognized stock-based compensation costs, net of estimated forfeitures, which we expect to recognize over a weighted-average period of 2.7 years.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Fair Value of Common Stock</w:t>
      </w:r>
    </w:p>
    <w:p>
      <w:pPr>
        <w:spacing w:after="0" w:line="50" w:lineRule="exact"/>
        <w:rPr>
          <w:sz w:val="20"/>
          <w:szCs w:val="20"/>
          <w:color w:val="auto"/>
        </w:rPr>
      </w:pPr>
    </w:p>
    <w:p>
      <w:pPr>
        <w:ind w:right="160" w:firstLine="518"/>
        <w:spacing w:after="0" w:line="227" w:lineRule="auto"/>
        <w:rPr>
          <w:sz w:val="20"/>
          <w:szCs w:val="20"/>
          <w:color w:val="auto"/>
        </w:rPr>
      </w:pPr>
      <w:r>
        <w:rPr>
          <w:rFonts w:ascii="Arial" w:cs="Arial" w:eastAsia="Arial" w:hAnsi="Arial"/>
          <w:sz w:val="18"/>
          <w:szCs w:val="18"/>
          <w:color w:val="auto"/>
        </w:rPr>
        <w:t xml:space="preserve">We are required to estimate the fair value of the common stock underlying our stock-based awards when performing the fair value calculations with the Black-Scholes option-pricing model. Prior to our IPO, the estimated fair value of the common stock underlying our stock-based awards was determined on each grant date by our board of directors, with input from management. Given the absence of a public trading market of our common stock, and in accordance with the American Institute of Certified Public Accountants, or AICPA, Practice Guide,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our board of directors exercised reasonable judgment and considered numerous objective and subjective factors to estimate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common stock.</w:t>
      </w:r>
    </w:p>
    <w:p>
      <w:pPr>
        <w:spacing w:after="0" w:line="41" w:lineRule="exact"/>
        <w:rPr>
          <w:sz w:val="20"/>
          <w:szCs w:val="20"/>
          <w:color w:val="auto"/>
        </w:rPr>
      </w:pPr>
    </w:p>
    <w:p>
      <w:pPr>
        <w:ind w:firstLine="518"/>
        <w:spacing w:after="0" w:line="258" w:lineRule="auto"/>
        <w:rPr>
          <w:sz w:val="20"/>
          <w:szCs w:val="20"/>
          <w:color w:val="auto"/>
        </w:rPr>
      </w:pPr>
      <w:r>
        <w:rPr>
          <w:rFonts w:ascii="Arial" w:cs="Arial" w:eastAsia="Arial" w:hAnsi="Arial"/>
          <w:sz w:val="16"/>
          <w:szCs w:val="16"/>
          <w:color w:val="auto"/>
        </w:rPr>
        <w:t>All options to purchase shares of our common stock have been granted with an exercise price per share equal to the fair value per share of our common stock underlying those options on the date of grant. To assist our board of directors with the determination of the exercise price of our stock options and the fair value of the common stock underlying the options, we obtained third-party valuations of our common stock as of June 30, 2012, December 31, 2012, June 30, 2013, September 30, 2013, and November 30, 2013. Our board of directors considered the fair values of the common stock derived in the third-party valuations as one of the factors it considered when setting the exercise prices for options granted. Our board of directors also considered a range of objective and subjective factors and assumptions in estimating the fair value of our common stock on the date of grant, including:</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progress of our research and development efforts;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our operating results and financial condition, including our levels of available capital resources;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rights and preferences of our common stock compared to the rights and preferences of our other outstanding equity securities;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our stage of development and material risks related to our business;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the achievement of enterprise milestones, including entering into collaboration or license agreements and our progress in clinical trials;</w:t>
      </w:r>
    </w:p>
    <w:p>
      <w:pPr>
        <w:spacing w:after="0" w:line="72" w:lineRule="exact"/>
        <w:rPr>
          <w:sz w:val="20"/>
          <w:szCs w:val="20"/>
          <w:color w:val="auto"/>
        </w:rPr>
      </w:pPr>
    </w:p>
    <w:p>
      <w:pPr>
        <w:ind w:left="900" w:right="100" w:hanging="365"/>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8"/>
          <w:szCs w:val="18"/>
          <w:color w:val="auto"/>
        </w:rPr>
        <w:t>the valuation of publicly-traded companies in the life sciences and biotechnology sectors, as well as recently completed mergers and acquisitions of peer companies;</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equity market conditions affecting comparable public companies;</w:t>
      </w:r>
    </w:p>
    <w:p>
      <w:pPr>
        <w:spacing w:after="0" w:line="72" w:lineRule="exact"/>
        <w:rPr>
          <w:sz w:val="20"/>
          <w:szCs w:val="20"/>
          <w:color w:val="auto"/>
        </w:rPr>
      </w:pPr>
    </w:p>
    <w:p>
      <w:pPr>
        <w:ind w:left="900" w:right="600" w:hanging="365"/>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8"/>
          <w:szCs w:val="18"/>
          <w:color w:val="auto"/>
        </w:rPr>
        <w:t>the likelihood of achieving a liquidity event for the shares of common stock, such as an initial public offering given prevailing market and biotechnology sector conditions; and</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that the grants involved illiquid securities in a private company.</w:t>
      </w:r>
    </w:p>
    <w:p>
      <w:pPr>
        <w:spacing w:after="0" w:line="235" w:lineRule="exact"/>
        <w:rPr>
          <w:sz w:val="20"/>
          <w:szCs w:val="20"/>
          <w:color w:val="auto"/>
        </w:rPr>
      </w:pPr>
    </w:p>
    <w:p>
      <w:pPr>
        <w:ind w:right="80" w:firstLine="517"/>
        <w:spacing w:after="0" w:line="235" w:lineRule="auto"/>
        <w:rPr>
          <w:sz w:val="20"/>
          <w:szCs w:val="20"/>
          <w:color w:val="auto"/>
        </w:rPr>
      </w:pPr>
      <w:r>
        <w:rPr>
          <w:rFonts w:ascii="Arial" w:cs="Arial" w:eastAsia="Arial" w:hAnsi="Arial"/>
          <w:sz w:val="18"/>
          <w:szCs w:val="18"/>
          <w:color w:val="auto"/>
        </w:rPr>
        <w:t>The fair value of the underlying common stock was determined by the board of directors until the IPO when our common stock started trading on The NASDAQ Global Select Market under the ticker symbol RARE on January 31, 2014. Consequently, after our IPO the fair value of the shares of common stock underlying the stock options is the closing price on the option grant date.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Contemporaneous Valuations</w:t>
      </w:r>
    </w:p>
    <w:p>
      <w:pPr>
        <w:spacing w:after="0" w:line="63" w:lineRule="exact"/>
        <w:rPr>
          <w:sz w:val="20"/>
          <w:szCs w:val="20"/>
          <w:color w:val="auto"/>
        </w:rPr>
      </w:pPr>
    </w:p>
    <w:p>
      <w:pPr>
        <w:ind w:right="940" w:firstLine="518"/>
        <w:spacing w:after="0" w:line="273" w:lineRule="auto"/>
        <w:rPr>
          <w:sz w:val="20"/>
          <w:szCs w:val="20"/>
          <w:color w:val="auto"/>
        </w:rPr>
      </w:pPr>
      <w:r>
        <w:rPr>
          <w:rFonts w:ascii="Arial" w:cs="Arial" w:eastAsia="Arial" w:hAnsi="Arial"/>
          <w:sz w:val="17"/>
          <w:szCs w:val="17"/>
          <w:color w:val="auto"/>
        </w:rPr>
        <w:t>We obtained third-party valuations of our common stock as of June 30, 2012, December 31, 2012, June 30, 2013, September 30, 2013 and November 30, 2013 to assist our board of directors in estimating the fair value of our common stock at subsequent grant dates.</w:t>
      </w:r>
    </w:p>
    <w:p>
      <w:pPr>
        <w:spacing w:after="0" w:line="1" w:lineRule="exact"/>
        <w:rPr>
          <w:sz w:val="20"/>
          <w:szCs w:val="20"/>
          <w:color w:val="auto"/>
        </w:rPr>
      </w:pPr>
    </w:p>
    <w:p>
      <w:pPr>
        <w:ind w:firstLine="518"/>
        <w:spacing w:after="0" w:line="224" w:lineRule="auto"/>
        <w:rPr>
          <w:sz w:val="20"/>
          <w:szCs w:val="20"/>
          <w:color w:val="auto"/>
        </w:rPr>
      </w:pPr>
      <w:r>
        <w:rPr>
          <w:rFonts w:ascii="Arial" w:cs="Arial" w:eastAsia="Arial" w:hAnsi="Arial"/>
          <w:sz w:val="18"/>
          <w:szCs w:val="18"/>
          <w:i w:val="1"/>
          <w:iCs w:val="1"/>
          <w:color w:val="auto"/>
        </w:rPr>
        <w:t xml:space="preserve">June 2012 and December 2012 Contemporaneous Valuations. </w:t>
      </w:r>
      <w:r>
        <w:rPr>
          <w:rFonts w:ascii="Arial" w:cs="Arial" w:eastAsia="Arial" w:hAnsi="Arial"/>
          <w:sz w:val="18"/>
          <w:szCs w:val="18"/>
          <w:color w:val="auto"/>
        </w:rPr>
        <w:t>The June 2012 and December 2012 valuations used the Back-Solve Method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option-pricing method, or OPM, which derives the implied equity value for one type of equity security from a contemporaneous transaction involving another equity security. The June 2012 valuation, which was completed in July 2012, was based on the price of Series A convertible preferred stock that we sold to investors in July 2012. The December 2012 valuation was based on the price of Series B convertible preferred stock that we sold in December 2012. In both valuations, the contemporaneous transaction occurred in close proximity and involved third-party investors. Given the arm’s-length nature of these financings, the close proximity of the Series A and Series B convertible preferred stock financings to the respective valuation dates, and the fair value hierarchy as described in FASB Accounting Standards Codification Topic 820, </w:t>
      </w:r>
      <w:r>
        <w:rPr>
          <w:rFonts w:ascii="Arial" w:cs="Arial" w:eastAsia="Arial" w:hAnsi="Arial"/>
          <w:sz w:val="18"/>
          <w:szCs w:val="18"/>
          <w:i w:val="1"/>
          <w:iCs w:val="1"/>
          <w:color w:val="auto"/>
        </w:rPr>
        <w:t>Fair Value</w:t>
      </w:r>
      <w:r>
        <w:rPr>
          <w:rFonts w:ascii="Arial" w:cs="Arial" w:eastAsia="Arial" w:hAnsi="Arial"/>
          <w:sz w:val="18"/>
          <w:szCs w:val="18"/>
          <w:color w:val="auto"/>
        </w:rPr>
        <w:t>, we believe the per share issuance prices of the Series A and Series B convertible preferred stock provide an indication of our equity value, as well as the fair value of common stock, as of June 30, 2012 and December 31, 2012,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36" w:right="239" w:bottom="1440" w:gutter="0" w:footer="0" w:header="0"/>
        </w:sectPr>
      </w:pPr>
    </w:p>
    <w:bookmarkStart w:id="58" w:name="page59"/>
    <w:bookmarkEnd w:id="58"/>
    <w:p>
      <w:pPr>
        <w:ind w:firstLine="518"/>
        <w:spacing w:after="0" w:line="271" w:lineRule="auto"/>
        <w:rPr>
          <w:sz w:val="20"/>
          <w:szCs w:val="20"/>
          <w:color w:val="auto"/>
        </w:rPr>
      </w:pPr>
      <w:r>
        <w:rPr>
          <w:rFonts w:ascii="Arial" w:cs="Arial" w:eastAsia="Arial" w:hAnsi="Arial"/>
          <w:sz w:val="17"/>
          <w:szCs w:val="17"/>
          <w:color w:val="auto"/>
        </w:rPr>
        <w:t>The OPM treats common stock and preferred stock as call options on the total equity value of a company, with exercise prices based on the liquidation preference of the preferred stock. Under this method,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The OPM uses the Black-Scholes option-pricing model to price the call option. This model defines the securities’ fair values as functions of the current fair value of a company and uses assumptions such as the anticipated timing of a potential liquidity event and the estimated volatility of the equity securities.</w:t>
      </w:r>
    </w:p>
    <w:p>
      <w:pPr>
        <w:spacing w:after="0" w:line="4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 purposes of the June 2012 valuation, we estimated the time to liquidity as 1.5 years based on then-current plans and estimates of our board of directors and management regarding a liquidity event. The volatility assumption was based on an analysis of guideline companies’ historical equity volatility factors for a period of 1.5 years, which is the term assumption. Based on this analysis of the guideline companies, a volatility assumption of 67% was selected and utilized. The risk-free rate was estimated as the interpolated 1.5 year U.S. Treasury yield. A discount for lack of marketability of 31% was then applied to the value indicated in our common stock. Based on these factors, the third party valuation concluded that our common stock had an estimated fair value of $0.81 per share as of June 30, 2012.</w:t>
      </w:r>
    </w:p>
    <w:p>
      <w:pPr>
        <w:spacing w:after="0" w:line="4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For purposes of the December 2012 valuation, we estimated the time to liquidity as 2.0 years based on then-current plans and estimates of our board of directors and management regarding a liquidity event. The time to liquidity increased from 1.5 years from June 2012 to 2.0 years in December 2012 due to the completion of the Series B convertible preferred stock financing in December 2012, which provided us with the funds to be able to have a liquidity event at a later date. The volatility assumption was based on an analysis of guideline companies’ historical equity volatility factors for a period of 2.0 years, which is the term assumption. Based on this analysis of the guideline companies, a volatility assumption of 75% was selected and utilized. The risk-free rate was estimated as the interpolated 2.0 year U.S. Treasury yield. A discount for lack of marketability of 40% was then applied to the value indicated in our common stock. Based on these factors, the third-party valuation concluded that our common stock had an estimated fair value of $1.82 per share as of December 31, 2012.</w:t>
      </w:r>
    </w:p>
    <w:p>
      <w:pPr>
        <w:spacing w:after="0" w:line="30" w:lineRule="exact"/>
        <w:rPr>
          <w:sz w:val="20"/>
          <w:szCs w:val="20"/>
          <w:color w:val="auto"/>
        </w:rPr>
      </w:pPr>
    </w:p>
    <w:p>
      <w:pPr>
        <w:ind w:right="40" w:firstLine="518"/>
        <w:spacing w:after="0" w:line="239" w:lineRule="auto"/>
        <w:rPr>
          <w:sz w:val="20"/>
          <w:szCs w:val="20"/>
          <w:color w:val="auto"/>
        </w:rPr>
      </w:pPr>
      <w:r>
        <w:rPr>
          <w:rFonts w:ascii="Arial" w:cs="Arial" w:eastAsia="Arial" w:hAnsi="Arial"/>
          <w:sz w:val="17"/>
          <w:szCs w:val="17"/>
          <w:i w:val="1"/>
          <w:iCs w:val="1"/>
          <w:color w:val="auto"/>
        </w:rPr>
        <w:t xml:space="preserve">June 2013 Contemporaneous Valuation. </w:t>
      </w:r>
      <w:r>
        <w:rPr>
          <w:rFonts w:ascii="Arial" w:cs="Arial" w:eastAsia="Arial" w:hAnsi="Arial"/>
          <w:sz w:val="17"/>
          <w:szCs w:val="17"/>
          <w:color w:val="auto"/>
        </w:rPr>
        <w:t>For purposes of the June 2013 valuation, a hybrid method was used to determine our equity value, which is a</w:t>
      </w:r>
      <w:r>
        <w:rPr>
          <w:rFonts w:ascii="Arial" w:cs="Arial" w:eastAsia="Arial" w:hAnsi="Arial"/>
          <w:sz w:val="17"/>
          <w:szCs w:val="17"/>
          <w:i w:val="1"/>
          <w:iCs w:val="1"/>
          <w:color w:val="auto"/>
        </w:rPr>
        <w:t xml:space="preserve"> </w:t>
      </w:r>
      <w:r>
        <w:rPr>
          <w:rFonts w:ascii="Arial" w:cs="Arial" w:eastAsia="Arial" w:hAnsi="Arial"/>
          <w:sz w:val="17"/>
          <w:szCs w:val="17"/>
          <w:color w:val="auto"/>
        </w:rPr>
        <w:t>hybrid between the probability-weighted return methodology, or PWERM, and the OPM. The PWERM is a scenario-based analysis that estimates the value per share based on the probability-weighted present value of expected future investment returns, considering each of the possible outcomes available to us, as well as the economic and control rights of each share class. In the hybrid method, the OPM is used to estimate the allocation of value within one or more of PWERM scenarios. The hybrid method can be a useful alternative to explicitly modeling all PWERM scenarios in situations when the company has transparency into one or more near-term exits but is unsure about what will occur if the current plans fall through. The hybrid model was selected at this time for the reasons described below relating to our plans for a potential IPO.</w:t>
      </w:r>
    </w:p>
    <w:p>
      <w:pPr>
        <w:spacing w:after="0" w:line="42" w:lineRule="exact"/>
        <w:rPr>
          <w:sz w:val="20"/>
          <w:szCs w:val="20"/>
          <w:color w:val="auto"/>
        </w:rPr>
      </w:pPr>
    </w:p>
    <w:p>
      <w:pPr>
        <w:ind w:right="20" w:firstLine="518"/>
        <w:spacing w:after="0" w:line="254" w:lineRule="auto"/>
        <w:rPr>
          <w:sz w:val="20"/>
          <w:szCs w:val="20"/>
          <w:color w:val="auto"/>
        </w:rPr>
      </w:pPr>
      <w:r>
        <w:rPr>
          <w:rFonts w:ascii="Arial" w:cs="Arial" w:eastAsia="Arial" w:hAnsi="Arial"/>
          <w:sz w:val="16"/>
          <w:szCs w:val="16"/>
          <w:color w:val="auto"/>
        </w:rPr>
        <w:t>The OPM was used to allocate the equity value to the various securities under two scenarios. The first scenario assumed we would complete an IPO within 12 months and the second scenario assumed we would remain private beyond 12 months with a potential sale or merger in 2.0 years. The estimated time to liquidity was 1.0 year and 2.0 years based on timing of a liquidity event in the two scenarios. Based on an analysis of the guideline companies, a volatility assumption of 75% was selected and utilized for both scenarios. The risk-free rate was estimated based on the applicable U.S. Treasury yield. A discount for lack of marketability of 20% and 35% was applied to the value indicated in our common stock under the first scenario and the second scenario, respectively. As of June 30, 2013 our board of directors had not authorized our management to begin preparations for a potential IPO. The board made this decision in late July, and that is when we initiated our preparation process. The increased probability of an IPO was retroactively taken into consideration in the June 30, 2013 valuation, which is a critical factor contributing to the increase in the fair value of our common stock as of that date. Based on these factors, the third-party valuation concluded that our common stock had an estimated fair value of $4.07 per share as of June 30, 2013.</w:t>
      </w:r>
    </w:p>
    <w:p>
      <w:pPr>
        <w:spacing w:after="0" w:line="17" w:lineRule="exact"/>
        <w:rPr>
          <w:sz w:val="20"/>
          <w:szCs w:val="20"/>
          <w:color w:val="auto"/>
        </w:rPr>
      </w:pPr>
    </w:p>
    <w:p>
      <w:pPr>
        <w:ind w:right="20" w:firstLine="518"/>
        <w:spacing w:after="0" w:line="246" w:lineRule="auto"/>
        <w:rPr>
          <w:sz w:val="20"/>
          <w:szCs w:val="20"/>
          <w:color w:val="auto"/>
        </w:rPr>
      </w:pPr>
      <w:r>
        <w:rPr>
          <w:rFonts w:ascii="Arial" w:cs="Arial" w:eastAsia="Arial" w:hAnsi="Arial"/>
          <w:sz w:val="18"/>
          <w:szCs w:val="18"/>
          <w:i w:val="1"/>
          <w:iCs w:val="1"/>
          <w:color w:val="auto"/>
        </w:rPr>
        <w:t>September 2013 Contemporaneous Valuation</w:t>
      </w:r>
      <w:r>
        <w:rPr>
          <w:rFonts w:ascii="Arial" w:cs="Arial" w:eastAsia="Arial" w:hAnsi="Arial"/>
          <w:sz w:val="18"/>
          <w:szCs w:val="18"/>
          <w:color w:val="auto"/>
        </w:rPr>
        <w:t>. For purposes of the September 2013 valuation, a hybrid method was used to determine our equity value,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consistent with the method used in the June 2013 valuation.</w:t>
      </w:r>
    </w:p>
    <w:p>
      <w:pPr>
        <w:spacing w:after="0" w:line="21" w:lineRule="exact"/>
        <w:rPr>
          <w:sz w:val="20"/>
          <w:szCs w:val="20"/>
          <w:color w:val="auto"/>
        </w:rPr>
      </w:pPr>
    </w:p>
    <w:p>
      <w:pPr>
        <w:ind w:right="40" w:firstLine="518"/>
        <w:spacing w:after="0" w:line="252" w:lineRule="auto"/>
        <w:rPr>
          <w:sz w:val="20"/>
          <w:szCs w:val="20"/>
          <w:color w:val="auto"/>
        </w:rPr>
      </w:pPr>
      <w:r>
        <w:rPr>
          <w:rFonts w:ascii="Arial" w:cs="Arial" w:eastAsia="Arial" w:hAnsi="Arial"/>
          <w:sz w:val="16"/>
          <w:szCs w:val="16"/>
          <w:color w:val="auto"/>
        </w:rPr>
        <w:t>The OPM was used to allocate the equity value to the various securities under two scenarios. The first scenario assumed we would complete an IPO within six months and the second scenario assumed we would remain private beyond 12 months with a potential sale or merger in 1.5 years. We estimated a probability of 60% for the first scenario and 40% for the second scenario compared to a 50% weighting for each in the June 2013 valuation. The increase in the probability of an IPO was because, at the July 2013 meeting of our board of directors, preparations for a potential IPO were authorized, we subsequently selected a banking syndicate, and on September 6, 2013 an organizational meeting was held in order to begin the IPO process. The estimated time to liquidity was six months and 1.5 years based on timing of a liquidity event in the two scenarios. Based on an analysis of the guideline companies, a volatility assumption of 75% was selected and utilized for both scenarios. The risk-free rate was estimated based on the applicable U.S. Treasury yield. A discount for lack of marketability of 10% and 30% was applied to the value indicated in our common stock under the first scenario and the second scenario, respectively. In addition, in July 2013, we announced that we would initiate development of triheptanoin for a new indication, Glut1 DS, which was incorporated into the valuation. In August 2013, we entered into a collaboration agreement with KHK, which was also incorporated into the valuation. Based on these factors, the third-party valuation concluded that our common stock had an estimated fair value of $6.86 per share as of September 30, 2013.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36" w:right="259" w:bottom="1440" w:gutter="0" w:footer="0" w:header="0"/>
        </w:sectPr>
      </w:pPr>
    </w:p>
    <w:bookmarkStart w:id="59" w:name="page60"/>
    <w:bookmarkEnd w:id="59"/>
    <w:p>
      <w:pPr>
        <w:ind w:right="40" w:firstLine="518"/>
        <w:spacing w:after="0" w:line="277" w:lineRule="auto"/>
        <w:rPr>
          <w:sz w:val="20"/>
          <w:szCs w:val="20"/>
          <w:color w:val="auto"/>
        </w:rPr>
      </w:pPr>
      <w:r>
        <w:rPr>
          <w:rFonts w:ascii="Arial" w:cs="Arial" w:eastAsia="Arial" w:hAnsi="Arial"/>
          <w:sz w:val="18"/>
          <w:szCs w:val="18"/>
          <w:i w:val="1"/>
          <w:iCs w:val="1"/>
          <w:color w:val="auto"/>
        </w:rPr>
        <w:t xml:space="preserve">November 2013 Contemporaneous Valuation. </w:t>
      </w:r>
      <w:r>
        <w:rPr>
          <w:rFonts w:ascii="Arial" w:cs="Arial" w:eastAsia="Arial" w:hAnsi="Arial"/>
          <w:sz w:val="18"/>
          <w:szCs w:val="18"/>
          <w:color w:val="auto"/>
        </w:rPr>
        <w:t>For purposes of the November 2013 valuation, a hybrid method was used to determine our equity value,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consistent with the method used in the June 2013 and September 2013 valuations.</w:t>
      </w:r>
    </w:p>
    <w:p>
      <w:pPr>
        <w:spacing w:after="0" w:line="35"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OPM was used to allocate the equity value to the various securities under two scenarios. The first scenario assumed we would complete an IPO within three months and the second scenario assumed we would remain private beyond 12 months with a potential sale or merger in 1.5 years. We estimated a probability of 75% for the first scenario and 25% for the second scenario compared to 60% and 40%, respectively, in the September 2013 valuation. The increase in the probability of an IPO was due to the progress we have made since September 2013 in preparing for a potential IPO and in our development programs. In December 2013, we announced the dosing of the first patient in a Phase 1/2 study of rhGUS for MPS 7, our IND for triheptanoin for the treatment of Glut1 DS went into effect, and we released topline results from a 48-week Phase 2 clinical study of SA-ER showing apparent activity at the higher dose level. These developments were anticipated and taken into consideration in the November 2013 valuation. The estimated time to liquidity was three months and 1.5 years based on timing of a liquidity event in the two scenarios. Based on an analysis of the guideline companies, a volatility assumption of 70% was selected and utilized for both scenarios. The risk-free rate was estimated based on the applicable U.S. Treasury yield. A discount for lack of marketability of 5% and 30% was applied to the value indicated in our common stock under the first scenario and the second scenario, respectively. Based on these factors, the third-party valuation concluded that our common stock had an estimated fair value of $11.19 per share as of November 30, 2013.</w:t>
      </w:r>
    </w:p>
    <w:p>
      <w:pPr>
        <w:spacing w:after="0" w:line="2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i w:val="1"/>
          <w:iCs w:val="1"/>
          <w:color w:val="auto"/>
        </w:rPr>
        <w:t xml:space="preserve">December 2013 Value. </w:t>
      </w:r>
      <w:r>
        <w:rPr>
          <w:rFonts w:ascii="Arial" w:cs="Arial" w:eastAsia="Arial" w:hAnsi="Arial"/>
          <w:sz w:val="17"/>
          <w:szCs w:val="17"/>
          <w:color w:val="auto"/>
        </w:rPr>
        <w:t>For purposes of the December 31, 2013 estimated value of our common stock, we evaluated a number of qualitative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quantitative factors including the increase in the probability of an IPO due to progress in our development programs that was made since November 30, 2013 and the decrease in the estimated time to liquidity. Based on these factors, we concluded that our common stock had an estimated fair value of $12.14 per share as of December 31, 2013 for purposes of determining stock-based compensation disclosures</w:t>
      </w:r>
      <w:r>
        <w:rPr>
          <w:rFonts w:ascii="Arial" w:cs="Arial" w:eastAsia="Arial" w:hAnsi="Arial"/>
          <w:sz w:val="17"/>
          <w:szCs w:val="17"/>
          <w:i w:val="1"/>
          <w:iCs w:val="1"/>
          <w:color w:val="auto"/>
        </w:rPr>
        <w: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 Grants</w:t>
      </w:r>
    </w:p>
    <w:p>
      <w:pPr>
        <w:spacing w:after="0" w:line="9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Information regarding our stock option grants along with the estimated fair value per share of the underlying common stock, for stock options granted since January 1, 2012 is summarized in the table below:</w:t>
      </w:r>
    </w:p>
    <w:p>
      <w:pPr>
        <w:spacing w:after="0" w:line="3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Estimated fair</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common shares</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Exercise price</w:t>
            </w: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value per share</w:t>
            </w: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per common</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common</w:t>
            </w: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 granted</w:t>
            </w: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w:t>
            </w: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stock</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 2012</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September 13, 2012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28,712</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0.81</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2012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0.81</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March 21, 2013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82,944</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2013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79,757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May 23, 2013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285,530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15, 2013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54,234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November 1, 2013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519,683</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19, 2013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w:t>
            </w:r>
          </w:p>
        </w:tc>
      </w:tr>
    </w:tbl>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intrinsic value of all outstanding options as of December 31, 2013 was $19.5 million.</w:t>
      </w:r>
    </w:p>
    <w:p>
      <w:pPr>
        <w:spacing w:after="0" w:line="7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estimated fair value per share of the common stock in the table above represents the determination by our board of directors of the fair value of our common stock as of the date of the grant, as discussed below.</w:t>
      </w:r>
    </w:p>
    <w:p>
      <w:pPr>
        <w:spacing w:after="0" w:line="3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i w:val="1"/>
          <w:iCs w:val="1"/>
          <w:color w:val="auto"/>
        </w:rPr>
        <w:t xml:space="preserve">Stock Options Granted in August, September, and October 2012. </w:t>
      </w:r>
      <w:r>
        <w:rPr>
          <w:rFonts w:ascii="Arial" w:cs="Arial" w:eastAsia="Arial" w:hAnsi="Arial"/>
          <w:sz w:val="16"/>
          <w:szCs w:val="16"/>
          <w:color w:val="auto"/>
        </w:rPr>
        <w:t>Our board of directors granted stock options on August 2, 2012, September 13, 2012,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October 25, 2012, each having an exercise price of $0.81 per share. In establishing this exercise price, our board of directors considered input from management, the results of our June 30, 2012 third-party valuation, and the objective and subjective criteria discussed above, as well as the following: (i) in September 2012, we obtained the rights to rhPPCA and in-licensed North American rights to triheptanoin; (ii) triheptanoin had primarily been studied in academic settings with data available only from uncontrolled clinical studies or in anecdotal form; and (iii) rhPPCA has only ever been studied in mice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vitro</w:t>
      </w:r>
      <w:r>
        <w:rPr>
          <w:rFonts w:ascii="Arial" w:cs="Arial" w:eastAsia="Arial" w:hAnsi="Arial"/>
          <w:sz w:val="16"/>
          <w:szCs w:val="16"/>
          <w:color w:val="auto"/>
        </w:rPr>
        <w:t>, and we have made very limited investments in the development of this compound to date. As each of these compounds was speculative, early stage, and</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require significant funds and risk on our part to advance, our board of directors did not believe that these events increased our equity value.</w:t>
      </w:r>
    </w:p>
    <w:p>
      <w:pPr>
        <w:spacing w:after="0" w:line="1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the judgment of our board of directors, there were no internal or external developments that would indicate that the fair value of our common stock would have increased from June 30, 2012. As a result, our board of directors concluded that the fair value of our common stock at each of these grant dates was $0.81 per share.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36" w:right="259" w:bottom="1440" w:gutter="0" w:footer="0" w:header="0"/>
        </w:sectPr>
      </w:pPr>
    </w:p>
    <w:bookmarkStart w:id="60" w:name="page61"/>
    <w:bookmarkEnd w:id="60"/>
    <w:p>
      <w:pPr>
        <w:ind w:right="60" w:firstLine="518"/>
        <w:spacing w:after="0" w:line="253" w:lineRule="auto"/>
        <w:rPr>
          <w:sz w:val="20"/>
          <w:szCs w:val="20"/>
          <w:color w:val="auto"/>
        </w:rPr>
      </w:pPr>
      <w:r>
        <w:rPr>
          <w:rFonts w:ascii="Arial" w:cs="Arial" w:eastAsia="Arial" w:hAnsi="Arial"/>
          <w:sz w:val="18"/>
          <w:szCs w:val="18"/>
          <w:i w:val="1"/>
          <w:iCs w:val="1"/>
          <w:color w:val="auto"/>
        </w:rPr>
        <w:t xml:space="preserve">Stock Options Granted in March, April, and May 2013. </w:t>
      </w:r>
      <w:r>
        <w:rPr>
          <w:rFonts w:ascii="Arial" w:cs="Arial" w:eastAsia="Arial" w:hAnsi="Arial"/>
          <w:sz w:val="18"/>
          <w:szCs w:val="18"/>
          <w:color w:val="auto"/>
        </w:rPr>
        <w:t>Our board of directors granted stock options on March 21, 2013, April 25, 2013, and May 23,</w:t>
      </w:r>
      <w:r>
        <w:rPr>
          <w:rFonts w:ascii="Arial" w:cs="Arial" w:eastAsia="Arial" w:hAnsi="Arial"/>
          <w:sz w:val="18"/>
          <w:szCs w:val="18"/>
          <w:i w:val="1"/>
          <w:iCs w:val="1"/>
          <w:color w:val="auto"/>
        </w:rPr>
        <w:t xml:space="preserve"> </w:t>
      </w:r>
      <w:r>
        <w:rPr>
          <w:rFonts w:ascii="Arial" w:cs="Arial" w:eastAsia="Arial" w:hAnsi="Arial"/>
          <w:sz w:val="18"/>
          <w:szCs w:val="18"/>
          <w:color w:val="auto"/>
        </w:rPr>
        <w:t>2013, each having an exercise price of $1.82 per share. In establishing this exercise price, our board of directors considered input from management, the results of our December 31, 2012 third-party valuation, the objective and subjective criteria discussed above as well as the following: (i) a toxicology study for rhGUS, a retrospective study for triheptanoin, and the Phase 2 study for SA-ER were all ongoing during this time period, but no results had yet been generated; and (ii) these studies were all either underway or already contemplated at the time of the financing upon which the December 31, 2012 valuation was based. Given the lack of clarity around a future liquidity event, and the lack of any significant clinical data in the first five months of 2013, in the judgment of our board of directors, there were no internal or external developments that would indicate that the fair value of our common stock had increased from December 31, 2012. As a result, our board of directors concluded that the fair value of our common stock at each of these grant dates was $1.82 per share.</w:t>
      </w:r>
    </w:p>
    <w:p>
      <w:pPr>
        <w:spacing w:after="0" w:line="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 xml:space="preserve">Stock Options Granted in August 2013. </w:t>
      </w:r>
      <w:r>
        <w:rPr>
          <w:rFonts w:ascii="Arial" w:cs="Arial" w:eastAsia="Arial" w:hAnsi="Arial"/>
          <w:sz w:val="18"/>
          <w:szCs w:val="18"/>
          <w:color w:val="auto"/>
        </w:rPr>
        <w:t>Our board of directors granted stock options on August 15, 2013, each having an exercise price of $4.07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In establishing this exercise price, our board of directors considered input from management, the results of our June 30, 2013 third-party valuation, the objective and subjective criteria discussed above as well as the following: (i) the probability of an IPO was already taken into consideration in the June 30, 2013 valuation and there was no change in probability as of August 15, 2013; (ii) the interim analysis of the 24-week data in our study of SA-ER showed only modest efficacy; (iii) although we had announced development of triheptanoin for Glut1 DS between June 30, 2013 and August 15, 2013, no clinical development activity had yet commenced as of the latter date; and (iv) our acquisition of ex-U.S. rights to triheptanoin, which was announced in July 2013, was already taken into consideration in the valuation as of June 30, 2013. As a result, our board of directors concluded that the fair value of our common stock at this grant date was $4.07 per share.</w:t>
      </w:r>
    </w:p>
    <w:p>
      <w:pPr>
        <w:spacing w:after="0" w:line="4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i w:val="1"/>
          <w:iCs w:val="1"/>
          <w:color w:val="auto"/>
        </w:rPr>
        <w:t>Stock Options Granted in November 2013</w:t>
      </w:r>
      <w:r>
        <w:rPr>
          <w:rFonts w:ascii="Arial" w:cs="Arial" w:eastAsia="Arial" w:hAnsi="Arial"/>
          <w:sz w:val="18"/>
          <w:szCs w:val="18"/>
          <w:color w:val="auto"/>
        </w:rPr>
        <w:t>. Our board of directors granted stock options on November 1, 2013, each having an exercise price of $6.86</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In establishing this exercise price, our board of directors considered input from management, the results of our September 30, 2013 third-party valuation, and the objective and subjective criteria discussed above. The board of directors considered the increase in the probability of an IPO from 50% as of June 30, 2013 to 60% as of September 30, 2013 and also concluded that no further change in this probability had taken place as of November 1, 2013. In the judgment of our board of directors, there were no internal or external developments that would indicate the fair value of our common stock would have increased from September 30, 2013. As a result, our board of directors concluded that the fair value of our common stock at this grant date was $6.86 per share.</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Stock Options Granted in December 2013. </w:t>
      </w:r>
      <w:r>
        <w:rPr>
          <w:rFonts w:ascii="Arial" w:cs="Arial" w:eastAsia="Arial" w:hAnsi="Arial"/>
          <w:sz w:val="17"/>
          <w:szCs w:val="17"/>
          <w:color w:val="auto"/>
        </w:rPr>
        <w:t>Our board of directors granted stock options on December 19, 2013, each having an exercise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$11.19 per share. In establishing this exercise price, our board of directors considered input from management, the results of our November 30, 2013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valuation, and the objective and subjective criteria discussed above. The board of directors considered the increase in the probability of an IPO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as of September 30, 2013 to 75% as of November 30, 2013 and also determined that there were no internal or external developments that would indicate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common stock would have increased from November 30, 2013, as all developments in December had been anticipated and taken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at that date. As a result, our board of directors concluded that the fair value of our common stock at this grant date was $11.19 per share.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assess the likelihood that the resulting deferred tax assets will be realized. A valuation allowance is provided when it is more likely than not that some portion or all of a deferred tax asset will not be realized.</w:t>
      </w:r>
    </w:p>
    <w:p>
      <w:pPr>
        <w:spacing w:after="0" w:line="23"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As of December 31, 2013, our total deferred tax assets were $25.5 million.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and tax credit carryforwards. Utilization of the net operating loss and tax credit carryforwards may be subject to an annual limitation due to historical or future ownership percentage change rules provided by the Internal Review Code of 1986, and similar state provisions. The annual limitation may result in the expiration of certain net operating loss and tax credit carryforwards before their utilization.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3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54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Years Ended December 31, 2012 and 2013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Research and Development Expenses (dollars in thousands)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Dollar</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116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Development candidate:</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600"/>
              <w:spacing w:after="0"/>
              <w:rPr>
                <w:sz w:val="20"/>
                <w:szCs w:val="20"/>
                <w:color w:val="auto"/>
              </w:rPr>
            </w:pPr>
            <w:r>
              <w:rPr>
                <w:rFonts w:ascii="Arial" w:cs="Arial" w:eastAsia="Arial" w:hAnsi="Arial"/>
                <w:sz w:val="18"/>
                <w:szCs w:val="18"/>
                <w:color w:val="auto"/>
              </w:rPr>
              <w:t>KRN23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rhGUS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600"/>
              <w:spacing w:after="0"/>
              <w:rPr>
                <w:sz w:val="20"/>
                <w:szCs w:val="20"/>
                <w:color w:val="auto"/>
              </w:rPr>
            </w:pPr>
            <w:r>
              <w:rPr>
                <w:rFonts w:ascii="Arial" w:cs="Arial" w:eastAsia="Arial" w:hAnsi="Arial"/>
                <w:sz w:val="18"/>
                <w:szCs w:val="18"/>
                <w:color w:val="auto"/>
              </w:rPr>
              <w:t>rhPPCA</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Triheptanoin (LC-FAOD)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600"/>
              <w:spacing w:after="0"/>
              <w:rPr>
                <w:sz w:val="20"/>
                <w:szCs w:val="20"/>
                <w:color w:val="auto"/>
              </w:rPr>
            </w:pPr>
            <w:r>
              <w:rPr>
                <w:rFonts w:ascii="Arial" w:cs="Arial" w:eastAsia="Arial" w:hAnsi="Arial"/>
                <w:sz w:val="18"/>
                <w:szCs w:val="18"/>
                <w:color w:val="auto"/>
              </w:rPr>
              <w:t>Triheptanoin (Glut 1 DS)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SA-ER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Borders>
              <w:bottom w:val="single" w:sz="8" w:color="CCECFF"/>
            </w:tcBorders>
            <w:gridSpan w:val="2"/>
          </w:tcPr>
          <w:p>
            <w:pPr>
              <w:ind w:left="600"/>
              <w:spacing w:after="0"/>
              <w:rPr>
                <w:sz w:val="20"/>
                <w:szCs w:val="20"/>
                <w:color w:val="auto"/>
              </w:rPr>
            </w:pPr>
            <w:r>
              <w:rPr>
                <w:rFonts w:ascii="Arial" w:cs="Arial" w:eastAsia="Arial" w:hAnsi="Arial"/>
                <w:sz w:val="18"/>
                <w:szCs w:val="18"/>
                <w:color w:val="auto"/>
              </w:rPr>
              <w:t>Preclinical and other research costs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80" w:type="dxa"/>
            <w:vAlign w:val="bottom"/>
            <w:tcBorders>
              <w:bottom w:val="single" w:sz="8" w:color="CCEC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80" w:type="dxa"/>
            <w:vAlign w:val="bottom"/>
            <w:tcBorders>
              <w:bottom w:val="single" w:sz="8" w:color="CCEC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28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C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60" w:type="dxa"/>
            <w:vAlign w:val="bottom"/>
            <w:tcBorders>
              <w:bottom w:val="single" w:sz="8" w:color="CCECFF"/>
            </w:tcBorders>
            <w:gridSpan w:val="2"/>
            <w:shd w:val="clear" w:color="auto" w:fill="CCECFF"/>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12,641</w:t>
            </w:r>
          </w:p>
        </w:tc>
        <w:tc>
          <w:tcPr>
            <w:tcW w:w="1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27,829</w:t>
            </w:r>
          </w:p>
        </w:tc>
        <w:tc>
          <w:tcPr>
            <w:tcW w:w="1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15,188</w:t>
            </w:r>
          </w:p>
        </w:tc>
        <w:tc>
          <w:tcPr>
            <w:tcW w:w="12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*not meaningful</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increased $15.2 million for the twelve months ended December 31, 2013 compared to the same period in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research and development expenses above is primarily due to:</w:t>
      </w:r>
    </w:p>
    <w:p>
      <w:pPr>
        <w:spacing w:after="0" w:line="62" w:lineRule="exact"/>
        <w:rPr>
          <w:sz w:val="20"/>
          <w:szCs w:val="20"/>
          <w:color w:val="auto"/>
        </w:rPr>
      </w:pPr>
    </w:p>
    <w:p>
      <w:pPr>
        <w:ind w:left="900" w:right="8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for KRN23, an increase of $0.8 million related to KHK’s completed adult clinical trial, development of our pediatric trial design, other development planning, and regulatory activities;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for rhGUS, an increase of $4.0 million related to process development, manufacturing, toxicology testing, and clinical trial activities;</w:t>
      </w:r>
    </w:p>
    <w:p>
      <w:pPr>
        <w:spacing w:after="0" w:line="12" w:lineRule="exact"/>
        <w:rPr>
          <w:sz w:val="20"/>
          <w:szCs w:val="20"/>
          <w:color w:val="auto"/>
        </w:rPr>
      </w:pPr>
    </w:p>
    <w:p>
      <w:pPr>
        <w:ind w:left="900" w:hanging="365"/>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for triheptanoin (LC-FAOD), an increase of $5.2 million related to the initiation of our clinical program in 2013, which included $0.8 million we paid to exercise the option with Baylor Research Institute, or BRI, pursuant to our license agreement with BRI to license the rights to triheptanoin in all territories outside of North America, $1.5 million in personnel-related costs as we allocated resources to clinical trial initiation and support of investigator-sponsored trials, and costs related to the manufacture of clinical and nonclinical supply;</w:t>
      </w:r>
    </w:p>
    <w:p>
      <w:pPr>
        <w:spacing w:after="0" w:line="53" w:lineRule="exact"/>
        <w:rPr>
          <w:sz w:val="20"/>
          <w:szCs w:val="20"/>
          <w:color w:val="auto"/>
        </w:rPr>
      </w:pPr>
    </w:p>
    <w:p>
      <w:pPr>
        <w:ind w:left="900" w:right="2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triheptanoin (Glut1 DS), an increase of $2.4 million related to costs associated with the startup of clinical activities, drug production, and $0.8 million in personnel costs as we allocated resources to this program;</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for SA-ER, an increase of $1.2 million related to the increase in clinical activities and related manufacturing for this program; and</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an increase of $1.4 million in preclinical and research costs for various other potential product candidates.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Expenses (dollars in thousands)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Dollar</w:t>
            </w:r>
          </w:p>
        </w:tc>
        <w:tc>
          <w:tcPr>
            <w:tcW w:w="10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1160" w:type="dxa"/>
            <w:vAlign w:val="bottom"/>
          </w:tcPr>
          <w:p>
            <w:pPr>
              <w:spacing w:after="0"/>
              <w:rPr>
                <w:sz w:val="18"/>
                <w:szCs w:val="18"/>
                <w:color w:val="auto"/>
              </w:rPr>
            </w:pPr>
          </w:p>
        </w:tc>
        <w:tc>
          <w:tcPr>
            <w:tcW w:w="42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3,344</w:t>
            </w:r>
          </w:p>
        </w:tc>
        <w:tc>
          <w:tcPr>
            <w:tcW w:w="18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4,451</w:t>
            </w:r>
          </w:p>
        </w:tc>
        <w:tc>
          <w:tcPr>
            <w:tcW w:w="1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Borders>
              <w:top w:val="single" w:sz="8" w:color="CCECFF"/>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ind w:left="42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CFF"/>
            </w:tcBorders>
            <w:shd w:val="clear" w:color="auto" w:fill="CCECFF"/>
          </w:tcPr>
          <w:p>
            <w:pPr>
              <w:spacing w:after="0"/>
              <w:rPr>
                <w:sz w:val="18"/>
                <w:szCs w:val="18"/>
                <w:color w:val="auto"/>
              </w:rPr>
            </w:pPr>
          </w:p>
        </w:tc>
      </w:tr>
    </w:tbl>
    <w:p>
      <w:pPr>
        <w:spacing w:after="0" w:line="6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General and administrative expenses increased $1.1 million for the year ended December 31, 2013 compared to the same period in 2012. The increase in general and administrative expenses was primarily due to increases in professional services costs and in personnel costs as a result of an increase in employee headcount.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Arial" w:cs="Arial" w:eastAsia="Arial" w:hAnsi="Arial"/>
                <w:sz w:val="18"/>
                <w:szCs w:val="18"/>
                <w:i w:val="1"/>
                <w:iCs w:val="1"/>
                <w:color w:val="auto"/>
              </w:rPr>
              <w:t>Interest Income (dollars in thousands)</w:t>
            </w: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4"/>
              </w:rPr>
              <w:t>Year Ended December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Dollar</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1160" w:type="dxa"/>
            <w:vAlign w:val="bottom"/>
          </w:tcPr>
          <w:p>
            <w:pPr>
              <w:spacing w:after="0"/>
              <w:rPr>
                <w:sz w:val="18"/>
                <w:szCs w:val="18"/>
                <w:color w:val="auto"/>
              </w:rPr>
            </w:pPr>
          </w:p>
        </w:tc>
        <w:tc>
          <w:tcPr>
            <w:tcW w:w="292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340" w:type="dxa"/>
            <w:vAlign w:val="bottom"/>
            <w:tcBorders>
              <w:top w:val="single" w:sz="8" w:color="CCECFF"/>
            </w:tcBorders>
            <w:shd w:val="clear" w:color="auto" w:fill="CCECFF"/>
          </w:tcPr>
          <w:p>
            <w:pPr>
              <w:spacing w:after="0"/>
              <w:rPr>
                <w:sz w:val="18"/>
                <w:szCs w:val="18"/>
                <w:color w:val="auto"/>
              </w:rPr>
            </w:pPr>
          </w:p>
        </w:tc>
        <w:tc>
          <w:tcPr>
            <w:tcW w:w="800" w:type="dxa"/>
            <w:vAlign w:val="bottom"/>
            <w:tcBorders>
              <w:top w:val="single" w:sz="8" w:color="auto"/>
            </w:tcBorders>
            <w:shd w:val="clear" w:color="auto" w:fill="CCECFF"/>
          </w:tcPr>
          <w:p>
            <w:pPr>
              <w:jc w:val="right"/>
              <w:ind w:right="63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CECFF"/>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rPr>
              <w:t>21500%</w:t>
            </w:r>
          </w:p>
        </w:tc>
        <w:tc>
          <w:tcPr>
            <w:tcW w:w="100" w:type="dxa"/>
            <w:vAlign w:val="bottom"/>
            <w:tcBorders>
              <w:top w:val="single" w:sz="8" w:color="CCECFF"/>
            </w:tcBorders>
            <w:shd w:val="clear" w:color="auto" w:fill="CCECFF"/>
          </w:tcPr>
          <w:p>
            <w:pPr>
              <w:spacing w:after="0"/>
              <w:rPr>
                <w:sz w:val="18"/>
                <w:szCs w:val="18"/>
                <w:color w:val="auto"/>
              </w:rPr>
            </w:pPr>
          </w:p>
        </w:tc>
      </w:tr>
    </w:tbl>
    <w:p>
      <w:pPr>
        <w:spacing w:after="0" w:line="6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Interest income increased $0.2 million for the year ended December 31, 2013 compared to the same period in 2012, primarily due to funds invested in 2013 from our Series B convertible stock financing which was completed in December 2012.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94" w:right="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i w:val="1"/>
                <w:iCs w:val="1"/>
                <w:color w:val="auto"/>
              </w:rPr>
              <w:t>Other Expense, net (dollars in thousands)</w:t>
            </w: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4"/>
              </w:rPr>
              <w:t>Year Ended December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Dollar</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1160" w:type="dxa"/>
            <w:vAlign w:val="bottom"/>
          </w:tcPr>
          <w:p>
            <w:pPr>
              <w:spacing w:after="0"/>
              <w:rPr>
                <w:sz w:val="18"/>
                <w:szCs w:val="18"/>
                <w:color w:val="auto"/>
              </w:rPr>
            </w:pPr>
          </w:p>
        </w:tc>
        <w:tc>
          <w:tcPr>
            <w:tcW w:w="30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Other expense, net</w:t>
            </w:r>
          </w:p>
        </w:tc>
        <w:tc>
          <w:tcPr>
            <w:tcW w:w="1200" w:type="dxa"/>
            <w:vAlign w:val="bottom"/>
            <w:tcBorders>
              <w:top w:val="single" w:sz="8" w:color="CCECFF"/>
            </w:tcBorders>
            <w:shd w:val="clear" w:color="auto" w:fill="CCECFF"/>
          </w:tcPr>
          <w:p>
            <w:pPr>
              <w:spacing w:after="0"/>
              <w:rPr>
                <w:sz w:val="18"/>
                <w:szCs w:val="18"/>
                <w:color w:val="auto"/>
              </w:rPr>
            </w:pPr>
          </w:p>
        </w:tc>
        <w:tc>
          <w:tcPr>
            <w:tcW w:w="700" w:type="dxa"/>
            <w:vAlign w:val="bottom"/>
            <w:tcBorders>
              <w:top w:val="single" w:sz="8" w:color="auto"/>
            </w:tcBorders>
            <w:shd w:val="clear" w:color="auto" w:fill="CCECFF"/>
          </w:tcPr>
          <w:p>
            <w:pPr>
              <w:jc w:val="right"/>
              <w:ind w:right="53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3"/>
              </w:rPr>
              <w:t>350</w:t>
            </w:r>
          </w:p>
        </w:tc>
        <w:tc>
          <w:tcPr>
            <w:tcW w:w="18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3,006</w:t>
            </w:r>
          </w:p>
        </w:tc>
        <w:tc>
          <w:tcPr>
            <w:tcW w:w="1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2,656</w:t>
            </w:r>
          </w:p>
        </w:tc>
        <w:tc>
          <w:tcPr>
            <w:tcW w:w="220" w:type="dxa"/>
            <w:vAlign w:val="bottom"/>
            <w:tcBorders>
              <w:top w:val="single" w:sz="8" w:color="CCECFF"/>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color w:val="auto"/>
              </w:rPr>
              <w:t>759%</w:t>
            </w:r>
          </w:p>
        </w:tc>
        <w:tc>
          <w:tcPr>
            <w:tcW w:w="100" w:type="dxa"/>
            <w:vAlign w:val="bottom"/>
            <w:tcBorders>
              <w:top w:val="single" w:sz="8" w:color="CCECFF"/>
            </w:tcBorders>
            <w:shd w:val="clear" w:color="auto" w:fill="CCECFF"/>
          </w:tcPr>
          <w:p>
            <w:pPr>
              <w:spacing w:after="0"/>
              <w:rPr>
                <w:sz w:val="18"/>
                <w:szCs w:val="18"/>
                <w:color w:val="auto"/>
              </w:rPr>
            </w:pPr>
          </w:p>
        </w:tc>
      </w:tr>
    </w:tbl>
    <w:p>
      <w:pPr>
        <w:spacing w:after="0" w:line="67"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Other expense, net increased $2.7 million for the year ended December 31, 2013 compared to the same period in 2012. This was primarily due to the $2.7 million increase in expense for the fair value remeasurement of the liability related to our convertible preferred stock warrants.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8"/>
              </w:rPr>
              <w:t>Comparison of Years Ended December 31, 2011 and 2012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60" w:type="dxa"/>
            <w:vAlign w:val="bottom"/>
            <w:gridSpan w:val="3"/>
          </w:tcPr>
          <w:p>
            <w:pPr>
              <w:spacing w:after="0"/>
              <w:rPr>
                <w:sz w:val="20"/>
                <w:szCs w:val="20"/>
                <w:color w:val="auto"/>
              </w:rPr>
            </w:pPr>
            <w:r>
              <w:rPr>
                <w:rFonts w:ascii="Arial" w:cs="Arial" w:eastAsia="Arial" w:hAnsi="Arial"/>
                <w:sz w:val="18"/>
                <w:szCs w:val="18"/>
                <w:i w:val="1"/>
                <w:iCs w:val="1"/>
                <w:color w:val="auto"/>
                <w:w w:val="99"/>
              </w:rPr>
              <w:t>Research and Development Expenses (dollars in thousands)</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5"/>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Dollar</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1160" w:type="dxa"/>
            <w:vAlign w:val="bottom"/>
          </w:tcPr>
          <w:p>
            <w:pPr>
              <w:spacing w:after="0"/>
              <w:rPr>
                <w:sz w:val="18"/>
                <w:szCs w:val="18"/>
                <w:color w:val="auto"/>
              </w:rPr>
            </w:pPr>
          </w:p>
        </w:tc>
        <w:tc>
          <w:tcPr>
            <w:tcW w:w="37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Development candidate:</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gridSpan w:val="2"/>
          </w:tcPr>
          <w:p>
            <w:pPr>
              <w:ind w:left="600"/>
              <w:spacing w:after="0"/>
              <w:rPr>
                <w:sz w:val="20"/>
                <w:szCs w:val="20"/>
                <w:color w:val="auto"/>
              </w:rPr>
            </w:pPr>
            <w:r>
              <w:rPr>
                <w:rFonts w:ascii="Arial" w:cs="Arial" w:eastAsia="Arial" w:hAnsi="Arial"/>
                <w:sz w:val="18"/>
                <w:szCs w:val="18"/>
                <w:color w:val="auto"/>
              </w:rPr>
              <w:t>rhGUS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438</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3,198</w:t>
            </w:r>
          </w:p>
        </w:tc>
        <w:tc>
          <w:tcPr>
            <w:tcW w:w="18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2,760</w:t>
            </w:r>
          </w:p>
        </w:tc>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630%</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rhPPCA</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8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2357%</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gridSpan w:val="2"/>
          </w:tcPr>
          <w:p>
            <w:pPr>
              <w:ind w:left="600"/>
              <w:spacing w:after="0"/>
              <w:rPr>
                <w:sz w:val="20"/>
                <w:szCs w:val="20"/>
                <w:color w:val="auto"/>
              </w:rPr>
            </w:pPr>
            <w:r>
              <w:rPr>
                <w:rFonts w:ascii="Arial" w:cs="Arial" w:eastAsia="Arial" w:hAnsi="Arial"/>
                <w:sz w:val="18"/>
                <w:szCs w:val="18"/>
                <w:color w:val="auto"/>
              </w:rPr>
              <w:t>Triheptanoin (LC-FAOD)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Triheptanoin (Glut 1 DS)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gridSpan w:val="2"/>
          </w:tcPr>
          <w:p>
            <w:pPr>
              <w:ind w:left="600"/>
              <w:spacing w:after="0"/>
              <w:rPr>
                <w:sz w:val="20"/>
                <w:szCs w:val="20"/>
                <w:color w:val="auto"/>
              </w:rPr>
            </w:pPr>
            <w:r>
              <w:rPr>
                <w:rFonts w:ascii="Arial" w:cs="Arial" w:eastAsia="Arial" w:hAnsi="Arial"/>
                <w:sz w:val="18"/>
                <w:szCs w:val="18"/>
                <w:color w:val="auto"/>
              </w:rPr>
              <w:t>SA-ER</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3,270</w:t>
            </w:r>
          </w:p>
        </w:tc>
        <w:tc>
          <w:tcPr>
            <w:tcW w:w="128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92%</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Preclinical and other research costs</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8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169%</w:t>
            </w:r>
          </w:p>
        </w:tc>
        <w:tc>
          <w:tcPr>
            <w:tcW w:w="10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00" w:type="dxa"/>
            <w:vAlign w:val="bottom"/>
            <w:gridSpan w:val="2"/>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12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168%</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*not meaningful</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increased $7.9 million, or 168%, for the year ended December 31, 2012 compared to the same period in 2011.</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increase in research and development expenses above is primarily due to:</w:t>
      </w:r>
    </w:p>
    <w:p>
      <w:pPr>
        <w:spacing w:after="0" w:line="90" w:lineRule="exact"/>
        <w:rPr>
          <w:sz w:val="20"/>
          <w:szCs w:val="20"/>
          <w:color w:val="auto"/>
        </w:rPr>
      </w:pPr>
    </w:p>
    <w:p>
      <w:pPr>
        <w:ind w:left="900" w:right="34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for rhGUS, an increase of $2.8 million related to the development and manufacturing costs associated with supplying rhGUS for our various clinical studies;</w:t>
      </w:r>
    </w:p>
    <w:p>
      <w:pPr>
        <w:spacing w:after="0" w:line="54" w:lineRule="exact"/>
        <w:rPr>
          <w:sz w:val="20"/>
          <w:szCs w:val="20"/>
          <w:color w:val="auto"/>
        </w:rPr>
      </w:pPr>
    </w:p>
    <w:p>
      <w:pPr>
        <w:ind w:left="9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triheptanoin, an increase of $0.5 million related to the increase in clinical activities, as well as $0.3 million paid to BRI to license the rights to triheptanoin;</w:t>
      </w:r>
    </w:p>
    <w:p>
      <w:pPr>
        <w:spacing w:after="0" w:line="54" w:lineRule="exact"/>
        <w:rPr>
          <w:sz w:val="20"/>
          <w:szCs w:val="20"/>
          <w:color w:val="auto"/>
        </w:rPr>
      </w:pPr>
    </w:p>
    <w:p>
      <w:pPr>
        <w:ind w:left="900" w:right="6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for SA-ER, an increase of $3.3 million related to the development and manufacturing costs for our various clinical studies, increase in personnel costs, and the costs for our Phase 2 clinical study; and</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an increase of $1.2 million in preclinical and other research costs for various other potential product candidates.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Expenses (dollars in thousands)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Dollar</w:t>
            </w:r>
          </w:p>
        </w:tc>
        <w:tc>
          <w:tcPr>
            <w:tcW w:w="10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r>
      <w:tr>
        <w:trPr>
          <w:trHeight w:val="210"/>
        </w:trPr>
        <w:tc>
          <w:tcPr>
            <w:tcW w:w="1160" w:type="dxa"/>
            <w:vAlign w:val="bottom"/>
          </w:tcPr>
          <w:p>
            <w:pPr>
              <w:spacing w:after="0"/>
              <w:rPr>
                <w:sz w:val="18"/>
                <w:szCs w:val="18"/>
                <w:color w:val="auto"/>
              </w:rPr>
            </w:pPr>
          </w:p>
        </w:tc>
        <w:tc>
          <w:tcPr>
            <w:tcW w:w="42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1,844</w:t>
            </w:r>
          </w:p>
        </w:tc>
        <w:tc>
          <w:tcPr>
            <w:tcW w:w="18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3,344</w:t>
            </w:r>
          </w:p>
        </w:tc>
        <w:tc>
          <w:tcPr>
            <w:tcW w:w="1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CECFF"/>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ind w:left="420"/>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CFF"/>
            </w:tcBorders>
            <w:shd w:val="clear" w:color="auto" w:fill="CCECFF"/>
          </w:tcPr>
          <w:p>
            <w:pPr>
              <w:spacing w:after="0"/>
              <w:rPr>
                <w:sz w:val="18"/>
                <w:szCs w:val="18"/>
                <w:color w:val="auto"/>
              </w:rPr>
            </w:pPr>
          </w:p>
        </w:tc>
      </w:tr>
    </w:tbl>
    <w:p>
      <w:pPr>
        <w:spacing w:after="0" w:line="6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General and administrative expenses increased $1.5 million for the year ended December 31, 2012 compared to the same period in 2011. The increase in general and administrative expenses was primarily due to increases in professional services costs and in personnel costs as a result of an increase in employee headcount.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Arial" w:cs="Arial" w:eastAsia="Arial" w:hAnsi="Arial"/>
                <w:sz w:val="18"/>
                <w:szCs w:val="18"/>
                <w:i w:val="1"/>
                <w:iCs w:val="1"/>
                <w:color w:val="auto"/>
              </w:rPr>
              <w:t>Interest Income (dollars in thousands)</w:t>
            </w: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Year Ended December 31,</w:t>
            </w: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left="115"/>
              <w:spacing w:after="0"/>
              <w:rPr>
                <w:sz w:val="20"/>
                <w:szCs w:val="20"/>
                <w:color w:val="auto"/>
              </w:rPr>
            </w:pPr>
            <w:r>
              <w:rPr>
                <w:rFonts w:ascii="Arial" w:cs="Arial" w:eastAsia="Arial" w:hAnsi="Arial"/>
                <w:sz w:val="18"/>
                <w:szCs w:val="18"/>
                <w:b w:val="1"/>
                <w:bCs w:val="1"/>
                <w:color w:val="auto"/>
                <w:w w:val="97"/>
              </w:rPr>
              <w:t>Dollar</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1600" w:type="dxa"/>
            <w:vAlign w:val="bottom"/>
            <w:tcBorders>
              <w:bottom w:val="single" w:sz="8" w:color="CCECFF"/>
            </w:tcBorders>
          </w:tcPr>
          <w:p>
            <w:pPr>
              <w:spacing w:after="0"/>
              <w:rPr>
                <w:sz w:val="18"/>
                <w:szCs w:val="18"/>
                <w:color w:val="auto"/>
              </w:rPr>
            </w:pPr>
          </w:p>
        </w:tc>
        <w:tc>
          <w:tcPr>
            <w:tcW w:w="1320" w:type="dxa"/>
            <w:vAlign w:val="bottom"/>
            <w:tcBorders>
              <w:bottom w:val="single" w:sz="8" w:color="CCECFF"/>
            </w:tcBorders>
          </w:tcPr>
          <w:p>
            <w:pPr>
              <w:spacing w:after="0"/>
              <w:rPr>
                <w:sz w:val="18"/>
                <w:szCs w:val="18"/>
                <w:color w:val="auto"/>
              </w:rPr>
            </w:pPr>
          </w:p>
        </w:tc>
        <w:tc>
          <w:tcPr>
            <w:tcW w:w="1340" w:type="dxa"/>
            <w:vAlign w:val="bottom"/>
            <w:tcBorders>
              <w:bottom w:val="single" w:sz="8" w:color="CCECFF"/>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CCECFF"/>
            </w:tcBorders>
          </w:tcPr>
          <w:p>
            <w:pPr>
              <w:spacing w:after="0"/>
              <w:rPr>
                <w:sz w:val="18"/>
                <w:szCs w:val="18"/>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CCECFF"/>
            </w:tcBorders>
          </w:tcPr>
          <w:p>
            <w:pPr>
              <w:spacing w:after="0"/>
              <w:rPr>
                <w:sz w:val="18"/>
                <w:szCs w:val="18"/>
                <w:color w:val="auto"/>
              </w:rPr>
            </w:pPr>
          </w:p>
        </w:tc>
        <w:tc>
          <w:tcPr>
            <w:tcW w:w="860" w:type="dxa"/>
            <w:vAlign w:val="bottom"/>
            <w:tcBorders>
              <w:bottom w:val="single" w:sz="8" w:color="auto"/>
            </w:tcBorders>
          </w:tcPr>
          <w:p>
            <w:pPr>
              <w:jc w:val="center"/>
              <w:ind w:left="115"/>
              <w:spacing w:after="0"/>
              <w:rPr>
                <w:sz w:val="20"/>
                <w:szCs w:val="20"/>
                <w:color w:val="auto"/>
              </w:rPr>
            </w:pPr>
            <w:r>
              <w:rPr>
                <w:rFonts w:ascii="Arial" w:cs="Arial" w:eastAsia="Arial" w:hAnsi="Arial"/>
                <w:sz w:val="18"/>
                <w:szCs w:val="18"/>
                <w:b w:val="1"/>
                <w:bCs w:val="1"/>
                <w:color w:val="auto"/>
                <w:w w:val="87"/>
              </w:rPr>
              <w:t>Change</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CCEC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EC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9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CECFF"/>
          </w:tcPr>
          <w:p>
            <w:pPr>
              <w:spacing w:after="0"/>
              <w:rPr>
                <w:sz w:val="18"/>
                <w:szCs w:val="18"/>
                <w:color w:val="auto"/>
              </w:rPr>
            </w:pPr>
          </w:p>
        </w:tc>
        <w:tc>
          <w:tcPr>
            <w:tcW w:w="800" w:type="dxa"/>
            <w:vAlign w:val="bottom"/>
            <w:shd w:val="clear" w:color="auto" w:fill="CCECFF"/>
          </w:tcPr>
          <w:p>
            <w:pPr>
              <w:jc w:val="right"/>
              <w:ind w:right="63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CFF"/>
          </w:tcPr>
          <w:p>
            <w:pPr>
              <w:spacing w:after="0"/>
              <w:rPr>
                <w:sz w:val="18"/>
                <w:szCs w:val="18"/>
                <w:color w:val="auto"/>
              </w:rPr>
            </w:pPr>
          </w:p>
        </w:tc>
        <w:tc>
          <w:tcPr>
            <w:tcW w:w="920" w:type="dxa"/>
            <w:vAlign w:val="bottom"/>
            <w:shd w:val="clear" w:color="auto" w:fill="CCECFF"/>
          </w:tcPr>
          <w:p>
            <w:pPr>
              <w:jc w:val="right"/>
              <w:ind w:right="75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1</w:t>
            </w:r>
          </w:p>
        </w:tc>
        <w:tc>
          <w:tcPr>
            <w:tcW w:w="180" w:type="dxa"/>
            <w:vAlign w:val="bottom"/>
            <w:shd w:val="clear" w:color="auto" w:fill="CCECFF"/>
          </w:tcPr>
          <w:p>
            <w:pPr>
              <w:spacing w:after="0"/>
              <w:rPr>
                <w:sz w:val="18"/>
                <w:szCs w:val="18"/>
                <w:color w:val="auto"/>
              </w:rPr>
            </w:pPr>
          </w:p>
        </w:tc>
        <w:tc>
          <w:tcPr>
            <w:tcW w:w="860" w:type="dxa"/>
            <w:vAlign w:val="bottom"/>
            <w:shd w:val="clear" w:color="auto" w:fill="CCECFF"/>
          </w:tcPr>
          <w:p>
            <w:pPr>
              <w:jc w:val="right"/>
              <w:ind w:right="69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CFF"/>
          </w:tcPr>
          <w:p>
            <w:pPr>
              <w:spacing w:after="0"/>
              <w:rPr>
                <w:sz w:val="18"/>
                <w:szCs w:val="18"/>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significant change in interest income for the year ended December 31, 2012 compared to the same period in 2011.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581"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4120" w:type="dxa"/>
            <w:vAlign w:val="bottom"/>
            <w:gridSpan w:val="3"/>
          </w:tcPr>
          <w:p>
            <w:pPr>
              <w:spacing w:after="0"/>
              <w:rPr>
                <w:sz w:val="20"/>
                <w:szCs w:val="20"/>
                <w:color w:val="auto"/>
              </w:rPr>
            </w:pPr>
            <w:r>
              <w:rPr>
                <w:rFonts w:ascii="Arial" w:cs="Arial" w:eastAsia="Arial" w:hAnsi="Arial"/>
                <w:sz w:val="18"/>
                <w:szCs w:val="18"/>
                <w:i w:val="1"/>
                <w:iCs w:val="1"/>
                <w:color w:val="auto"/>
              </w:rPr>
              <w:t>Interest Expens</w:t>
            </w:r>
            <w:r>
              <w:rPr>
                <w:rFonts w:ascii="Arial" w:cs="Arial" w:eastAsia="Arial" w:hAnsi="Arial"/>
                <w:sz w:val="18"/>
                <w:szCs w:val="18"/>
                <w:color w:val="auto"/>
              </w:rPr>
              <w:t>e</w:t>
            </w:r>
            <w:r>
              <w:rPr>
                <w:rFonts w:ascii="Arial" w:cs="Arial" w:eastAsia="Arial" w:hAnsi="Arial"/>
                <w:sz w:val="18"/>
                <w:szCs w:val="18"/>
                <w:i w:val="1"/>
                <w:iCs w:val="1"/>
                <w:color w:val="auto"/>
              </w:rPr>
              <w:t xml:space="preserve"> (dollars in thousands)</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1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Year Ended December 31,</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Dollar</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120" w:type="dxa"/>
            <w:vAlign w:val="bottom"/>
            <w:gridSpan w:val="2"/>
          </w:tcPr>
          <w:p>
            <w:pPr>
              <w:jc w:val="right"/>
              <w:ind w:right="165"/>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Change</w:t>
            </w:r>
          </w:p>
        </w:tc>
      </w:tr>
      <w:tr>
        <w:trPr>
          <w:trHeight w:val="210"/>
        </w:trPr>
        <w:tc>
          <w:tcPr>
            <w:tcW w:w="1160" w:type="dxa"/>
            <w:vAlign w:val="bottom"/>
          </w:tcPr>
          <w:p>
            <w:pPr>
              <w:spacing w:after="0"/>
              <w:rPr>
                <w:sz w:val="18"/>
                <w:szCs w:val="18"/>
                <w:color w:val="auto"/>
              </w:rPr>
            </w:pPr>
          </w:p>
        </w:tc>
        <w:tc>
          <w:tcPr>
            <w:tcW w:w="29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Borders>
              <w:top w:val="single" w:sz="8" w:color="CCECFF"/>
            </w:tcBorders>
            <w:shd w:val="clear" w:color="auto" w:fill="CCECFF"/>
          </w:tcPr>
          <w:p>
            <w:pPr>
              <w:spacing w:after="0"/>
              <w:rPr>
                <w:sz w:val="18"/>
                <w:szCs w:val="18"/>
                <w:color w:val="auto"/>
              </w:rPr>
            </w:pPr>
          </w:p>
        </w:tc>
        <w:tc>
          <w:tcPr>
            <w:tcW w:w="700" w:type="dxa"/>
            <w:vAlign w:val="bottom"/>
            <w:tcBorders>
              <w:top w:val="single" w:sz="8" w:color="auto"/>
            </w:tcBorders>
            <w:shd w:val="clear" w:color="auto" w:fill="CCECFF"/>
          </w:tcPr>
          <w:p>
            <w:pPr>
              <w:jc w:val="right"/>
              <w:ind w:right="53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3"/>
              </w:rPr>
              <w:t>270</w:t>
            </w:r>
          </w:p>
        </w:tc>
        <w:tc>
          <w:tcPr>
            <w:tcW w:w="18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jc w:val="right"/>
              <w:ind w:right="78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CECFF"/>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CFF"/>
            </w:tcBorders>
            <w:shd w:val="clear" w:color="auto" w:fill="CCECFF"/>
          </w:tcPr>
          <w:p>
            <w:pPr>
              <w:spacing w:after="0"/>
              <w:rPr>
                <w:sz w:val="18"/>
                <w:szCs w:val="18"/>
                <w:color w:val="auto"/>
              </w:rPr>
            </w:pPr>
          </w:p>
        </w:tc>
      </w:tr>
    </w:tbl>
    <w:p>
      <w:pPr>
        <w:spacing w:after="0" w:line="6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Interest expense decreased $0.3 million for the year ended December 31, 2012 compared to the same period in 2011. The decrease is due to the conversion of the outstanding convertible promissory notes and related accrued interest into shares of our Series A convertible preferred stock in June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sz w:val="20"/>
                <w:szCs w:val="20"/>
                <w:color w:val="auto"/>
              </w:rPr>
            </w:pPr>
            <w:r>
              <w:rPr>
                <w:rFonts w:ascii="Arial" w:cs="Arial" w:eastAsia="Arial" w:hAnsi="Arial"/>
                <w:sz w:val="18"/>
                <w:szCs w:val="18"/>
                <w:i w:val="1"/>
                <w:iCs w:val="1"/>
                <w:color w:val="auto"/>
              </w:rPr>
              <w:t>Other Expense, net (dollars in thousands)</w:t>
            </w: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4"/>
              </w:rPr>
              <w:t>Year Ended December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Dollar</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1160" w:type="dxa"/>
            <w:vAlign w:val="bottom"/>
          </w:tcPr>
          <w:p>
            <w:pPr>
              <w:spacing w:after="0"/>
              <w:rPr>
                <w:sz w:val="18"/>
                <w:szCs w:val="18"/>
                <w:color w:val="auto"/>
              </w:rPr>
            </w:pPr>
          </w:p>
        </w:tc>
        <w:tc>
          <w:tcPr>
            <w:tcW w:w="306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8"/>
                <w:szCs w:val="18"/>
                <w:color w:val="auto"/>
              </w:rPr>
              <w:t>Other expense, net</w:t>
            </w:r>
          </w:p>
        </w:tc>
        <w:tc>
          <w:tcPr>
            <w:tcW w:w="1200" w:type="dxa"/>
            <w:vAlign w:val="bottom"/>
            <w:tcBorders>
              <w:top w:val="single" w:sz="8" w:color="CCECFF"/>
            </w:tcBorders>
            <w:shd w:val="clear" w:color="auto" w:fill="CCECFF"/>
          </w:tcPr>
          <w:p>
            <w:pPr>
              <w:spacing w:after="0"/>
              <w:rPr>
                <w:sz w:val="18"/>
                <w:szCs w:val="18"/>
                <w:color w:val="auto"/>
              </w:rPr>
            </w:pPr>
          </w:p>
        </w:tc>
        <w:tc>
          <w:tcPr>
            <w:tcW w:w="760" w:type="dxa"/>
            <w:vAlign w:val="bottom"/>
            <w:tcBorders>
              <w:top w:val="single" w:sz="8" w:color="auto"/>
            </w:tcBorders>
            <w:shd w:val="clear" w:color="auto" w:fill="CCECFF"/>
          </w:tcPr>
          <w:p>
            <w:pPr>
              <w:jc w:val="right"/>
              <w:ind w:right="59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top w:val="single" w:sz="8" w:color="CCECFF"/>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rPr>
              <w:t>1491%</w:t>
            </w:r>
          </w:p>
        </w:tc>
        <w:tc>
          <w:tcPr>
            <w:tcW w:w="100" w:type="dxa"/>
            <w:vAlign w:val="bottom"/>
            <w:tcBorders>
              <w:top w:val="single" w:sz="8" w:color="CCECFF"/>
            </w:tcBorders>
            <w:shd w:val="clear" w:color="auto" w:fill="CCECFF"/>
          </w:tcPr>
          <w:p>
            <w:pPr>
              <w:spacing w:after="0"/>
              <w:rPr>
                <w:sz w:val="18"/>
                <w:szCs w:val="18"/>
                <w:color w:val="auto"/>
              </w:rPr>
            </w:pPr>
          </w:p>
        </w:tc>
      </w:tr>
    </w:tbl>
    <w:p>
      <w:pPr>
        <w:spacing w:after="0" w:line="67"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Other expense, net increased $0.3 million for the year ended December 31, 2012 compared to the same period in 2011. This was primarily due to the $0.3 million increase in expense for the fair value remeasurement of the liability related to our convertible preferred stock warrants.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Since our inception, we have funded our operations primarily with $103.9 million in net proceeds from the sale of convertible preferred stock. As of December 31, 2013, we had $53.4 million in available cash, cash equivalents, and short-term investments and had incurred cumulative net losses of $59.6 million. Our cash, cash equivalents and short-term investments are held in a variety of interest-bearing accounts, including corporate debt securities and money market accounts. Cash in excess of immediate requirements is invested with a view toward liquidity and capital preservation, and we seek to minimize the potential effects of concentration and credit risk.</w:t>
      </w:r>
    </w:p>
    <w:p>
      <w:pPr>
        <w:spacing w:after="0" w:line="5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January 30, 2014, the Company’s registration statements on Form S-1 (File Nos. 333-192244 and 333-193675) relating to the IPO of its common stock were declared effective by the SEC. The shares began trading on The NASDAQ Global Select Market on January 31, 2014. The public offering price of the shares sold in the offering was $21.00 per share. The IPO closed on February 5, 2014 and included 6,624,423 shares of common stock, which included 864,054 shares of common stock issued pursuant to the over-allotment option granted to the underwriters. The Company received total proceeds from the offering of $129.4 million, net of underwriting discounts and commissions of $9.7 million. After deducting offering expenses of approximately $3.3 million and a cash dividend of $4.3 million paid to the preferred stockholders, net proceeds were approximately $121.7 million. Upon the closing of the IPO, all shares of convertible preferred stock then outstanding converted into 19,598,486 shares of common stock. In addition all of our outstanding warrants that were exercisable to purchase shares convertible preferred stock became exercisable to purchase shares of our common stock. The warrants will no longer be subject to remeasurement and were reclassified from a liability to permanent equity.</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86"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(47,734)</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r>
      <w:tr>
        <w:trPr>
          <w:trHeight w:val="210"/>
        </w:trPr>
        <w:tc>
          <w:tcPr>
            <w:tcW w:w="4860" w:type="dxa"/>
            <w:vAlign w:val="bottom"/>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75,545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(78,763)</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9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primary use of cash is to fund operating expenses, which consist primarily of research and development expenditures. Due to our significant research and development expenditures, we have generated significant operating losses since our inception. Cash used to fund operating expenses is impacted by the timing of when we pay these expenses, as reflected in the change in our outstanding accounts payable and accrued expenses.</w:t>
      </w:r>
    </w:p>
    <w:p>
      <w:pPr>
        <w:spacing w:after="0" w:line="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Cash used in operating activities for the year ended December 31, 2013 was $31.2 million and reflected a net loss of $35.1 million, offset by non-cash charges of $0.4 million for depreciation and amortization, $1.4 million for the amortization of premium paid on purchased short-term investments, $0.7 million for stock-based compensation and $2.9 million for the revaluation of convertible preferred stock warrant liability. Cash used in operating activities also reflected a $1.6 million increase in prepaid expenses and other current assets primarily due to an increase in CRO prepaid expenses and an increase in interest income receivable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581" w:right="279" w:bottom="1440" w:gutter="0" w:footer="0" w:header="0"/>
        </w:sectPr>
      </w:pPr>
    </w:p>
    <w:bookmarkStart w:id="64" w:name="page65"/>
    <w:bookmarkEnd w:id="64"/>
    <w:p>
      <w:pPr>
        <w:jc w:val="both"/>
        <w:ind w:right="600"/>
        <w:spacing w:after="0" w:line="312" w:lineRule="auto"/>
        <w:rPr>
          <w:sz w:val="20"/>
          <w:szCs w:val="20"/>
          <w:color w:val="auto"/>
        </w:rPr>
      </w:pPr>
      <w:r>
        <w:rPr>
          <w:rFonts w:ascii="Arial" w:cs="Arial" w:eastAsia="Arial" w:hAnsi="Arial"/>
          <w:sz w:val="16"/>
          <w:szCs w:val="16"/>
          <w:color w:val="auto"/>
        </w:rPr>
        <w:t>as our invested funds increased with the sale of our Series B convertible preferred stock in December 2012, and a $2.6 million increase in other assets primarily related to deferred offering costs related to our IPO. These increases were offset by a $2.7 million increase in accounts payable and accrued liabilities primarily due to higher clinical study and related costs as we continued to increase our research and development activities.</w:t>
      </w:r>
    </w:p>
    <w:p>
      <w:pPr>
        <w:spacing w:after="0" w:line="12"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Cash used in operating activities for the year ended December 31, 2012 was $12.5 million and reflected a net loss of $16.3 million, offset by non-cash charges of $0.9 million for stock-based compensation, $0.3 million for depreciation and amortization, and $0.3 million expense for the revaluation of the convertible preferred stock warrant liability. Cash used in operating activities also reflected an increase in accounts payable and accrued and other liabilities of $2.4 million related to higher clinical study and related costs and other research and development activities.</w:t>
      </w:r>
    </w:p>
    <w:p>
      <w:pPr>
        <w:spacing w:after="0" w:line="2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Cash used in operating activities for the year ended December 31, 2011 was $5.8 million and reflected a net loss of $6.8 million, offset by non-cash charges of $0.3 million for interest expense related to the convertible promissory notes and $0.3 million for stock-based compensation. Cash used in operating activities also reflected an increase in accounts payable and accrued and other liabilities of $0.7 million as we continued to increase our research and development activities and the timing of payments made to our vendors, which was partially offset by an increase in prepaid expenses and other current assets of $0.2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90" w:lineRule="exact"/>
        <w:rPr>
          <w:sz w:val="20"/>
          <w:szCs w:val="20"/>
          <w:color w:val="auto"/>
        </w:rPr>
      </w:pPr>
    </w:p>
    <w:p>
      <w:pPr>
        <w:ind w:right="80" w:firstLine="518"/>
        <w:spacing w:after="0" w:line="306" w:lineRule="auto"/>
        <w:rPr>
          <w:sz w:val="20"/>
          <w:szCs w:val="20"/>
          <w:color w:val="auto"/>
        </w:rPr>
      </w:pPr>
      <w:r>
        <w:rPr>
          <w:rFonts w:ascii="Arial" w:cs="Arial" w:eastAsia="Arial" w:hAnsi="Arial"/>
          <w:sz w:val="17"/>
          <w:szCs w:val="17"/>
          <w:color w:val="auto"/>
        </w:rPr>
        <w:t>Cash used in investing activities for the year ended December 31, 2013 was $47.7 million and related to purchases of short-term investments of $64.0 million and property and equipment of $0.4 million, offset by proceeds from maturities of short-term investments of $16.6 million.</w:t>
      </w:r>
    </w:p>
    <w:p>
      <w:pPr>
        <w:spacing w:after="0" w:line="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Cash used in investing activities for the year ended December 31, 2012 was $1.2 million and related to purchases of property and equipment of $1.1 million related to our move to a new leased facility in March 2012 and an increase in restricted cash of $0.1 million.</w:t>
      </w:r>
    </w:p>
    <w:p>
      <w:pPr>
        <w:spacing w:after="0" w:line="2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Cash used in investing activities for the year ended December 31, 2011 was $0.9 million and was related to purchases of property and equipment of $0.5 million and an increase in restricted cash of $0.4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7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Cash provided by financing activities for the year ended December 31, 2013 was $0.2 million related to proceeds from the issuance of common stock for the exercise of stock options.</w:t>
      </w:r>
    </w:p>
    <w:p>
      <w:pPr>
        <w:spacing w:after="0" w:line="2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Cash provided by financing activities for the year ended December 31, 2012 was $89.2 million and primarily related to net proceeds from the issuance of convertible preferred stock of $89.0 million.</w:t>
      </w:r>
    </w:p>
    <w:p>
      <w:pPr>
        <w:spacing w:after="0" w:line="3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Cash provided by financing activities for the year ended December 31, 2011 was $17.3 million and related to net proceeds from the issuance of $14.9 million of convertible preferred stock and $2.4 million of promissory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8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We believe that our existing capital resources, including net proceeds we received from the closing of our IPO in February 2014, will be sufficient to meet to fund our current operations into 2016. We anticipate that we will continue to generate losses for the foreseeable future, and we expect the losses to increase as we continue the development of, and seek regulatory approvals for, our product candidates, and begin to commercialize any approved products. We expect that we will require additional capital to fund our operations and complete our ongoing and planned clinical studies, and funding may not be available to us on acceptable terms, or at all. We expect to finance future cash needs through equity or debt financings, strategic collaborations, or grants. If we are unable to raise additional capital in sufficient amounts or on terms acceptable to us, we may be required to delay, limit, reduce, or terminate our product development or future commercialization efforts or grant rights to develop and market product candidates that we would otherwise prefer to develop and market ourselves.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scope, rate of progress, results and cost of our clinical studies, nonclinical testing, and other related activities;</w:t>
      </w:r>
    </w:p>
    <w:p>
      <w:pPr>
        <w:spacing w:after="0" w:line="12" w:lineRule="exact"/>
        <w:rPr>
          <w:sz w:val="20"/>
          <w:szCs w:val="20"/>
          <w:color w:val="auto"/>
        </w:rPr>
      </w:pPr>
    </w:p>
    <w:p>
      <w:pPr>
        <w:ind w:left="900" w:right="54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of manufacturing clinical supplies, and establishing commercial supplies, of our product candidates and any products that we may develop;</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number and characteristics of product candidates that we pursue;</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timing, and outcomes of regulatory approvals;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cost and timing of establishing sales, marketing, and distribution capabilities; and</w:t>
      </w:r>
    </w:p>
    <w:p>
      <w:pPr>
        <w:ind w:left="900" w:right="8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terms and timing of any collaborative, licensing, and other arrangements that we may establish, including any required upfront milestone and royalty payments thereunder.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36"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7"/>
        </w:trPr>
        <w:tc>
          <w:tcPr>
            <w:tcW w:w="7620" w:type="dxa"/>
            <w:vAlign w:val="bottom"/>
            <w:gridSpan w:val="8"/>
          </w:tcPr>
          <w:p>
            <w:pPr>
              <w:jc w:val="right"/>
              <w:spacing w:after="0"/>
              <w:rPr>
                <w:sz w:val="20"/>
                <w:szCs w:val="20"/>
                <w:color w:val="auto"/>
              </w:rPr>
            </w:pPr>
            <w:r>
              <w:rPr>
                <w:rFonts w:ascii="Arial" w:cs="Arial" w:eastAsia="Arial" w:hAnsi="Arial"/>
                <w:sz w:val="18"/>
                <w:szCs w:val="18"/>
                <w:color w:val="auto"/>
                <w:w w:val="97"/>
              </w:rPr>
              <w:t>The following table summarizes our contractual obligations at December 31, 2013 (in thousands):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rPr>
              <w:t>Payments due by period *</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7"/>
              </w:rPr>
              <w:t>More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8"/>
              </w:rPr>
              <w:t>Less than</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1 to 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3 to 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than 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0"/>
        </w:trPr>
        <w:tc>
          <w:tcPr>
            <w:tcW w:w="116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1,330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*—Includes additional lease payments under the lease amendment entered into in February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9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We have chosen to “opt out” of this provision and, as a result, we will comply with new or revised accounting standards as required when they are adopted. This decision to opt out of the extended transition period under the JOBS Act is irrevocable.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Adopted Accounting Pronouncements</w:t>
      </w:r>
    </w:p>
    <w:p>
      <w:pPr>
        <w:spacing w:after="0" w:line="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February 2013, the Financial Accounting Standards Board issued Accounting Standards Update No. 2013-02, or ASU 2013-02, Reporting of Amounts Reclassified Out of Accumulated Other Comprehensive Income. ASU 2013-02 requires reporting and disclosure about changes in accumulated other comprehensive income balances and reclassifications out of accumulated other comprehensive income. We adopted this guidance as of January 1, 2013 on a prospective basis, and this adoption did not have an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our inception in April 2010, we have not engaged in any off-balance sheet arrangements, as defined in the rules and regulations of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exposure to market risk for changes in interest rates relates primarily to interest earned on our cash equivalents and short-term investments.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December 31, 2013, we had cash, cash equivalents, and short-term investments totaling $53.4 million consisting of bank deposits, money market funds, and investment-grade corporate bonds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 change in interest rates during any of the period presented would not have had a material impact on our financial statements. To date, we have not experienced a loss of principal on any of our investments.</w:t>
      </w:r>
    </w:p>
    <w:p>
      <w:pPr>
        <w:spacing w:after="0" w:line="3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A hypothetical 10% change in foreign exchange rates during any of the periods presented would not have had a material impact on our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statements are annexed to this report beginning on page F-1 and are incorporated by reference into this Item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9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13a-15(b) and 15d-15(b) under the Exchange Act.</w:t>
      </w:r>
    </w:p>
    <w:p>
      <w:pPr>
        <w:spacing w:after="0" w:line="3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Securities and Exchange Commission rules and forms as of December 31, 2013.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registered public accounting firm due to a transition period established by the rules of the Securities and Exchange Commission for newly public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1"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under the Exchange Act) during our fourth fiscal quarter ended December 31, 2013, that has materially affected, or is reasonably likely to materially affect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On February 28, 2014, the Compensation Committee of the Board of Directors of the Company approved annual increases in the base salaries of our named executive officers, as set forth below and described in “Item 11. Executive Compensation.”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4320" w:type="dxa"/>
            <w:vAlign w:val="bottom"/>
          </w:tcPr>
          <w:p>
            <w:pPr>
              <w:ind w:left="1980"/>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New Salary</w:t>
            </w: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Emil D. Kakkis, M.D., Ph.D.</w:t>
            </w:r>
          </w:p>
        </w:tc>
        <w:tc>
          <w:tcPr>
            <w:tcW w:w="160" w:type="dxa"/>
            <w:vAlign w:val="bottom"/>
            <w:tcBorders>
              <w:top w:val="single" w:sz="8" w:color="CCECFF"/>
            </w:tcBorders>
            <w:shd w:val="clear" w:color="auto" w:fill="CCECFF"/>
          </w:tcPr>
          <w:p>
            <w:pPr>
              <w:spacing w:after="0"/>
              <w:rPr>
                <w:sz w:val="18"/>
                <w:szCs w:val="18"/>
                <w:color w:val="auto"/>
              </w:rPr>
            </w:pPr>
          </w:p>
        </w:tc>
        <w:tc>
          <w:tcPr>
            <w:tcW w:w="43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President and Chief Executive Officer</w:t>
            </w:r>
          </w:p>
        </w:tc>
        <w:tc>
          <w:tcPr>
            <w:tcW w:w="1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Borders>
              <w:top w:val="single" w:sz="8" w:color="CCECFF"/>
            </w:tcBorders>
            <w:shd w:val="clear" w:color="auto" w:fill="CCEC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Thomas Kassberg</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Chief Business Officer and Senior Vice President</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CFF"/>
          </w:tcPr>
          <w:p>
            <w:pPr>
              <w:spacing w:after="0"/>
              <w:rPr>
                <w:sz w:val="20"/>
                <w:szCs w:val="20"/>
                <w:color w:val="auto"/>
              </w:rPr>
            </w:pPr>
            <w:r>
              <w:rPr>
                <w:rFonts w:ascii="Arial" w:cs="Arial" w:eastAsia="Arial" w:hAnsi="Arial"/>
                <w:sz w:val="18"/>
                <w:szCs w:val="18"/>
                <w:color w:val="auto"/>
              </w:rPr>
              <w:t>Shalini Sharp</w:t>
            </w:r>
          </w:p>
        </w:tc>
        <w:tc>
          <w:tcPr>
            <w:tcW w:w="4480" w:type="dxa"/>
            <w:vAlign w:val="bottom"/>
            <w:gridSpan w:val="2"/>
            <w:shd w:val="clear" w:color="auto" w:fill="CCECFF"/>
          </w:tcPr>
          <w:p>
            <w:pPr>
              <w:ind w:left="160"/>
              <w:spacing w:after="0"/>
              <w:rPr>
                <w:sz w:val="20"/>
                <w:szCs w:val="20"/>
                <w:color w:val="auto"/>
              </w:rPr>
            </w:pPr>
            <w:r>
              <w:rPr>
                <w:rFonts w:ascii="Arial" w:cs="Arial" w:eastAsia="Arial" w:hAnsi="Arial"/>
                <w:sz w:val="18"/>
                <w:szCs w:val="18"/>
                <w:color w:val="auto"/>
              </w:rPr>
              <w:t>Chief Financial Officer and Senior Vice President</w:t>
            </w:r>
          </w:p>
        </w:tc>
        <w:tc>
          <w:tcPr>
            <w:tcW w:w="340" w:type="dxa"/>
            <w:vAlign w:val="bottom"/>
            <w:gridSpan w:val="2"/>
            <w:shd w:val="clear" w:color="auto" w:fill="CCEC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CFF"/>
          </w:tcPr>
          <w:p>
            <w:pPr>
              <w:spacing w:after="0"/>
              <w:rPr>
                <w:sz w:val="18"/>
                <w:szCs w:val="18"/>
                <w:color w:val="auto"/>
              </w:rPr>
            </w:pPr>
          </w:p>
        </w:tc>
      </w:tr>
    </w:tbl>
    <w:p>
      <w:pPr>
        <w:spacing w:after="0" w:line="53"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Effective March 24, 2014, Theodore A. Huizenga, 43, who has served as our Corporate Controller since January 2014, was appointed our Principal Accounting Officer. Prior to joining us, Mr. Huizenga served as Controller of Crescendo Bioscience from August 2013 until January 2014. Prior to Crescendo Bioscience, Mr. Huizenga was employed by RDV Corporation, where he served as Director of Finance – Investment Group from January 2008 through December 2012 and as Corporate Controller from September 2003 through December 2007. Mr. Huizenga previously was a Manager in the Audit and Assurance Practice with PricewaterhouseCoopers LLP from January 1998 to September 2003. Mr. Huizenga has a B.S. in Accounting from Calvin College and is a Certified Public Accountant.</w:t>
      </w:r>
    </w:p>
    <w:p>
      <w:pPr>
        <w:spacing w:after="0" w:line="45"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Company did not enter into any material compensatory plan contract or arrangement, or any material amendment thereto, with Mr. Huizenga in connection with his appointment as Principal Accounting Officer. Mr. Huizenga is not a party to any transaction required to be disclosed pursuant to Item 404(a) of Regulation S-K.</w:t>
      </w:r>
    </w:p>
    <w:p>
      <w:pPr>
        <w:spacing w:after="0" w:line="46"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On March 24, 2014, the amount of annual cash bonus awards for fiscal 2013 for our named executive officers became calculable, as set forth below and described in “Item 11. Executive Compensation.”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4360" w:type="dxa"/>
            <w:vAlign w:val="bottom"/>
          </w:tcPr>
          <w:p>
            <w:pPr>
              <w:ind w:left="2000"/>
              <w:spacing w:after="0"/>
              <w:rPr>
                <w:sz w:val="20"/>
                <w:szCs w:val="20"/>
                <w:color w:val="auto"/>
              </w:rPr>
            </w:pPr>
            <w:r>
              <w:rPr>
                <w:rFonts w:ascii="Arial" w:cs="Arial" w:eastAsia="Arial" w:hAnsi="Arial"/>
                <w:sz w:val="18"/>
                <w:szCs w:val="18"/>
                <w:b w:val="1"/>
                <w:bCs w:val="1"/>
                <w:color w:val="auto"/>
              </w:rPr>
              <w:t>Title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New Salary</w:t>
            </w: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Emil D. Kakkis, M.D., Ph.D.</w:t>
            </w:r>
          </w:p>
        </w:tc>
        <w:tc>
          <w:tcPr>
            <w:tcW w:w="180" w:type="dxa"/>
            <w:vAlign w:val="bottom"/>
            <w:tcBorders>
              <w:top w:val="single" w:sz="8" w:color="CCECFF"/>
            </w:tcBorders>
            <w:shd w:val="clear" w:color="auto" w:fill="CCECFF"/>
          </w:tcPr>
          <w:p>
            <w:pPr>
              <w:spacing w:after="0"/>
              <w:rPr>
                <w:sz w:val="18"/>
                <w:szCs w:val="18"/>
                <w:color w:val="auto"/>
              </w:rPr>
            </w:pPr>
          </w:p>
        </w:tc>
        <w:tc>
          <w:tcPr>
            <w:tcW w:w="43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President and Chief Executive Officer</w:t>
            </w:r>
          </w:p>
        </w:tc>
        <w:tc>
          <w:tcPr>
            <w:tcW w:w="16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140,910</w:t>
            </w:r>
          </w:p>
        </w:tc>
        <w:tc>
          <w:tcPr>
            <w:tcW w:w="80" w:type="dxa"/>
            <w:vAlign w:val="bottom"/>
            <w:tcBorders>
              <w:top w:val="single" w:sz="8" w:color="CCECFF"/>
            </w:tcBorders>
            <w:shd w:val="clear" w:color="auto" w:fill="CCEC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Thomas Kassberg</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Chief Business Officer and Senior Vice President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114,345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CFF"/>
          </w:tcPr>
          <w:p>
            <w:pPr>
              <w:spacing w:after="0"/>
              <w:rPr>
                <w:sz w:val="20"/>
                <w:szCs w:val="20"/>
                <w:color w:val="auto"/>
              </w:rPr>
            </w:pPr>
            <w:r>
              <w:rPr>
                <w:rFonts w:ascii="Arial" w:cs="Arial" w:eastAsia="Arial" w:hAnsi="Arial"/>
                <w:sz w:val="18"/>
                <w:szCs w:val="18"/>
                <w:color w:val="auto"/>
              </w:rPr>
              <w:t>Shalini Sharp</w:t>
            </w:r>
          </w:p>
        </w:tc>
        <w:tc>
          <w:tcPr>
            <w:tcW w:w="454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Chief Financial Officer and Senior Vice President</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110,206</w:t>
            </w:r>
          </w:p>
        </w:tc>
        <w:tc>
          <w:tcPr>
            <w:tcW w:w="80" w:type="dxa"/>
            <w:vAlign w:val="bottom"/>
            <w:shd w:val="clear" w:color="auto" w:fill="CCEC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364"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Board of Directors</w:t>
      </w:r>
    </w:p>
    <w:p>
      <w:pPr>
        <w:spacing w:after="0" w:line="9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number of directors currently authorized to serve on our Board is six, and the terms of office of the directors are divided into three classes: Class I, whose term will expire at the annual meeting of stockholders to be held in 2014; Class II, whose term will expire at the annual meeting of stockholders to be held in 2015; and Class III, whose term will expire at the annual meeting of stockholders to be held in 2016.</w:t>
      </w:r>
    </w:p>
    <w:p>
      <w:pPr>
        <w:spacing w:after="0" w:line="33"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Certain information regarding each of our directors, including his age as of March 14, 2014, experience, qualifications, attributes and skills that led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to conclude that the individual should serve on the Board and his principal occupation and directorships during the past five years, is set forth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Director</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Year Current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Current</w:t>
            </w: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Position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Since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 Expires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 Class</w:t>
            </w:r>
          </w:p>
        </w:tc>
      </w:tr>
      <w:tr>
        <w:trPr>
          <w:trHeight w:val="210"/>
        </w:trPr>
        <w:tc>
          <w:tcPr>
            <w:tcW w:w="3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Emil D. Kakkis, M.D., Ph.D.</w:t>
            </w:r>
          </w:p>
        </w:tc>
        <w:tc>
          <w:tcPr>
            <w:tcW w:w="1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top w:val="single" w:sz="8" w:color="CFF0FC"/>
            </w:tcBorders>
            <w:shd w:val="clear" w:color="auto" w:fill="CFF0FC"/>
          </w:tcPr>
          <w:p>
            <w:pPr>
              <w:spacing w:after="0"/>
              <w:rPr>
                <w:sz w:val="18"/>
                <w:szCs w:val="18"/>
                <w:color w:val="auto"/>
              </w:rPr>
            </w:pPr>
          </w:p>
        </w:tc>
        <w:tc>
          <w:tcPr>
            <w:tcW w:w="3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Eran Nadav, Ph.D.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8"/>
                <w:szCs w:val="18"/>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Chairman of the Board</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William Aliski</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FF0FC"/>
          </w:tcPr>
          <w:p>
            <w:pPr>
              <w:spacing w:after="0"/>
              <w:rPr>
                <w:sz w:val="18"/>
                <w:szCs w:val="18"/>
                <w:color w:val="auto"/>
              </w:rPr>
            </w:pPr>
          </w:p>
        </w:tc>
        <w:tc>
          <w:tcPr>
            <w:tcW w:w="33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5"/>
              </w:rPr>
              <w:t>Director</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III</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Matthew K. Fust</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8"/>
                <w:szCs w:val="18"/>
                <w:color w:val="auto"/>
              </w:rPr>
            </w:pPr>
          </w:p>
        </w:tc>
        <w:tc>
          <w:tcPr>
            <w:tcW w:w="33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16"/>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Clay B. Siegall, Ph.D.</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FF0FC"/>
          </w:tcPr>
          <w:p>
            <w:pPr>
              <w:spacing w:after="0"/>
              <w:rPr>
                <w:sz w:val="18"/>
                <w:szCs w:val="18"/>
                <w:color w:val="auto"/>
              </w:rPr>
            </w:pPr>
          </w:p>
        </w:tc>
        <w:tc>
          <w:tcPr>
            <w:tcW w:w="33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5"/>
              </w:rPr>
              <w:t>Director</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II</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Mårten Steen, M.D., Ph.D.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0"/>
                <w:szCs w:val="20"/>
                <w:color w:val="auto"/>
              </w:rPr>
            </w:pPr>
          </w:p>
        </w:tc>
        <w:tc>
          <w:tcPr>
            <w:tcW w:w="33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I</w:t>
            </w:r>
          </w:p>
        </w:tc>
      </w:tr>
    </w:tbl>
    <w:p>
      <w:pPr>
        <w:spacing w:after="0" w:line="4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b w:val="1"/>
          <w:bCs w:val="1"/>
          <w:color w:val="auto"/>
        </w:rPr>
        <w:t xml:space="preserve">Emil D. Kakkis, M.D., Ph.D. </w:t>
      </w:r>
      <w:r>
        <w:rPr>
          <w:rFonts w:ascii="Arial" w:cs="Arial" w:eastAsia="Arial" w:hAnsi="Arial"/>
          <w:sz w:val="18"/>
          <w:szCs w:val="18"/>
          <w:color w:val="auto"/>
        </w:rPr>
        <w:t>is our founder and has served as our President and Chief Executive Officer and as a member of our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inception in April 2010. Prior to Ultragenyx, Dr. Kakkis served from September 1998 to February 2009 in various executive capacities, and ultimately as Chief Medical Officer, at BioMarin Pharmaceutical Inc., a biopharmaceutical company. Dr. Kakkis also serves as President and Founder of EveryLife Foundation for Rare Diseases, a non-profit organization he started in 2009 to accelerate biotechnology innovation for rare diseases. Dr. Kakkis is board certified in both Pediatrics and Medical Genetics. He holds a B.A. in Biology from Pomona College and received combined M.D. and Ph.D. degrees from the UCLA School of Medicine’s Medical Scientist Training Program where he received the Bogen prize for his research. We believe that Dr. Kakkis possesses specific expert knowledge of genetics and rare diseases that qualifies him to serve on our Board, including his leadership, management, and operational experience in the life sciences sector.</w:t>
      </w:r>
    </w:p>
    <w:p>
      <w:pPr>
        <w:spacing w:after="0" w:line="37" w:lineRule="exact"/>
        <w:rPr>
          <w:sz w:val="20"/>
          <w:szCs w:val="20"/>
          <w:color w:val="auto"/>
        </w:rPr>
      </w:pPr>
    </w:p>
    <w:p>
      <w:pPr>
        <w:ind w:right="40" w:firstLine="518"/>
        <w:spacing w:after="0" w:line="275" w:lineRule="auto"/>
        <w:rPr>
          <w:sz w:val="20"/>
          <w:szCs w:val="20"/>
          <w:color w:val="auto"/>
        </w:rPr>
      </w:pPr>
      <w:r>
        <w:rPr>
          <w:rFonts w:ascii="Arial" w:cs="Arial" w:eastAsia="Arial" w:hAnsi="Arial"/>
          <w:sz w:val="16"/>
          <w:szCs w:val="16"/>
          <w:b w:val="1"/>
          <w:bCs w:val="1"/>
          <w:color w:val="auto"/>
        </w:rPr>
        <w:t xml:space="preserve">Eran Nadav, Ph.D. </w:t>
      </w:r>
      <w:r>
        <w:rPr>
          <w:rFonts w:ascii="Arial" w:cs="Arial" w:eastAsia="Arial" w:hAnsi="Arial"/>
          <w:sz w:val="16"/>
          <w:szCs w:val="16"/>
          <w:color w:val="auto"/>
        </w:rPr>
        <w:t>has served as a member of our Board since June 2011 and has served as our Chairman of the board since January 2012. Dr. Nadav</w:t>
      </w:r>
      <w:r>
        <w:rPr>
          <w:rFonts w:ascii="Arial" w:cs="Arial" w:eastAsia="Arial" w:hAnsi="Arial"/>
          <w:sz w:val="16"/>
          <w:szCs w:val="16"/>
          <w:b w:val="1"/>
          <w:bCs w:val="1"/>
          <w:color w:val="auto"/>
        </w:rPr>
        <w:t xml:space="preserve"> </w:t>
      </w:r>
      <w:r>
        <w:rPr>
          <w:rFonts w:ascii="Arial" w:cs="Arial" w:eastAsia="Arial" w:hAnsi="Arial"/>
          <w:sz w:val="16"/>
          <w:szCs w:val="16"/>
          <w:color w:val="auto"/>
        </w:rPr>
        <w:t>is a Managing Director at TPG Biotech</w:t>
      </w:r>
      <w:r>
        <w:rPr>
          <w:rFonts w:ascii="Arial" w:cs="Arial" w:eastAsia="Arial" w:hAnsi="Arial"/>
          <w:sz w:val="23"/>
          <w:szCs w:val="23"/>
          <w:color w:val="auto"/>
          <w:vertAlign w:val="superscript"/>
        </w:rPr>
        <w:t>®</w:t>
      </w:r>
      <w:r>
        <w:rPr>
          <w:rFonts w:ascii="Arial" w:cs="Arial" w:eastAsia="Arial" w:hAnsi="Arial"/>
          <w:sz w:val="16"/>
          <w:szCs w:val="16"/>
          <w:color w:val="auto"/>
        </w:rPr>
        <w:t>, the life science venture investment arm of TPG, a global private investment firm. Dr. Nadav joined TPG in 2007 with a focus on global pharmaceuticals and biotechnology investments. Prior to TPG, Dr. Nadav served as Business Development Director at Eisai, a pharmaceutical company, from September 2003 to August 2007 and also as a manager at Johnson &amp; Johnson Development Corporation, the venture capital arm of Johnson &amp; Johnson, a healthcare company, from November 1999 until July 2002. Dr. Nadav served on the board of directors of Eden Springs Ltd., a European provider of drinking water solutions for the workplace, from July 2010 until August 2011. Since June 2013 he has been serving on the board of directors of MacroGenics, Inc., a biopharmaceutical company. Dr. Nadav received a B.Sc. magna cum laude in Life Sciences, an M.Sc. magna cum laude and Ph.D. in Biochemistry, as well as an M.B.A., from Tel Aviv University. We believe that Dr. Nadav is qualified to serve on our Board due to his experience in the venture capital industry and his years of analyzing development opportunities in the life sciences sector.</w:t>
      </w:r>
    </w:p>
    <w:p>
      <w:pPr>
        <w:spacing w:after="0" w:line="36" w:lineRule="exact"/>
        <w:rPr>
          <w:sz w:val="20"/>
          <w:szCs w:val="20"/>
          <w:color w:val="auto"/>
        </w:rPr>
      </w:pPr>
    </w:p>
    <w:p>
      <w:pPr>
        <w:ind w:right="60" w:firstLine="518"/>
        <w:spacing w:after="0" w:line="292" w:lineRule="auto"/>
        <w:rPr>
          <w:sz w:val="20"/>
          <w:szCs w:val="20"/>
          <w:color w:val="auto"/>
        </w:rPr>
      </w:pPr>
      <w:r>
        <w:rPr>
          <w:rFonts w:ascii="Arial" w:cs="Arial" w:eastAsia="Arial" w:hAnsi="Arial"/>
          <w:sz w:val="16"/>
          <w:szCs w:val="16"/>
          <w:b w:val="1"/>
          <w:bCs w:val="1"/>
          <w:color w:val="auto"/>
        </w:rPr>
        <w:t xml:space="preserve">William Aliski </w:t>
      </w:r>
      <w:r>
        <w:rPr>
          <w:rFonts w:ascii="Arial" w:cs="Arial" w:eastAsia="Arial" w:hAnsi="Arial"/>
          <w:sz w:val="16"/>
          <w:szCs w:val="16"/>
          <w:color w:val="auto"/>
        </w:rPr>
        <w:t>has served as a member of our Board since January 2011. Mr. Aliski served as a commercial consultant for early stage orphan disease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including Enobia Pharma, from September 2011 until March 2012. Before that, Mr. Aliski served as Senior Vice President and Chief Commercial Officer of FoldRx Pharmaceuticals, a rare disease company that is now a wholly-owned subsidiary of Pfizer Inc., from June 2009 until March 2011, as Director of Simon Kucher Partners, a global consulting firm, from January 2008 until June 2009 and as General Manager of BioMarin Europe at BioMarin Pharmaceuticals Inc. from December 2005 until January 2008. Mr. Aliski received a B.S. in Economics and a Master of Social Planning from Boston College and an M.P.A. from the Kennedy School of Government at Harvard University. We believe that Mr. Aliski is qualified to serve on our Board due to his extensive experience in the life sciences industry, membership of various boards of directors, and his leadership and management experience.</w:t>
      </w:r>
    </w:p>
    <w:p>
      <w:pPr>
        <w:spacing w:after="0" w:line="13" w:lineRule="exact"/>
        <w:rPr>
          <w:sz w:val="20"/>
          <w:szCs w:val="20"/>
          <w:color w:val="auto"/>
        </w:rPr>
      </w:pPr>
    </w:p>
    <w:p>
      <w:pPr>
        <w:ind w:right="100" w:firstLine="518"/>
        <w:spacing w:after="0" w:line="295" w:lineRule="auto"/>
        <w:rPr>
          <w:sz w:val="20"/>
          <w:szCs w:val="20"/>
          <w:color w:val="auto"/>
        </w:rPr>
      </w:pPr>
      <w:r>
        <w:rPr>
          <w:rFonts w:ascii="Arial" w:cs="Arial" w:eastAsia="Arial" w:hAnsi="Arial"/>
          <w:sz w:val="16"/>
          <w:szCs w:val="16"/>
          <w:b w:val="1"/>
          <w:bCs w:val="1"/>
          <w:color w:val="auto"/>
        </w:rPr>
        <w:t xml:space="preserve">Matthew K. Fust </w:t>
      </w:r>
      <w:r>
        <w:rPr>
          <w:rFonts w:ascii="Arial" w:cs="Arial" w:eastAsia="Arial" w:hAnsi="Arial"/>
          <w:sz w:val="16"/>
          <w:szCs w:val="16"/>
          <w:color w:val="auto"/>
        </w:rPr>
        <w:t>has served as a member of our Board since January 2014. Mr. Fust served as Executive Vice President of Onyx Pharmaceuticals,</w:t>
      </w:r>
      <w:r>
        <w:rPr>
          <w:rFonts w:ascii="Arial" w:cs="Arial" w:eastAsia="Arial" w:hAnsi="Arial"/>
          <w:sz w:val="16"/>
          <w:szCs w:val="16"/>
          <w:b w:val="1"/>
          <w:bCs w:val="1"/>
          <w:color w:val="auto"/>
        </w:rPr>
        <w:t xml:space="preserve"> </w:t>
      </w:r>
      <w:r>
        <w:rPr>
          <w:rFonts w:ascii="Arial" w:cs="Arial" w:eastAsia="Arial" w:hAnsi="Arial"/>
          <w:sz w:val="16"/>
          <w:szCs w:val="16"/>
          <w:color w:val="auto"/>
        </w:rPr>
        <w:t>Inc., a biopharmaceutical company, from January 2009 until January 2014. Onyx Pharmaceuticals, Inc. was acquired by Amgen, Inc. in October 2013. From May 2003 to December 2008, Mr. Fust served as Chief Financial Officer at Jazz Pharmaceuticals, Inc., a specialty pharmaceutical company. From 2002 to 2003, Mr. Fust served as Chief Financial Officer at Perlegen Sciences, a biopharmaceutical company. Previously, he was Senior Vice President and Chief Financial Officer at ALZA Corporation, a pharmaceutical company, where he was an executive from 1996 until 2002. From 1991 until 1996, Mr. Fust was a manager in the healthcare strategy practice at Andersen Consulting. Mr. Fust serves on the Board of Directors of Sunesis Pharmaceuticals, Inc.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68" w:name="page69"/>
    <w:bookmarkEnd w:id="68"/>
    <w:p>
      <w:pPr>
        <w:ind w:right="420"/>
        <w:spacing w:after="0" w:line="286" w:lineRule="auto"/>
        <w:rPr>
          <w:sz w:val="20"/>
          <w:szCs w:val="20"/>
          <w:color w:val="auto"/>
        </w:rPr>
      </w:pPr>
      <w:r>
        <w:rPr>
          <w:rFonts w:ascii="Arial" w:cs="Arial" w:eastAsia="Arial" w:hAnsi="Arial"/>
          <w:sz w:val="17"/>
          <w:szCs w:val="17"/>
          <w:color w:val="auto"/>
        </w:rPr>
        <w:t>MacroGenics, Inc., both, biopharmaceutical companies. Mr. Fust received a B.A. from the University of Minnesota and an M.B.A. from the Stanford Graduate School of Business. We believe that Mr. Fust is qualified to serve on our Board due to his extensive experience in the life sciences industry, his leadership and management experience, and his service as a director of another public biopharmaceutical company.</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Clay B. Siegall, Ph.D. </w:t>
      </w:r>
      <w:r>
        <w:rPr>
          <w:rFonts w:ascii="Arial" w:cs="Arial" w:eastAsia="Arial" w:hAnsi="Arial"/>
          <w:sz w:val="16"/>
          <w:szCs w:val="16"/>
          <w:color w:val="auto"/>
        </w:rPr>
        <w:t>has served as a member of our Board since January 2014. Dr. Siegall currently serves as President and Chief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Chairman of the Board of Seattle Genetics, Inc., a biotechnology company. Dr. Siegall co-founded Seattle Genetics in 1998. Prior to Seattle Genetics,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Siegall worked for the Bristol-Myers Squibb Pharmaceutical Research Institute from 1991 to 1997 and the National Cancer Institute, National Institutes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 from 1988 to 1991. In addition to Seattle Genetics, Dr. Siegall serves as a director of Alder BioPharmaceuticals, Inc., a privately-held biotechnology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Mirna Therapeutics, Inc., a privately-held biotechnology company. Dr. Siegall received a B.S. in Zoology from the University of Maryland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Ph.D. in Genetics from George Washington University. We believe that Dr. Siegall is qualified to serve on our Board due to his extensive experience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life sciences industry and his leadership and management experience.</w:t>
      </w:r>
    </w:p>
    <w:p>
      <w:pPr>
        <w:spacing w:after="0" w:line="58" w:lineRule="exact"/>
        <w:rPr>
          <w:sz w:val="20"/>
          <w:szCs w:val="20"/>
          <w:color w:val="auto"/>
        </w:rPr>
      </w:pPr>
    </w:p>
    <w:p>
      <w:pPr>
        <w:ind w:right="20" w:firstLine="518"/>
        <w:spacing w:after="0" w:line="303" w:lineRule="auto"/>
        <w:rPr>
          <w:sz w:val="20"/>
          <w:szCs w:val="20"/>
          <w:color w:val="auto"/>
        </w:rPr>
      </w:pPr>
      <w:r>
        <w:rPr>
          <w:rFonts w:ascii="Arial" w:cs="Arial" w:eastAsia="Arial" w:hAnsi="Arial"/>
          <w:sz w:val="16"/>
          <w:szCs w:val="16"/>
          <w:b w:val="1"/>
          <w:bCs w:val="1"/>
          <w:color w:val="auto"/>
        </w:rPr>
        <w:t xml:space="preserve">Mårten Steen, M.D., Ph.D. </w:t>
      </w:r>
      <w:r>
        <w:rPr>
          <w:rFonts w:ascii="Arial" w:cs="Arial" w:eastAsia="Arial" w:hAnsi="Arial"/>
          <w:sz w:val="16"/>
          <w:szCs w:val="16"/>
          <w:color w:val="auto"/>
        </w:rPr>
        <w:t>has served as a member of our Board since June 2011. Dr. Steen has served as a Partner at HealthCap, a private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firm, since March 2010. Prior to HealthCap, Dr. Steen served as Associate Director at Merck Serono, a biopharmaceutical company, from February 2008 until March 2010. Dr. Steen received a B.Sc. in Business Administration, an M.D. and a Ph.D. in Clinical Chemistry from Lund University. We believe that Dr. Steen is qualified to serve on our Board due to his medical and scientific background as well as his experience in the venture capital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 and Key Employees</w:t>
      </w:r>
    </w:p>
    <w:p>
      <w:pPr>
        <w:spacing w:after="0" w:line="94"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names of our executive officers and other key employees and their ages as of March 14, 2014 are set forth below. Officers are elected annually by the Board and hold office until their respective successors are qualified and appointed or until their earlier death, resignation, removal or disqualification.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800" w:type="dxa"/>
            <w:vAlign w:val="bottom"/>
            <w:gridSpan w:val="2"/>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 D. Kakkis, M.D., Ph.D.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Thomas Kassberg</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800" w:type="dxa"/>
            <w:vAlign w:val="bottom"/>
            <w:gridSpan w:val="2"/>
          </w:tcPr>
          <w:p>
            <w:pPr>
              <w:ind w:left="240"/>
              <w:spacing w:after="0"/>
              <w:rPr>
                <w:sz w:val="20"/>
                <w:szCs w:val="20"/>
                <w:color w:val="auto"/>
              </w:rPr>
            </w:pPr>
            <w:r>
              <w:rPr>
                <w:rFonts w:ascii="Arial" w:cs="Arial" w:eastAsia="Arial" w:hAnsi="Arial"/>
                <w:sz w:val="18"/>
                <w:szCs w:val="18"/>
                <w:color w:val="auto"/>
              </w:rPr>
              <w:t>Chief Business Officer and Senior Vice President</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Shalini Sharp</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Financial Officer and Senior Vice President</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Key Employees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Jungles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Vice President, Technical Operations</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Michael P. Cohrs, Ph. D.</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6800" w:type="dxa"/>
            <w:vAlign w:val="bottom"/>
            <w:gridSpan w:val="2"/>
          </w:tcPr>
          <w:p>
            <w:pPr>
              <w:ind w:left="240"/>
              <w:spacing w:after="0"/>
              <w:rPr>
                <w:sz w:val="20"/>
                <w:szCs w:val="20"/>
                <w:color w:val="auto"/>
              </w:rPr>
            </w:pPr>
            <w:r>
              <w:rPr>
                <w:rFonts w:ascii="Arial" w:cs="Arial" w:eastAsia="Arial" w:hAnsi="Arial"/>
                <w:sz w:val="18"/>
                <w:szCs w:val="18"/>
                <w:color w:val="auto"/>
              </w:rPr>
              <w:t>Vice President of Quality</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Ditton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Commercial Planning</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Tony Koutsoukos, Ph.D.</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800" w:type="dxa"/>
            <w:vAlign w:val="bottom"/>
            <w:gridSpan w:val="2"/>
          </w:tcPr>
          <w:p>
            <w:pPr>
              <w:ind w:left="240"/>
              <w:spacing w:after="0"/>
              <w:rPr>
                <w:sz w:val="20"/>
                <w:szCs w:val="20"/>
                <w:color w:val="auto"/>
              </w:rPr>
            </w:pPr>
            <w:r>
              <w:rPr>
                <w:rFonts w:ascii="Arial" w:cs="Arial" w:eastAsia="Arial" w:hAnsi="Arial"/>
                <w:sz w:val="18"/>
                <w:szCs w:val="18"/>
                <w:color w:val="auto"/>
              </w:rPr>
              <w:t>Vice President, Biometrics</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Cordelia Leonard, RAC</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Regulatory Affairs and Quality Assurance</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Javier San Martin, M.D.</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800" w:type="dxa"/>
            <w:vAlign w:val="bottom"/>
            <w:gridSpan w:val="2"/>
          </w:tcPr>
          <w:p>
            <w:pPr>
              <w:ind w:left="240"/>
              <w:spacing w:after="0"/>
              <w:rPr>
                <w:sz w:val="20"/>
                <w:szCs w:val="20"/>
                <w:color w:val="auto"/>
              </w:rPr>
            </w:pPr>
            <w:r>
              <w:rPr>
                <w:rFonts w:ascii="Arial" w:cs="Arial" w:eastAsia="Arial" w:hAnsi="Arial"/>
                <w:sz w:val="18"/>
                <w:szCs w:val="18"/>
                <w:color w:val="auto"/>
              </w:rPr>
              <w:t>Vice President, Clinical Development</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Vimal Srivastava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Program Development</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Michael Vellard, Ph.D.</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6800" w:type="dxa"/>
            <w:vAlign w:val="bottom"/>
            <w:gridSpan w:val="2"/>
          </w:tcPr>
          <w:p>
            <w:pPr>
              <w:ind w:left="240"/>
              <w:spacing w:after="0"/>
              <w:rPr>
                <w:sz w:val="20"/>
                <w:szCs w:val="20"/>
                <w:color w:val="auto"/>
              </w:rPr>
            </w:pPr>
            <w:r>
              <w:rPr>
                <w:rFonts w:ascii="Arial" w:cs="Arial" w:eastAsia="Arial" w:hAnsi="Arial"/>
                <w:sz w:val="18"/>
                <w:szCs w:val="18"/>
                <w:color w:val="auto"/>
              </w:rPr>
              <w:t>Vice President, Research</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Guthrie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Director, Clinical Operations</w:t>
            </w: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Alison Skrinar, Ph.D.</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6800" w:type="dxa"/>
            <w:vAlign w:val="bottom"/>
            <w:gridSpan w:val="2"/>
          </w:tcPr>
          <w:p>
            <w:pPr>
              <w:ind w:left="240"/>
              <w:spacing w:after="0"/>
              <w:rPr>
                <w:sz w:val="20"/>
                <w:szCs w:val="20"/>
                <w:color w:val="auto"/>
              </w:rPr>
            </w:pPr>
            <w:r>
              <w:rPr>
                <w:rFonts w:ascii="Arial" w:cs="Arial" w:eastAsia="Arial" w:hAnsi="Arial"/>
                <w:sz w:val="18"/>
                <w:szCs w:val="18"/>
                <w:color w:val="auto"/>
              </w:rPr>
              <w:t>Senior Director, Clinical Sciences</w:t>
            </w: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A. Huizenga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6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Controller and Principal Accounting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Biographical information for Dr. Kakkis is set forth above under the heading “Information About Our Board of Directors.”</w:t>
      </w:r>
    </w:p>
    <w:p>
      <w:pPr>
        <w:spacing w:after="0" w:line="86" w:lineRule="exact"/>
        <w:rPr>
          <w:sz w:val="20"/>
          <w:szCs w:val="20"/>
          <w:color w:val="auto"/>
        </w:rPr>
      </w:pPr>
    </w:p>
    <w:p>
      <w:pPr>
        <w:ind w:right="60" w:firstLine="518"/>
        <w:spacing w:after="0" w:line="292" w:lineRule="auto"/>
        <w:rPr>
          <w:sz w:val="20"/>
          <w:szCs w:val="20"/>
          <w:color w:val="auto"/>
        </w:rPr>
      </w:pPr>
      <w:r>
        <w:rPr>
          <w:rFonts w:ascii="Arial" w:cs="Arial" w:eastAsia="Arial" w:hAnsi="Arial"/>
          <w:sz w:val="16"/>
          <w:szCs w:val="16"/>
          <w:b w:val="1"/>
          <w:bCs w:val="1"/>
          <w:color w:val="auto"/>
        </w:rPr>
        <w:t xml:space="preserve">Thomas Kassberg </w:t>
      </w:r>
      <w:r>
        <w:rPr>
          <w:rFonts w:ascii="Arial" w:cs="Arial" w:eastAsia="Arial" w:hAnsi="Arial"/>
          <w:sz w:val="16"/>
          <w:szCs w:val="16"/>
          <w:color w:val="auto"/>
        </w:rPr>
        <w:t>has served as our Chief Business Officer and Senior Vice President since November 2011. Prior to Ultragenyx, Mr. Kassberg</w:t>
      </w:r>
      <w:r>
        <w:rPr>
          <w:rFonts w:ascii="Arial" w:cs="Arial" w:eastAsia="Arial" w:hAnsi="Arial"/>
          <w:sz w:val="16"/>
          <w:szCs w:val="16"/>
          <w:b w:val="1"/>
          <w:bCs w:val="1"/>
          <w:color w:val="auto"/>
        </w:rPr>
        <w:t xml:space="preserve"> </w:t>
      </w:r>
      <w:r>
        <w:rPr>
          <w:rFonts w:ascii="Arial" w:cs="Arial" w:eastAsia="Arial" w:hAnsi="Arial"/>
          <w:sz w:val="16"/>
          <w:szCs w:val="16"/>
          <w:color w:val="auto"/>
        </w:rPr>
        <w:t>worked as Vice President of Business Development at Corium International, Inc., a biotechnology company, from July 2010 until October 2011. Prior to his work at Corium International, Inc., Mr. Kassberg worked as an independent consultant in Corporate Development and Business Strategy and consulted with a number of companies from March 2009 to June 2010, including Corium International, Inc. and Rib-X Pharmaceuticals, Inc., a pharmaceutical company focused on the development of novel antibiotics. Before becoming a consultant, Mr. Kassberg worked at Proteolix, Inc., a biotechnology company subsequently acquired by Onyx Pharmaceuticals, from January 2008 until February 2009, where he served as Senior Vice President of Corporate Development. Mr. Kassberg holds a B.A. in Business Administration from Gustavus Adolphus College and an M.B.A. from Northwestern University.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36" w:right="239" w:bottom="1440" w:gutter="0" w:footer="0" w:header="0"/>
        </w:sectPr>
      </w:pPr>
    </w:p>
    <w:bookmarkStart w:id="69" w:name="page70"/>
    <w:bookmarkEnd w:id="69"/>
    <w:p>
      <w:pPr>
        <w:ind w:firstLine="518"/>
        <w:spacing w:after="0" w:line="274" w:lineRule="auto"/>
        <w:rPr>
          <w:sz w:val="20"/>
          <w:szCs w:val="20"/>
          <w:color w:val="auto"/>
        </w:rPr>
      </w:pPr>
      <w:r>
        <w:rPr>
          <w:rFonts w:ascii="Arial" w:cs="Arial" w:eastAsia="Arial" w:hAnsi="Arial"/>
          <w:sz w:val="17"/>
          <w:szCs w:val="17"/>
          <w:b w:val="1"/>
          <w:bCs w:val="1"/>
          <w:color w:val="auto"/>
        </w:rPr>
        <w:t xml:space="preserve">Shalini Sharp </w:t>
      </w:r>
      <w:r>
        <w:rPr>
          <w:rFonts w:ascii="Arial" w:cs="Arial" w:eastAsia="Arial" w:hAnsi="Arial"/>
          <w:sz w:val="17"/>
          <w:szCs w:val="17"/>
          <w:color w:val="auto"/>
        </w:rPr>
        <w:t>has served as our Chief Financial Officer and Senior Vice President since May 2012. Prior to Ultragenyx, Ms. Sharp served in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capacities, and ultimately as Chief Financial Officer, of Agenus Inc., a biotechnology company, from August 2003 until May 2012. Prior to Agenus, Ms. Sharp held strategic planning and corporate finance roles and ultimately served as chief of staff to the chairman of the board at Elan Pharmaceuticals, a biotechnology company, from August 1998 to August 1999 and September 2001 to August 2003. Prior to Elan, Ms. Sharp was a management consultant at McKinsey &amp; Company and an investment banker at Goldman Sachs, specializing in pharmaceuticals and medical devices. Ms. Sharp has also served as a board member of Agenus since May 2012. Ms. Sharp holds a B.A. and an M.B.A. from Harvard University.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77" w:lineRule="exact"/>
        <w:rPr>
          <w:sz w:val="20"/>
          <w:szCs w:val="20"/>
          <w:color w:val="auto"/>
        </w:rPr>
      </w:pPr>
    </w:p>
    <w:p>
      <w:pPr>
        <w:ind w:right="100" w:firstLine="518"/>
        <w:spacing w:after="0" w:line="258" w:lineRule="auto"/>
        <w:rPr>
          <w:sz w:val="20"/>
          <w:szCs w:val="20"/>
          <w:color w:val="auto"/>
        </w:rPr>
      </w:pPr>
      <w:r>
        <w:rPr>
          <w:rFonts w:ascii="Arial" w:cs="Arial" w:eastAsia="Arial" w:hAnsi="Arial"/>
          <w:sz w:val="18"/>
          <w:szCs w:val="18"/>
          <w:b w:val="1"/>
          <w:bCs w:val="1"/>
          <w:color w:val="auto"/>
        </w:rPr>
        <w:t xml:space="preserve">Steven Jungles </w:t>
      </w:r>
      <w:r>
        <w:rPr>
          <w:rFonts w:ascii="Arial" w:cs="Arial" w:eastAsia="Arial" w:hAnsi="Arial"/>
          <w:sz w:val="18"/>
          <w:szCs w:val="18"/>
          <w:color w:val="auto"/>
        </w:rPr>
        <w:t>has served as our Senior Vice President, Technical Operations since August 2011. Prior to Ultragenyx, Mr. Jungles worked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Supply Chain at BioMarin Pharmaceutical Inc., a biopharmaceutical company, from June 1999 to July 2011, was Associate Director of Operations at Harvard Gene Therapy Initiative from June 1997 until June 1999, and worked at Somatix Therapy Corporation, a research and development company in the field of gene therapy that was acquired by Cell Genesys, Inc., from March 1993 to May 1997. Mr. Jungles holds a B.S. in Biology from the University of Iowa.</w:t>
      </w:r>
    </w:p>
    <w:p>
      <w:pPr>
        <w:spacing w:after="0" w:line="35"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b w:val="1"/>
          <w:bCs w:val="1"/>
          <w:color w:val="auto"/>
        </w:rPr>
        <w:t xml:space="preserve">Michael P. Cohrs, Ph.D. </w:t>
      </w:r>
      <w:r>
        <w:rPr>
          <w:rFonts w:ascii="Arial" w:cs="Arial" w:eastAsia="Arial" w:hAnsi="Arial"/>
          <w:sz w:val="16"/>
          <w:szCs w:val="16"/>
          <w:color w:val="auto"/>
        </w:rPr>
        <w:t>has served as our Vice President of Quality since December 2013 and is responsible for overseeing our GMP, GLP, GCP, and</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Assay departments. Prior to Ultragenyx, Dr. Cohrs served as Senior Director of Quality Assurance/Quality Control at Medicines 360, a pharmaceutical company, from October 2012 through November 2013 and previously served as the Director of Quality Assurance at Medicines 360 from September 2009 through October 2012. Prior to Medicines 360, Dr. Cohrs served as the Director of Quality Assurance at Sunesis Pharmaceuticals Inc., a pharmaceutical company, from June 2007 to June 2008. Dr. Cohrs has also held increasingly responsible positions at a number of large pharmaceutical and small start-up companies, first in Quality Control and then in Quality Assurance, including Aventis Behring, Genetics Institute, Chiron, and InterMune.</w:t>
      </w:r>
    </w:p>
    <w:p>
      <w:pPr>
        <w:spacing w:after="0" w:line="4" w:lineRule="exact"/>
        <w:rPr>
          <w:sz w:val="20"/>
          <w:szCs w:val="20"/>
          <w:color w:val="auto"/>
        </w:rPr>
      </w:pPr>
    </w:p>
    <w:p>
      <w:pPr>
        <w:ind w:right="340"/>
        <w:spacing w:after="0" w:line="322" w:lineRule="auto"/>
        <w:rPr>
          <w:sz w:val="20"/>
          <w:szCs w:val="20"/>
          <w:color w:val="auto"/>
        </w:rPr>
      </w:pPr>
      <w:r>
        <w:rPr>
          <w:rFonts w:ascii="Arial" w:cs="Arial" w:eastAsia="Arial" w:hAnsi="Arial"/>
          <w:sz w:val="16"/>
          <w:szCs w:val="16"/>
          <w:color w:val="auto"/>
        </w:rPr>
        <w:t>Dr. Cohrs has also contributed to numerous regulatory submissions resulting in several product approvals in both the United States and Europe. Dr. Cohrs received his Ph.D. in Organic Chemistry from Washington University and an M.B.A. in International Business from the University of Chicago.</w:t>
      </w:r>
    </w:p>
    <w:p>
      <w:pPr>
        <w:spacing w:after="0" w:line="1" w:lineRule="exact"/>
        <w:rPr>
          <w:sz w:val="20"/>
          <w:szCs w:val="20"/>
          <w:color w:val="auto"/>
        </w:rPr>
      </w:pPr>
    </w:p>
    <w:p>
      <w:pPr>
        <w:ind w:firstLine="518"/>
        <w:spacing w:after="0" w:line="303" w:lineRule="auto"/>
        <w:rPr>
          <w:sz w:val="20"/>
          <w:szCs w:val="20"/>
          <w:color w:val="auto"/>
        </w:rPr>
      </w:pPr>
      <w:r>
        <w:rPr>
          <w:rFonts w:ascii="Arial" w:cs="Arial" w:eastAsia="Arial" w:hAnsi="Arial"/>
          <w:sz w:val="16"/>
          <w:szCs w:val="16"/>
          <w:b w:val="1"/>
          <w:bCs w:val="1"/>
          <w:color w:val="auto"/>
        </w:rPr>
        <w:t xml:space="preserve">John Ditton </w:t>
      </w:r>
      <w:r>
        <w:rPr>
          <w:rFonts w:ascii="Arial" w:cs="Arial" w:eastAsia="Arial" w:hAnsi="Arial"/>
          <w:sz w:val="16"/>
          <w:szCs w:val="16"/>
          <w:color w:val="auto"/>
        </w:rPr>
        <w:t>has served as our Vice President, Commercial Planning since April 2011. Prior to Ultragenyx, Mr. Ditton was the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at EveryLife Foundation for Rare Diseases, from January 2009 to April 2011. Prior to working at the EveryLife Foundation, Mr. Ditton served as the Vice President of Marketing at Diamics, Inc., a maker of cancer diagnostics, from October 2006 to December 2008 and Director of Global Marketing at BioMarin Pharmaceutical Inc., a biopharmaceutical company, from March 2004 to March 2006. Mr. Ditton holds an M.B.A. from the University of Tasmania.</w:t>
      </w:r>
    </w:p>
    <w:p>
      <w:pPr>
        <w:spacing w:after="0" w:line="3" w:lineRule="exact"/>
        <w:rPr>
          <w:sz w:val="20"/>
          <w:szCs w:val="20"/>
          <w:color w:val="auto"/>
        </w:rPr>
      </w:pPr>
    </w:p>
    <w:p>
      <w:pPr>
        <w:ind w:right="300" w:firstLine="518"/>
        <w:spacing w:after="0" w:line="289" w:lineRule="auto"/>
        <w:rPr>
          <w:sz w:val="20"/>
          <w:szCs w:val="20"/>
          <w:color w:val="auto"/>
        </w:rPr>
      </w:pPr>
      <w:r>
        <w:rPr>
          <w:rFonts w:ascii="Arial" w:cs="Arial" w:eastAsia="Arial" w:hAnsi="Arial"/>
          <w:sz w:val="16"/>
          <w:szCs w:val="16"/>
          <w:b w:val="1"/>
          <w:bCs w:val="1"/>
          <w:color w:val="auto"/>
        </w:rPr>
        <w:t xml:space="preserve">Tony Koutsoukos, Ph.D. </w:t>
      </w:r>
      <w:r>
        <w:rPr>
          <w:rFonts w:ascii="Arial" w:cs="Arial" w:eastAsia="Arial" w:hAnsi="Arial"/>
          <w:sz w:val="16"/>
          <w:szCs w:val="16"/>
          <w:color w:val="auto"/>
        </w:rPr>
        <w:t>has served as our Vice President of Biometrics since October 2013. Prior to Ultragenyx, Mr. Koutsoukos worked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Biometrics at Allos Therapeutics, a biopharmaceutical company, from September 2007 to March 2013, which was acquired by Spectrum Pharmaceuticals. He was also Director of Biostatistics at Amgen Inc., a biotechnology company, from May 2002 to September 2007. Prior to Amgen,</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Mr. Koutsoukos spent three years at Quintiles, a contract research company, as a Director of Biostatistics. His experience also includes five years at the FDA, Center for Drugs Evaluation and Research (CDER) division and approximately four years at the National Cancer Institute, Biometric Research Branch, CTEP, DCT. Dr. Koutsoukos received his Ph.D. and M.A., both in Mathematical Statistics from the University of Maryland, College Park.</w:t>
      </w:r>
    </w:p>
    <w:p>
      <w:pPr>
        <w:spacing w:after="0" w:line="21"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b w:val="1"/>
          <w:bCs w:val="1"/>
          <w:color w:val="auto"/>
        </w:rPr>
        <w:t xml:space="preserve">Cordelia Leonard </w:t>
      </w:r>
      <w:r>
        <w:rPr>
          <w:rFonts w:ascii="Arial" w:cs="Arial" w:eastAsia="Arial" w:hAnsi="Arial"/>
          <w:sz w:val="18"/>
          <w:szCs w:val="18"/>
          <w:color w:val="auto"/>
        </w:rPr>
        <w:t>has served as our Vice President, Regulatory Affairs and Quality Assurance since July 2011. Prior to Ultragenyx, Ms. Leonard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Director, Regulatory Affairs at BioMarin Pharmaceutical Inc., a biopharmaceutical company, from October 2003 until July 2011. Prior to BioMarin, Ms. Leonard was the Manager, Regulatory Affairs at Cerus Corporation, a biomedical products company, from May 1999 until October 2003. Ms. Leonard received bachelor degrees in Chemistry and Biological Science from the University of California, Irvine and holds both U.S. and EU Regulatory Affairs Certifications.</w:t>
      </w:r>
    </w:p>
    <w:p>
      <w:pPr>
        <w:spacing w:after="0" w:line="49" w:lineRule="exact"/>
        <w:rPr>
          <w:sz w:val="20"/>
          <w:szCs w:val="20"/>
          <w:color w:val="auto"/>
        </w:rPr>
      </w:pPr>
    </w:p>
    <w:p>
      <w:pPr>
        <w:ind w:right="120" w:firstLine="518"/>
        <w:spacing w:after="0" w:line="256" w:lineRule="auto"/>
        <w:rPr>
          <w:sz w:val="20"/>
          <w:szCs w:val="20"/>
          <w:color w:val="auto"/>
        </w:rPr>
      </w:pPr>
      <w:r>
        <w:rPr>
          <w:rFonts w:ascii="Arial" w:cs="Arial" w:eastAsia="Arial" w:hAnsi="Arial"/>
          <w:sz w:val="18"/>
          <w:szCs w:val="18"/>
          <w:b w:val="1"/>
          <w:bCs w:val="1"/>
          <w:color w:val="auto"/>
        </w:rPr>
        <w:t xml:space="preserve">Javier San Martin, M.D. </w:t>
      </w:r>
      <w:r>
        <w:rPr>
          <w:rFonts w:ascii="Arial" w:cs="Arial" w:eastAsia="Arial" w:hAnsi="Arial"/>
          <w:sz w:val="18"/>
          <w:szCs w:val="18"/>
          <w:color w:val="auto"/>
        </w:rPr>
        <w:t>has served as our Vice President, Clinical Development since December 2013. Prior to Ultragenyx, Dr. San Martin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Senior Vice President of Clinical Development at Alder Biopharmaceuticals Inc., a pharmaceutical company, from January 2012 through May 2013. Prior to Alder, Dr. San Martin served as Executive Director and Global Development Leader at Amgen, Inc., a biotechnology company, from March 2006 to September 2011. Prior to Amgen, Dr. San Martin served as Medical Advisor at Eli Lilly and Company, a pharmaceutical company, from June 1998 to February 2006. Dr. San Martin received his M.D. from the University of Buenos Aires Medical School and completed his residence in internal medicine at CEMIC University of Buenos Aires.</w:t>
      </w:r>
    </w:p>
    <w:p>
      <w:pPr>
        <w:spacing w:after="0" w:line="3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b w:val="1"/>
          <w:bCs w:val="1"/>
          <w:color w:val="auto"/>
        </w:rPr>
        <w:t xml:space="preserve">Vimal Srivastava </w:t>
      </w:r>
      <w:r>
        <w:rPr>
          <w:rFonts w:ascii="Arial" w:cs="Arial" w:eastAsia="Arial" w:hAnsi="Arial"/>
          <w:sz w:val="16"/>
          <w:szCs w:val="16"/>
          <w:color w:val="auto"/>
        </w:rPr>
        <w:t>has served as our Vice President, Program Development since August 2011. Before joining Ultragenyx, Mr. Srivastava was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Portfolio and Project Management at Elan/Janssen Alzheimer Immunotherapy, a biotechnology company, from January 2008 until August 2011. He was also Director, Global Program Manager, Diabetes at Amgen Inc., a biotechnology company, from September 2005 to January 2008 and Director, Program Management at BioMarin Pharmaceutical Inc., a biopharmaceutical company, from March 2003 to September 2005. Mr. Srivastava holds a B.S. in Pharmacy from Banaras Hindu University, an M.S. in Medicinal Chemistry from St. John’s University and an M.A.S. in Management from Johns Hopkins University.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32" w:right="239" w:bottom="1440" w:gutter="0" w:footer="0" w:header="0"/>
        </w:sectPr>
      </w:pPr>
    </w:p>
    <w:bookmarkStart w:id="70" w:name="page71"/>
    <w:bookmarkEnd w:id="70"/>
    <w:p>
      <w:pPr>
        <w:ind w:right="300" w:firstLine="518"/>
        <w:spacing w:after="0" w:line="258" w:lineRule="auto"/>
        <w:rPr>
          <w:sz w:val="20"/>
          <w:szCs w:val="20"/>
          <w:color w:val="auto"/>
        </w:rPr>
      </w:pPr>
      <w:r>
        <w:rPr>
          <w:rFonts w:ascii="Arial" w:cs="Arial" w:eastAsia="Arial" w:hAnsi="Arial"/>
          <w:sz w:val="18"/>
          <w:szCs w:val="18"/>
          <w:b w:val="1"/>
          <w:bCs w:val="1"/>
          <w:color w:val="auto"/>
        </w:rPr>
        <w:t xml:space="preserve">Michael Vellard, Ph.D. </w:t>
      </w:r>
      <w:r>
        <w:rPr>
          <w:rFonts w:ascii="Arial" w:cs="Arial" w:eastAsia="Arial" w:hAnsi="Arial"/>
          <w:sz w:val="18"/>
          <w:szCs w:val="18"/>
          <w:color w:val="auto"/>
        </w:rPr>
        <w:t>has served as our Vice President, Research since May 2013. Prior to joining Ultragenyx, Dr. Vellard worked as Head of</w:t>
      </w:r>
      <w:r>
        <w:rPr>
          <w:rFonts w:ascii="Arial" w:cs="Arial" w:eastAsia="Arial" w:hAnsi="Arial"/>
          <w:sz w:val="18"/>
          <w:szCs w:val="18"/>
          <w:b w:val="1"/>
          <w:bCs w:val="1"/>
          <w:color w:val="auto"/>
        </w:rPr>
        <w:t xml:space="preserve"> </w:t>
      </w:r>
      <w:r>
        <w:rPr>
          <w:rFonts w:ascii="Arial" w:cs="Arial" w:eastAsia="Arial" w:hAnsi="Arial"/>
          <w:sz w:val="18"/>
          <w:szCs w:val="18"/>
          <w:color w:val="auto"/>
        </w:rPr>
        <w:t>Lysosomal Biology at BioMarin Pharmaceutical Inc., a biopharmaceutical company, from October 1999 to May 2013. He was a postdoctoral fellow in the pediatric department at UCLA Harbor Medical Center from September 1992 to June 1995. Dr. Vellard received his B.S. in Natural and Life Sciences and M.S. in Molecular and Cellular Genetics from the University of Lyon I, France. He obtained his Ph.D. in Virology from the Pasteur and Curie Institutes (Universities Paris VI, VII and XI), France.</w:t>
      </w:r>
    </w:p>
    <w:p>
      <w:pPr>
        <w:spacing w:after="0" w:line="49" w:lineRule="exact"/>
        <w:rPr>
          <w:sz w:val="20"/>
          <w:szCs w:val="20"/>
          <w:color w:val="auto"/>
        </w:rPr>
      </w:pPr>
    </w:p>
    <w:p>
      <w:pPr>
        <w:ind w:right="160" w:firstLine="518"/>
        <w:spacing w:after="0" w:line="295" w:lineRule="auto"/>
        <w:rPr>
          <w:sz w:val="20"/>
          <w:szCs w:val="20"/>
          <w:color w:val="auto"/>
        </w:rPr>
      </w:pPr>
      <w:r>
        <w:rPr>
          <w:rFonts w:ascii="Arial" w:cs="Arial" w:eastAsia="Arial" w:hAnsi="Arial"/>
          <w:sz w:val="16"/>
          <w:szCs w:val="16"/>
          <w:b w:val="1"/>
          <w:bCs w:val="1"/>
          <w:color w:val="auto"/>
        </w:rPr>
        <w:t xml:space="preserve">Spencer Guthrie </w:t>
      </w:r>
      <w:r>
        <w:rPr>
          <w:rFonts w:ascii="Arial" w:cs="Arial" w:eastAsia="Arial" w:hAnsi="Arial"/>
          <w:sz w:val="16"/>
          <w:szCs w:val="16"/>
          <w:color w:val="auto"/>
        </w:rPr>
        <w:t>has served as our Senior Director, Clinical Operations since June 2012. Prior to Ultragenyx, Mr. Guthrie worked as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Operations and Project Team Leader at Elan Pharmaceuticals, a biotechnology company, and Janssen Alzheimer’s Immunotherapy from September 2007 to June 2012. Prior to that, Mr. Guthrie spent nine years with increasing responsibilities at Genentech in Clinical Operations and Market Planning. At Genentech, he worked on several innovative clinical programs, IND and BLA filings with Rituxan, Avastin, and Lucentis, including work on orphan indications. Mr. Guthrie also spent two years at ICON Clinical Research and a year at NASA’s space science lab. Mr. Guthrie received his B.A. in Neuroscience from Vanderbilt University, an M.B.A. from the University of California, Irvine and he is certified as a Project Management Professional.</w:t>
      </w:r>
    </w:p>
    <w:p>
      <w:pPr>
        <w:spacing w:after="0" w:line="7"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b w:val="1"/>
          <w:bCs w:val="1"/>
          <w:color w:val="auto"/>
        </w:rPr>
        <w:t xml:space="preserve">Alison Skrinar, Ph.D. </w:t>
      </w:r>
      <w:r>
        <w:rPr>
          <w:rFonts w:ascii="Arial" w:cs="Arial" w:eastAsia="Arial" w:hAnsi="Arial"/>
          <w:sz w:val="16"/>
          <w:szCs w:val="16"/>
          <w:color w:val="auto"/>
        </w:rPr>
        <w:t>has served as our Senior Director, Clinical Sciences since March 2012. Prior to joining Ultragenyx, Dr. Skrinar worked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Senior Director of Clinical Outcomes and Regulatory Affairs from February 2009 to February 2012 at Enobia Pharma, Inc., a private clinical stage orphan company focused on the development of an enzyme replacement therapy for hypophosphastasia, which was acquired by Alexion in 2012. Prior to Enobia Pharma, Dr. Skrinar was the Senior Director of Clinical Outcomes at Genzyme Corporation, a biotechnology company, from May 2001 until January 2009. In her nearly 15 years in the biotechnology industry, Dr. Skrinar has worked exclusively on the clinical development and regulatory approval of ultra-orphan drugs. Dr. Skrinar received a B.B.A. from Emory University and a Ph.D. and a Master of Public Health degree from the University of Alabama.</w:t>
      </w:r>
    </w:p>
    <w:p>
      <w:pPr>
        <w:spacing w:after="0" w:line="7" w:lineRule="exact"/>
        <w:rPr>
          <w:sz w:val="20"/>
          <w:szCs w:val="20"/>
          <w:color w:val="auto"/>
        </w:rPr>
      </w:pPr>
    </w:p>
    <w:p>
      <w:pPr>
        <w:ind w:right="140" w:firstLine="518"/>
        <w:spacing w:after="0" w:line="256" w:lineRule="auto"/>
        <w:rPr>
          <w:sz w:val="20"/>
          <w:szCs w:val="20"/>
          <w:color w:val="auto"/>
        </w:rPr>
      </w:pPr>
      <w:r>
        <w:rPr>
          <w:rFonts w:ascii="Arial" w:cs="Arial" w:eastAsia="Arial" w:hAnsi="Arial"/>
          <w:sz w:val="18"/>
          <w:szCs w:val="18"/>
          <w:b w:val="1"/>
          <w:bCs w:val="1"/>
          <w:color w:val="auto"/>
        </w:rPr>
        <w:t xml:space="preserve">Theodore A. Huizenga </w:t>
      </w:r>
      <w:r>
        <w:rPr>
          <w:rFonts w:ascii="Arial" w:cs="Arial" w:eastAsia="Arial" w:hAnsi="Arial"/>
          <w:sz w:val="18"/>
          <w:szCs w:val="18"/>
          <w:color w:val="auto"/>
        </w:rPr>
        <w:t>has served as our Corporate Controller since January 2014 and was appointed our Principal Accounting Officer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2014. Prior to joining us, Mr. Huizenga served as Controller of Crescendo Bioscience from August 2013 until January 2014. Prior to Crescendo Bioscience, Mr. Huizenga was employed by RDV Corporation, where he served as Director of Finance – Investment Group from January 2008 through December 2012 and as Corporate Controller from September 2003 through December 2007. Mr. Huizenga previously was a Manager in the Audit and Assurance Practice with PricewaterhouseCoopers LLP from January 1998 to September 2003. Mr. Huizenga has a B.S. in Accounting from Calvin College and is a Certified Public Accountant.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54" w:lineRule="exact"/>
        <w:rPr>
          <w:sz w:val="20"/>
          <w:szCs w:val="20"/>
          <w:color w:val="auto"/>
        </w:rPr>
      </w:pPr>
    </w:p>
    <w:p>
      <w:pPr>
        <w:ind w:firstLine="518"/>
        <w:spacing w:after="0" w:line="231" w:lineRule="auto"/>
        <w:rPr>
          <w:sz w:val="20"/>
          <w:szCs w:val="20"/>
          <w:color w:val="auto"/>
        </w:rPr>
      </w:pPr>
      <w:r>
        <w:rPr>
          <w:rFonts w:ascii="Arial" w:cs="Arial" w:eastAsia="Arial" w:hAnsi="Arial"/>
          <w:sz w:val="18"/>
          <w:szCs w:val="18"/>
          <w:color w:val="auto"/>
        </w:rPr>
        <w:t>Under Section 16(a) of the Exchange Act and SEC rules, our directors, executive officers and beneficial owners of more than 10% of any class of equity security are required to file periodic reports of their ownership, and changes in that ownership, with the SEC. Because we did not become subject to the reporting requirements of Section 16(a) of the Exchange Act until January 2014, there were no such applicable SEC filings for the fiscal year ended December 31,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67" w:lineRule="exact"/>
        <w:rPr>
          <w:sz w:val="20"/>
          <w:szCs w:val="20"/>
          <w:color w:val="auto"/>
        </w:rPr>
      </w:pPr>
    </w:p>
    <w:p>
      <w:pPr>
        <w:jc w:val="both"/>
        <w:ind w:right="20" w:firstLine="518"/>
        <w:spacing w:after="0" w:line="231"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Our code of business conduct and ethics is available on our website at </w:t>
      </w:r>
      <w:r>
        <w:rPr>
          <w:rFonts w:ascii="Arial" w:cs="Arial" w:eastAsia="Arial" w:hAnsi="Arial"/>
          <w:sz w:val="18"/>
          <w:szCs w:val="18"/>
          <w:i w:val="1"/>
          <w:iCs w:val="1"/>
          <w:color w:val="auto"/>
        </w:rPr>
        <w:t>www.ultragenyx.com</w:t>
      </w:r>
      <w:r>
        <w:rPr>
          <w:rFonts w:ascii="Arial" w:cs="Arial" w:eastAsia="Arial" w:hAnsi="Arial"/>
          <w:sz w:val="18"/>
          <w:szCs w:val="18"/>
          <w:color w:val="auto"/>
        </w:rPr>
        <w:t>. We intend to disclose any amendments to the code, or any waivers of its requirements, on our website. You may also request a printed copy of our code of ethics, without charge, by writing to us at 60 Leveroni Court, Novato, California 94949, Attn: Investor Relations.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94" w:lineRule="exact"/>
        <w:rPr>
          <w:sz w:val="20"/>
          <w:szCs w:val="20"/>
          <w:color w:val="auto"/>
        </w:rPr>
      </w:pPr>
    </w:p>
    <w:p>
      <w:pPr>
        <w:ind w:right="100" w:firstLine="571"/>
        <w:spacing w:after="0" w:line="235"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any breach of the director’s duty of loyalty to us or our stockholders;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any act or omission not in good faith or that involves intentional misconduct or a knowing violation of law;</w:t>
      </w:r>
    </w:p>
    <w:p>
      <w:pPr>
        <w:spacing w:after="0" w:line="72" w:lineRule="exact"/>
        <w:rPr>
          <w:sz w:val="20"/>
          <w:szCs w:val="20"/>
          <w:color w:val="auto"/>
        </w:rPr>
      </w:pPr>
    </w:p>
    <w:p>
      <w:pPr>
        <w:ind w:left="900" w:right="200" w:hanging="365"/>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any transaction from which the director derived an improper personal benefit.</w:t>
      </w:r>
    </w:p>
    <w:p>
      <w:pPr>
        <w:spacing w:after="0" w:line="73" w:lineRule="exact"/>
        <w:rPr>
          <w:sz w:val="20"/>
          <w:szCs w:val="20"/>
          <w:color w:val="auto"/>
        </w:rPr>
      </w:pPr>
    </w:p>
    <w:p>
      <w:pPr>
        <w:ind w:right="80" w:firstLine="518"/>
        <w:spacing w:after="0" w:line="266" w:lineRule="auto"/>
        <w:rPr>
          <w:sz w:val="20"/>
          <w:szCs w:val="20"/>
          <w:color w:val="auto"/>
        </w:rPr>
      </w:pPr>
      <w:r>
        <w:rPr>
          <w:rFonts w:ascii="Arial" w:cs="Arial" w:eastAsia="Arial" w:hAnsi="Arial"/>
          <w:sz w:val="16"/>
          <w:szCs w:val="16"/>
          <w:color w:val="auto"/>
        </w:rPr>
        <w:t>Our amended and restated certificate of incorporation provides that we are required to indemnify our directors and officers to the fullest extent permitted by Delaware law and also provides that we are obligated to advance expenses incurred by a director or officer in advance of the final disposition of any action or proceeding, and permit us to secure insurance on behalf of any officer, director, trustee, employee or other agent for any liability arising out of his or her actions in that capacity regardless of whether we would otherwise be permitted to indemnify him or her under Delaware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32" w:right="239" w:bottom="1440" w:gutter="0" w:footer="0" w:header="0"/>
        </w:sectPr>
      </w:pPr>
    </w:p>
    <w:bookmarkStart w:id="71" w:name="page72"/>
    <w:bookmarkEnd w:id="71"/>
    <w:p>
      <w:pPr>
        <w:ind w:firstLine="518"/>
        <w:spacing w:after="0" w:line="228" w:lineRule="auto"/>
        <w:rPr>
          <w:sz w:val="20"/>
          <w:szCs w:val="20"/>
          <w:color w:val="auto"/>
        </w:rPr>
      </w:pPr>
      <w:r>
        <w:rPr>
          <w:rFonts w:ascii="Arial" w:cs="Arial" w:eastAsia="Arial" w:hAnsi="Arial"/>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indemnification agreements and the provisions in our amended and restated certificate of incorporation are necessary to attract and retain qualified directors and officers. We also maintain directors’ and officers’ liability insurance.</w:t>
      </w:r>
    </w:p>
    <w:p>
      <w:pPr>
        <w:spacing w:after="0" w:line="57"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To the extent the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Our Audit Committee consists of Eran Nadav, Matthew Fust and Mårten Steen, with Matthew Fust serving as chairman of the committee. Our Board has determined that each member of the Audit Committee meets the independence requirements of Rule 10A-3 under the Exchange Act and the applicable listing standards of NASDAQ. Our Board has determined that Matthew Fust is an “audit committee financial expert” within the meaning of the SEC regulations and applicable listing standards of NASDAQ.</w:t>
      </w:r>
    </w:p>
    <w:p>
      <w:pPr>
        <w:spacing w:after="0" w:line="52" w:lineRule="exact"/>
        <w:rPr>
          <w:sz w:val="20"/>
          <w:szCs w:val="20"/>
          <w:color w:val="auto"/>
        </w:rPr>
      </w:pPr>
    </w:p>
    <w:p>
      <w:pPr>
        <w:ind w:right="80" w:firstLine="518"/>
        <w:spacing w:after="0" w:line="325" w:lineRule="auto"/>
        <w:rPr>
          <w:sz w:val="20"/>
          <w:szCs w:val="20"/>
          <w:color w:val="auto"/>
        </w:rPr>
      </w:pPr>
      <w:r>
        <w:rPr>
          <w:rFonts w:ascii="Arial" w:cs="Arial" w:eastAsia="Arial" w:hAnsi="Arial"/>
          <w:sz w:val="16"/>
          <w:szCs w:val="16"/>
          <w:color w:val="auto"/>
        </w:rPr>
        <w:t>Our Compensation Committee consists of Eran Nadav, William Aliski, and Clay Siegall, with Eran Nadav serving as chairman of the committee. Our Board has determined each member of the Compensation Committee is “independent” as defined under the applicable listing standards of NASDAQ.</w:t>
      </w:r>
    </w:p>
    <w:p>
      <w:pPr>
        <w:spacing w:after="0" w:line="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Nominating and Corporate Governance Committee consists of Matthew Fust, Eran Nadav and Mårten Steen, with Matthew Fust serving as chairman of the committee. Our board of directors has determined that each member of the nominating and corporate governance committee is “independent” as defined under the applicable listing standards of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 For a description of transactions between us and members of our Compensation Committee, please see “Item 13. Certain Relationships and Related Transactions and Director Independence”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an emerging growth company, the Company is not required to include a Compensation Discussion and Analysis section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following is a summary of the compensation arrangements of our named executive officers. Actual compensation programs that we may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22" w:right="27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sets forth the compensation earned during the years ended December 31, 2013 and 2012 to our chief executive officer and our next two highest-paid executive officers. We refer to these officers as our named executive officers.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w:t>
            </w:r>
          </w:p>
        </w:tc>
        <w:tc>
          <w:tcPr>
            <w:tcW w:w="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Incentive Plan</w:t>
            </w: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Salary</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Bonus</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Awards</w:t>
            </w:r>
            <w:r>
              <w:rPr>
                <w:rFonts w:ascii="Arial" w:cs="Arial" w:eastAsia="Arial" w:hAnsi="Arial"/>
                <w:sz w:val="15"/>
                <w:szCs w:val="15"/>
                <w:b w:val="1"/>
                <w:bCs w:val="1"/>
                <w:color w:val="auto"/>
              </w:rPr>
              <w:t>(1)</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r>
              <w:rPr>
                <w:rFonts w:ascii="Arial" w:cs="Arial" w:eastAsia="Arial" w:hAnsi="Arial"/>
                <w:sz w:val="15"/>
                <w:szCs w:val="15"/>
                <w:b w:val="1"/>
                <w:bCs w:val="1"/>
                <w:color w:val="auto"/>
              </w:rPr>
              <w:t>(2)</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1"/>
              </w:rPr>
              <w:t>Compensation</w:t>
            </w:r>
          </w:p>
        </w:tc>
        <w:tc>
          <w:tcPr>
            <w:tcW w:w="240" w:type="dxa"/>
            <w:vAlign w:val="bottom"/>
          </w:tcPr>
          <w:p>
            <w:pPr>
              <w:spacing w:after="0"/>
              <w:rPr>
                <w:sz w:val="20"/>
                <w:szCs w:val="20"/>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37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Emil D. Kakkis, M.D., Ph.D.</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$ 306,034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140,910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$ 685,538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President and Chief Executive Officer</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$ 300,172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$ 401,353</w:t>
            </w:r>
          </w:p>
        </w:tc>
      </w:tr>
      <w:tr>
        <w:trPr>
          <w:trHeight w:val="202"/>
        </w:trPr>
        <w:tc>
          <w:tcPr>
            <w:tcW w:w="3740" w:type="dxa"/>
            <w:vAlign w:val="bottom"/>
          </w:tcPr>
          <w:p>
            <w:pPr>
              <w:ind w:left="260"/>
              <w:spacing w:after="0" w:line="201" w:lineRule="exact"/>
              <w:rPr>
                <w:sz w:val="20"/>
                <w:szCs w:val="20"/>
                <w:color w:val="auto"/>
              </w:rPr>
            </w:pPr>
            <w:r>
              <w:rPr>
                <w:rFonts w:ascii="Arial" w:cs="Arial" w:eastAsia="Arial" w:hAnsi="Arial"/>
                <w:sz w:val="18"/>
                <w:szCs w:val="18"/>
                <w:color w:val="auto"/>
              </w:rPr>
              <w:t>Thomas Kassberg</w:t>
            </w:r>
          </w:p>
        </w:tc>
        <w:tc>
          <w:tcPr>
            <w:tcW w:w="9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2013</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$ 289,419</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182,394</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114,345</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20,352</w:t>
            </w:r>
          </w:p>
        </w:tc>
        <w:tc>
          <w:tcPr>
            <w:tcW w:w="240" w:type="dxa"/>
            <w:vAlign w:val="bottom"/>
          </w:tcPr>
          <w:p>
            <w:pPr>
              <w:spacing w:after="0"/>
              <w:rPr>
                <w:sz w:val="17"/>
                <w:szCs w:val="17"/>
                <w:color w:val="auto"/>
              </w:rPr>
            </w:pPr>
          </w:p>
        </w:tc>
        <w:tc>
          <w:tcPr>
            <w:tcW w:w="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$ 606,510</w:t>
            </w: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i w:val="1"/>
                <w:iCs w:val="1"/>
                <w:color w:val="auto"/>
              </w:rPr>
              <w:t>Chief Business Officer and Senior Vice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i w:val="1"/>
                <w:iCs w:val="1"/>
                <w:color w:val="auto"/>
              </w:rPr>
              <w:t>President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$ 272,041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81,813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15,640</w:t>
            </w:r>
          </w:p>
        </w:tc>
        <w:tc>
          <w:tcPr>
            <w:tcW w:w="240" w:type="dxa"/>
            <w:vAlign w:val="bottom"/>
          </w:tcPr>
          <w:p>
            <w:pPr>
              <w:jc w:val="right"/>
              <w:spacing w:after="0"/>
              <w:rPr>
                <w:sz w:val="20"/>
                <w:szCs w:val="20"/>
                <w:color w:val="auto"/>
              </w:rPr>
            </w:pPr>
            <w:r>
              <w:rPr>
                <w:rFonts w:ascii="Arial" w:cs="Arial" w:eastAsia="Arial" w:hAnsi="Arial"/>
                <w:sz w:val="15"/>
                <w:szCs w:val="15"/>
                <w:color w:val="auto"/>
              </w:rPr>
              <w:t>(4)</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$ 369,494</w:t>
            </w: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Shalini Sharp</w:t>
            </w:r>
            <w:r>
              <w:rPr>
                <w:rFonts w:ascii="Arial" w:cs="Arial" w:eastAsia="Arial" w:hAnsi="Arial"/>
                <w:sz w:val="15"/>
                <w:szCs w:val="15"/>
                <w:color w:val="auto"/>
              </w:rPr>
              <w:t>(5)</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$ 278,440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24,193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$ 625,233</w:t>
            </w:r>
          </w:p>
        </w:tc>
      </w:tr>
      <w:tr>
        <w:trPr>
          <w:trHeight w:val="202"/>
        </w:trPr>
        <w:tc>
          <w:tcPr>
            <w:tcW w:w="37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i w:val="1"/>
                <w:iCs w:val="1"/>
                <w:color w:val="auto"/>
              </w:rPr>
              <w:t>Chief Financial Officer and Senior Vice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President</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$ 148,669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$ 303,499</w:t>
            </w:r>
          </w:p>
        </w:tc>
      </w:tr>
    </w:tbl>
    <w:p>
      <w:pPr>
        <w:spacing w:after="0" w:line="67" w:lineRule="exact"/>
        <w:rPr>
          <w:sz w:val="20"/>
          <w:szCs w:val="20"/>
          <w:color w:val="auto"/>
        </w:rPr>
      </w:pPr>
    </w:p>
    <w:p>
      <w:pPr>
        <w:ind w:left="540" w:right="40" w:hanging="532"/>
        <w:spacing w:after="0" w:line="297"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grant date fair value of the stock options granted to our named executive officers during 2013 and 2012, respectively, as computed in accordance with Accounting Standards Codification, or ASC, Topic 718, not including any estimates of forfeitures. The assumptions used in calculating the grant date fair value of the stock options reported in this column are set forth in the notes to our financial statements included elsewhere in this annual report. Note that the amounts reported in this column reflect the accounting cost for these stock options, and do not correspond to the actual economic value that may be received by the named executive officers from the options.</w:t>
      </w:r>
    </w:p>
    <w:p>
      <w:pPr>
        <w:spacing w:after="0" w:line="9" w:lineRule="exact"/>
        <w:rPr>
          <w:rFonts w:ascii="Arial" w:cs="Arial" w:eastAsia="Arial" w:hAnsi="Arial"/>
          <w:sz w:val="16"/>
          <w:szCs w:val="16"/>
          <w:color w:val="auto"/>
        </w:rPr>
      </w:pPr>
    </w:p>
    <w:p>
      <w:pPr>
        <w:ind w:left="540" w:right="20" w:hanging="532"/>
        <w:spacing w:after="0" w:line="264"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for fiscal 2013 represent cash bonuses earned in fiscal 2013, and paid during 2014, based on achievement of performance goals and other factors deemed relevant by our Board. Amounts for fiscal 2012 represent cash bonuses earned in 2012, and paid during 2013, based on achievement of performance goals and other factors deemed relevant by our Board.</w:t>
      </w:r>
    </w:p>
    <w:p>
      <w:pPr>
        <w:spacing w:after="0" w:line="32" w:lineRule="exact"/>
        <w:rPr>
          <w:rFonts w:ascii="Arial" w:cs="Arial" w:eastAsia="Arial" w:hAnsi="Arial"/>
          <w:sz w:val="18"/>
          <w:szCs w:val="18"/>
          <w:color w:val="auto"/>
        </w:rPr>
      </w:pPr>
    </w:p>
    <w:p>
      <w:pPr>
        <w:ind w:left="540" w:right="740" w:hanging="532"/>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in this column consist of medical, dental, vision and life/accidental death &amp; dismemberment and key person life insurance premiums paid by us.</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in this column consist of medical, dental, vision and life/accidental death &amp; dismemberment premiums paid by us.</w:t>
      </w:r>
    </w:p>
    <w:p>
      <w:pPr>
        <w:spacing w:after="0" w:line="76"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Sharp commenced employment with us in May 2012.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Named Executive Officers</w:t>
      </w:r>
    </w:p>
    <w:p>
      <w:pPr>
        <w:spacing w:after="0" w:line="86" w:lineRule="exact"/>
        <w:rPr>
          <w:sz w:val="20"/>
          <w:szCs w:val="20"/>
          <w:color w:val="auto"/>
        </w:rPr>
      </w:pPr>
    </w:p>
    <w:p>
      <w:pPr>
        <w:jc w:val="both"/>
        <w:ind w:right="80" w:firstLine="518"/>
        <w:spacing w:after="0" w:line="287" w:lineRule="auto"/>
        <w:rPr>
          <w:sz w:val="20"/>
          <w:szCs w:val="20"/>
          <w:color w:val="auto"/>
        </w:rPr>
      </w:pPr>
      <w:r>
        <w:rPr>
          <w:rFonts w:ascii="Arial" w:cs="Arial" w:eastAsia="Arial" w:hAnsi="Arial"/>
          <w:sz w:val="16"/>
          <w:szCs w:val="16"/>
          <w:b w:val="1"/>
          <w:bCs w:val="1"/>
          <w:i w:val="1"/>
          <w:iCs w:val="1"/>
          <w:color w:val="auto"/>
        </w:rPr>
        <w:t>Emil D. Kakkis, M.D., Ph.D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President and Chief Executive Officer</w:t>
      </w:r>
      <w:r>
        <w:rPr>
          <w:rFonts w:ascii="Arial" w:cs="Arial" w:eastAsia="Arial" w:hAnsi="Arial"/>
          <w:sz w:val="16"/>
          <w:szCs w:val="16"/>
          <w:color w:val="auto"/>
        </w:rPr>
        <w:t>. We entered into an executive employment agreement with Dr. Kakkis in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for the position of President and Chief Executive Officer. Dr. Kakkis currently receives a base salary of $500,000, which is subject to adjustment at the discretion of the Board or the Compensation Committee. Dr. Kakkis is also eligible for an annual performance bonus of up to 35% of his base salary, payable based on his individual performance evaluated against certain goals mutually agreed upon and our overall performance, as determined by the Board.</w:t>
      </w:r>
    </w:p>
    <w:p>
      <w:pPr>
        <w:spacing w:after="0" w:line="3"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Dr. Kakkis is also eligible to participate in our employee benefit plans, subject to the terms of those plans. Pursuant to the terms of the executive employment agreement, the employment of Dr. Kakkis is at will; we may terminate his employment at any time, without advance notice, for any reason or for no reason at all and Dr. Kakkis may terminate his employment at any time, upon four weeks’ prior written notice, for any reason or for no reason at all.</w:t>
      </w:r>
    </w:p>
    <w:p>
      <w:pPr>
        <w:spacing w:after="0" w:line="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b w:val="1"/>
          <w:bCs w:val="1"/>
          <w:i w:val="1"/>
          <w:iCs w:val="1"/>
          <w:color w:val="auto"/>
        </w:rPr>
        <w:t>Thomas Kassberg, Chief Business Officer and Senior Vice President</w:t>
      </w:r>
      <w:r>
        <w:rPr>
          <w:rFonts w:ascii="Arial" w:cs="Arial" w:eastAsia="Arial" w:hAnsi="Arial"/>
          <w:sz w:val="17"/>
          <w:szCs w:val="17"/>
          <w:color w:val="auto"/>
        </w:rPr>
        <w:t>. We entered into an offer letter in October 2011 with Thomas Kassberg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 of Chief Business Officer and Senior Vice President. Mr. Kassberg currently receives a base salary of $350,000, which is subject to adjustment at the discretion of the Board or the Compensation Committee. Mr. Kassberg is also eligible for an annual performance bonus of up to 30% of his base salary, payable based on his individual performance evaluated against certain goals mutually agreed upon and our overall performance, as determined by the Chief Executive Officer in consultation with the Board. Additionally, pursuant to the terms of the offer letter, Mr. Kassberg received an option to purchase 202,584 shares of our common stock in connection with his hiring. Mr. Kassberg is eligible to participate in our employee benefit plans, subject to the terms of those plans. Pursuant to the terms of the offer letter, Mr. Kassberg’s employment is at will and may be terminated either by us or by him, with or without advance notice, for any reason or for no reason at all.</w:t>
      </w:r>
    </w:p>
    <w:p>
      <w:pPr>
        <w:spacing w:after="0" w:line="3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b w:val="1"/>
          <w:bCs w:val="1"/>
          <w:i w:val="1"/>
          <w:iCs w:val="1"/>
          <w:color w:val="auto"/>
        </w:rPr>
        <w:t>Shalini Sharp, Chief Financial Officer and Senior Vice President</w:t>
      </w:r>
      <w:r>
        <w:rPr>
          <w:rFonts w:ascii="Arial" w:cs="Arial" w:eastAsia="Arial" w:hAnsi="Arial"/>
          <w:sz w:val="18"/>
          <w:szCs w:val="18"/>
          <w:color w:val="auto"/>
        </w:rPr>
        <w:t>. We entered into an offer letter in March 2012 with Shalini Sharp for the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Chief Financial Officer and Senior Vice President. Ms. Sharp currently receives a base salary of $350,000, which is subject to adjustment at the discretion of the Board or the Compensation Committee. Ms. Sharp is also eligible for an annual performance bonus of up to 30% of her base salary, payable based on her individual performance evaluated against certain goals mutually agreed upon and our overall performance, as determined by the Chief Executive Officer in consultation with the Board. Additionally, pursuant to the terms of the offer letter, Ms. Sharp received an option to purchase 191,418 shares of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94" w:right="239" w:bottom="1440" w:gutter="0" w:footer="0" w:header="0"/>
        </w:sectPr>
      </w:pPr>
    </w:p>
    <w:bookmarkStart w:id="73" w:name="page74"/>
    <w:bookmarkEnd w:id="73"/>
    <w:p>
      <w:pPr>
        <w:ind w:right="200"/>
        <w:spacing w:after="0" w:line="264" w:lineRule="auto"/>
        <w:rPr>
          <w:sz w:val="20"/>
          <w:szCs w:val="20"/>
          <w:color w:val="auto"/>
        </w:rPr>
      </w:pPr>
      <w:r>
        <w:rPr>
          <w:rFonts w:ascii="Arial" w:cs="Arial" w:eastAsia="Arial" w:hAnsi="Arial"/>
          <w:sz w:val="18"/>
          <w:szCs w:val="18"/>
          <w:color w:val="auto"/>
        </w:rPr>
        <w:t>in connection with her hiring. Ms. Sharp is eligible to participate in our employee benefit plans, subject to the terms of those plans. Pursuant to the terms of the offer letter, Ms. Sharp’s employment is at will and may be terminated either by us or by her, with or without advance notice, for any reason or for no reason at all.</w:t>
      </w:r>
    </w:p>
    <w:p>
      <w:pPr>
        <w:spacing w:after="0" w:line="46"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Each of these employment arrangements also contain provisions that provide for certain payments and benefits in the event of an involuntary termination of employment. In addition, the named executive officers may be entitled to accelerated vesting of their outstanding and unvested awards in certain circumstances. The information below describes certain compensation that may become due and payable as a result of certain events.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Involuntary Termination of Employment</w:t>
      </w:r>
    </w:p>
    <w:p>
      <w:pPr>
        <w:spacing w:after="0" w:line="7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Pursuant to their employment arrangements, each named executive officer is eligible to receive certain payments and benefits in the event of certain qualifying terminations, including termination of his or her employment by us without “cause” (as defined below) or resignation of his or her employment with “good reason” or because of a “constructive termination” (each, as defined below). Upon the timely execution of a general release of claims, each named executive officer is eligible to receive the following payments and benefits:</w:t>
      </w:r>
    </w:p>
    <w:p>
      <w:pPr>
        <w:spacing w:after="0" w:line="52" w:lineRule="exact"/>
        <w:rPr>
          <w:sz w:val="20"/>
          <w:szCs w:val="20"/>
          <w:color w:val="auto"/>
        </w:rPr>
      </w:pPr>
    </w:p>
    <w:p>
      <w:pPr>
        <w:ind w:left="900" w:right="30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if Dr. Kakkis is terminated by us other than for cause or because of death or disability, he shall be entitled to receive six months of base salary continuation;</w:t>
      </w:r>
    </w:p>
    <w:p>
      <w:pPr>
        <w:spacing w:after="0" w:line="54" w:lineRule="exact"/>
        <w:rPr>
          <w:sz w:val="20"/>
          <w:szCs w:val="20"/>
          <w:color w:val="auto"/>
        </w:rPr>
      </w:pPr>
    </w:p>
    <w:p>
      <w:pPr>
        <w:ind w:left="900" w:right="40" w:hanging="365"/>
        <w:spacing w:after="0" w:line="22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if Dr. Kakkis resigns his employment with us for good reason following a “change in control” (as defined below) within six months of the event constituting good reason and after providing us with 20 days to cure the good reason, then he shall be entitled to receive 12 months of base salary continuation; and</w:t>
      </w:r>
    </w:p>
    <w:p>
      <w:pPr>
        <w:spacing w:after="0" w:line="55" w:lineRule="exact"/>
        <w:rPr>
          <w:sz w:val="20"/>
          <w:szCs w:val="20"/>
          <w:color w:val="auto"/>
        </w:rPr>
      </w:pPr>
    </w:p>
    <w:p>
      <w:pPr>
        <w:ind w:left="900" w:right="120" w:hanging="365"/>
        <w:spacing w:after="0" w:line="232"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if Mr. Kassberg or Ms. Sharp is terminated by us without cause or resigns employment with us due to a constructive termination, each executive will be entitled to: (i) extend the exercise period applicable to any options then held such that the executive has 12 months from termination to exercise any of the vested shares, provided that in no event shall the exercise period be extended beyond the expiration date of any options then held; and (ii) six months of base salary continuation.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Deemed Liquidation Event</w:t>
      </w:r>
    </w:p>
    <w:p>
      <w:pPr>
        <w:spacing w:after="0" w:line="7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Pursuant to the offer letter with Mr. Kassberg, in addition to the severance benefits described above, in the event (i) we consummate a “deemed liquidation event” (as defined in our certificate of incorporation), which includes certain mergers or material asset sales, as well as any dissolution, liquidation, or winding down of the Company, (ii) Mr. Kassberg is employed by us on the date of the deemed liquidation event, and (iii) Mr. Kassberg is terminated by us without cause or resigns his employment with us due to a constructive termination within 12 months after the deemed liquidation event, the vesting of Mr. Kassberg’s November 17, 2011 option to purchase 202,584 shares of our common stock shall accelerate with respect to 50% of the then-unvested shares subject to such option and any other equity held by Mr. Kassberg shall accelerate with respect to 100% of the then-unvested shares.</w:t>
      </w:r>
    </w:p>
    <w:p>
      <w:pPr>
        <w:spacing w:after="0" w:line="1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the offer letter with Ms. Sharp, in the event (i) we consummate a deemed liquidation event, (ii) Ms. Sharp is employed by us on the date of the deemed liquidation event, and (iii) Ms. Sharp is terminated without cause or resigns due to a constructive termination within 12 months of the deemed liquidation event, the vesting of all options held by Ms. Sharp as of the date of the deemed liquidation event shall accelerate with respect to 50% of the then-unvested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Dr. Kakkis’s employment agreement, “cause” means his: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 of a felony or any crime involving dishonesty, breach of trust, or physical harm to any person;</w:t>
      </w:r>
    </w:p>
    <w:p>
      <w:pPr>
        <w:spacing w:after="0" w:line="12" w:lineRule="exact"/>
        <w:rPr>
          <w:sz w:val="20"/>
          <w:szCs w:val="20"/>
          <w:color w:val="auto"/>
        </w:rPr>
      </w:pPr>
    </w:p>
    <w:p>
      <w:pPr>
        <w:ind w:left="900" w:right="30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willful engagement in conduct that is in bad faith and materially injurious to us, including but not limited to misappropriation of trade secrets, fraud, or embezzlement;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material breach of his employment agreement that is not cured within 10 days after written notice to him from us; or</w:t>
      </w:r>
    </w:p>
    <w:p>
      <w:pPr>
        <w:spacing w:after="0" w:line="12" w:lineRule="exact"/>
        <w:rPr>
          <w:sz w:val="20"/>
          <w:szCs w:val="20"/>
          <w:color w:val="auto"/>
        </w:rPr>
      </w:pPr>
    </w:p>
    <w:p>
      <w:pPr>
        <w:ind w:left="900" w:right="280" w:hanging="365"/>
        <w:spacing w:after="0" w:line="208"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willful refusal to implement or follow a lawful policy or directive of ours, which breach is not cured within 10 days after written notice to him from us.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each of the offer letters with Mr. Kassberg and Ms. Sharp, “cause” means the named executive officer’s:</w:t>
      </w:r>
    </w:p>
    <w:p>
      <w:pPr>
        <w:spacing w:after="0" w:line="90" w:lineRule="exact"/>
        <w:rPr>
          <w:sz w:val="20"/>
          <w:szCs w:val="20"/>
          <w:color w:val="auto"/>
        </w:rPr>
      </w:pPr>
    </w:p>
    <w:p>
      <w:pPr>
        <w:ind w:left="900" w:right="80" w:hanging="365"/>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gross negligence in carrying out, or material failure to carry out, his or her duties for us (including, without limitation, failure to cooperate in any company investigation), after notice from the Board and a reasonable opportunity to cure (if deemed curable);</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breach of his or her fiduciary duties to us, after notice from the Board and a reasonable opportunity to cure (if deemed curable);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conviction of, or plea of guilty or no contest to, any felony;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36" w:right="259" w:bottom="1440" w:gutter="0" w:footer="0" w:header="0"/>
        </w:sectPr>
      </w:pPr>
    </w:p>
    <w:bookmarkStart w:id="74" w:name="page75"/>
    <w:bookmarkEnd w:id="74"/>
    <w:p>
      <w:pPr>
        <w:ind w:left="5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any act of fraud or embezzlement with respect to his or her obligations to us or otherwise relating to our business;</w:t>
      </w:r>
    </w:p>
    <w:p>
      <w:pPr>
        <w:spacing w:after="0" w:line="12"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material violation of any of our policies;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material breach of any agreement entered into with us; or</w:t>
      </w:r>
    </w:p>
    <w:p>
      <w:pPr>
        <w:ind w:left="520"/>
        <w:spacing w:after="0" w:line="225"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unauthorized use or disclosure of confidential information or trade secrets of ours or of our affiliates.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Dr. Kakkis’s employment agreement, “good reason” means any of the following events if (i) we effect the event without the consent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Dr. Kakkis and (ii) such event occurs after a change in control:</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a change in his position with us that materially reduces his level of responsibility;</w:t>
      </w:r>
    </w:p>
    <w:p>
      <w:pPr>
        <w:spacing w:after="0" w:line="72" w:lineRule="exact"/>
        <w:rPr>
          <w:sz w:val="20"/>
          <w:szCs w:val="20"/>
          <w:color w:val="auto"/>
        </w:rPr>
      </w:pPr>
    </w:p>
    <w:p>
      <w:pPr>
        <w:ind w:left="900" w:right="800" w:hanging="365"/>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8"/>
          <w:szCs w:val="18"/>
          <w:color w:val="auto"/>
        </w:rPr>
        <w:t>a material reduction in his base salary, except for reductions that are comparable to reductions generally applicable to similarly situated executives of ours; or</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a relocation of his principal place of employment by more than 50 miles.</w:t>
      </w:r>
    </w:p>
    <w:p>
      <w:pPr>
        <w:spacing w:after="0" w:line="73" w:lineRule="exact"/>
        <w:rPr>
          <w:sz w:val="20"/>
          <w:szCs w:val="20"/>
          <w:color w:val="auto"/>
        </w:rPr>
      </w:pPr>
    </w:p>
    <w:p>
      <w:pPr>
        <w:ind w:right="120" w:firstLine="518"/>
        <w:spacing w:after="0" w:line="231" w:lineRule="auto"/>
        <w:rPr>
          <w:sz w:val="20"/>
          <w:szCs w:val="20"/>
          <w:color w:val="auto"/>
        </w:rPr>
      </w:pPr>
      <w:r>
        <w:rPr>
          <w:rFonts w:ascii="Arial" w:cs="Arial" w:eastAsia="Arial" w:hAnsi="Arial"/>
          <w:sz w:val="18"/>
          <w:szCs w:val="18"/>
          <w:color w:val="auto"/>
        </w:rPr>
        <w:t>For purposes of Dr. Kakkis’s employment agreement, “change in control” means a change in ownership or control of us effected through a merger, consolidation, or acquisition by any person or related group of persons (other than an acquisition by us or by an employee benefit plan sponsored by us or by a person or persons that directly or indirectly control, is controlled by, or is under common control with, us) of beneficial ownership of securities possessing more than 50% of the total combined voting power of our outstanding securities.</w:t>
      </w:r>
    </w:p>
    <w:p>
      <w:pPr>
        <w:spacing w:after="0" w:line="27" w:lineRule="exact"/>
        <w:rPr>
          <w:sz w:val="20"/>
          <w:szCs w:val="20"/>
          <w:color w:val="auto"/>
        </w:rPr>
      </w:pPr>
    </w:p>
    <w:p>
      <w:pPr>
        <w:ind w:firstLine="518"/>
        <w:spacing w:after="0" w:line="253" w:lineRule="auto"/>
        <w:rPr>
          <w:sz w:val="20"/>
          <w:szCs w:val="20"/>
          <w:color w:val="auto"/>
        </w:rPr>
      </w:pPr>
      <w:r>
        <w:rPr>
          <w:rFonts w:ascii="Arial" w:cs="Arial" w:eastAsia="Arial" w:hAnsi="Arial"/>
          <w:sz w:val="16"/>
          <w:szCs w:val="16"/>
          <w:color w:val="auto"/>
        </w:rPr>
        <w:t>For purposes of each of the offer letters with Mr. Kassberg and Ms. Sharp, “constructive termination” means the occurrence of any of the following events without the named executive officer’s consent if (i) the executive provides us with written objection (or notice) to the event or condition within 30 days following the occurrence of the event or condition, (ii) we do not reverse or otherwise cure the event within 30 days of receiving such written objection, and</w:t>
      </w:r>
    </w:p>
    <w:p>
      <w:pPr>
        <w:spacing w:after="0" w:line="1"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executive resigns his or her employment with us within 30 days following the expiration of that cure period:</w:t>
      </w:r>
    </w:p>
    <w:p>
      <w:pPr>
        <w:spacing w:after="0" w:line="33" w:lineRule="exact"/>
        <w:rPr>
          <w:rFonts w:ascii="Arial" w:cs="Arial" w:eastAsia="Arial" w:hAnsi="Arial"/>
          <w:sz w:val="18"/>
          <w:szCs w:val="18"/>
          <w:color w:val="auto"/>
        </w:rPr>
      </w:pPr>
    </w:p>
    <w:p>
      <w:pPr>
        <w:ind w:left="900" w:right="60" w:hanging="365"/>
        <w:spacing w:after="0" w:line="235" w:lineRule="auto"/>
        <w:rPr>
          <w:rFonts w:ascii="Arial" w:cs="Arial" w:eastAsia="Arial" w:hAnsi="Arial"/>
          <w:sz w:val="18"/>
          <w:szCs w:val="18"/>
          <w:color w:val="auto"/>
        </w:rPr>
      </w:pPr>
      <w:r>
        <w:rPr>
          <w:rFonts w:ascii="Arial" w:cs="Arial" w:eastAsia="Arial" w:hAnsi="Arial"/>
          <w:sz w:val="13"/>
          <w:szCs w:val="13"/>
          <w:color w:val="auto"/>
        </w:rPr>
        <w:t>—</w:t>
      </w:r>
      <w:r>
        <w:rPr>
          <w:rFonts w:ascii="Arial" w:cs="Arial" w:eastAsia="Arial" w:hAnsi="Arial"/>
          <w:sz w:val="18"/>
          <w:szCs w:val="18"/>
          <w:color w:val="auto"/>
        </w:rPr>
        <w:t>a material reduction or change in the executive’s job duties, responsibilities and requirements from the executive’s job duties, responsibilities and requirements immediately prior to such reduction or change, taking into account the differences in job title and duties that are normally occasioned by reason of an acquisition of one company by another;</w:t>
      </w:r>
    </w:p>
    <w:p>
      <w:pPr>
        <w:spacing w:after="0" w:line="26" w:lineRule="exact"/>
        <w:rPr>
          <w:rFonts w:ascii="Arial" w:cs="Arial" w:eastAsia="Arial" w:hAnsi="Arial"/>
          <w:sz w:val="18"/>
          <w:szCs w:val="18"/>
          <w:color w:val="auto"/>
        </w:rPr>
      </w:pPr>
    </w:p>
    <w:p>
      <w:pPr>
        <w:ind w:left="900" w:right="220" w:hanging="365"/>
        <w:spacing w:after="0" w:line="246" w:lineRule="auto"/>
        <w:rPr>
          <w:rFonts w:ascii="Arial" w:cs="Arial" w:eastAsia="Arial" w:hAnsi="Arial"/>
          <w:sz w:val="18"/>
          <w:szCs w:val="18"/>
          <w:color w:val="auto"/>
        </w:rPr>
      </w:pPr>
      <w:r>
        <w:rPr>
          <w:rFonts w:ascii="Arial" w:cs="Arial" w:eastAsia="Arial" w:hAnsi="Arial"/>
          <w:sz w:val="13"/>
          <w:szCs w:val="13"/>
          <w:color w:val="auto"/>
        </w:rPr>
        <w:t>—</w:t>
      </w:r>
      <w:r>
        <w:rPr>
          <w:rFonts w:ascii="Arial" w:cs="Arial" w:eastAsia="Arial" w:hAnsi="Arial"/>
          <w:sz w:val="18"/>
          <w:szCs w:val="18"/>
          <w:color w:val="auto"/>
        </w:rPr>
        <w:t>a material reduction of the executive’s base salary (other than an equal, across-the-board reduction in the compensation of all similarly-situated employees of ours or the surviving entity that is approved by the Board); or</w:t>
      </w:r>
    </w:p>
    <w:p>
      <w:pPr>
        <w:spacing w:after="0" w:line="21" w:lineRule="exact"/>
        <w:rPr>
          <w:rFonts w:ascii="Arial" w:cs="Arial" w:eastAsia="Arial" w:hAnsi="Arial"/>
          <w:sz w:val="18"/>
          <w:szCs w:val="18"/>
          <w:color w:val="auto"/>
        </w:rPr>
      </w:pPr>
    </w:p>
    <w:p>
      <w:pPr>
        <w:ind w:left="900" w:right="340" w:hanging="365"/>
        <w:spacing w:after="0" w:line="246" w:lineRule="auto"/>
        <w:rPr>
          <w:rFonts w:ascii="Arial" w:cs="Arial" w:eastAsia="Arial" w:hAnsi="Arial"/>
          <w:sz w:val="18"/>
          <w:szCs w:val="18"/>
          <w:color w:val="auto"/>
        </w:rPr>
      </w:pPr>
      <w:r>
        <w:rPr>
          <w:rFonts w:ascii="Arial" w:cs="Arial" w:eastAsia="Arial" w:hAnsi="Arial"/>
          <w:sz w:val="13"/>
          <w:szCs w:val="13"/>
          <w:color w:val="auto"/>
        </w:rPr>
        <w:t>—</w:t>
      </w:r>
      <w:r>
        <w:rPr>
          <w:rFonts w:ascii="Arial" w:cs="Arial" w:eastAsia="Arial" w:hAnsi="Arial"/>
          <w:sz w:val="18"/>
          <w:szCs w:val="18"/>
          <w:color w:val="auto"/>
        </w:rPr>
        <w:t>a requirement that the executive relocate to a principal office that increases his or her one-way commute by more than 50 miles relative to the executive’s immediately preceding principal 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 of Annual Bonuses</w:t>
      </w:r>
    </w:p>
    <w:p>
      <w:pPr>
        <w:spacing w:after="0" w:line="63" w:lineRule="exact"/>
        <w:rPr>
          <w:sz w:val="20"/>
          <w:szCs w:val="20"/>
          <w:color w:val="auto"/>
        </w:rPr>
      </w:pPr>
    </w:p>
    <w:p>
      <w:pPr>
        <w:jc w:val="both"/>
        <w:ind w:right="260" w:firstLine="518"/>
        <w:spacing w:after="0" w:line="235" w:lineRule="auto"/>
        <w:rPr>
          <w:sz w:val="20"/>
          <w:szCs w:val="20"/>
          <w:color w:val="auto"/>
        </w:rPr>
      </w:pPr>
      <w:r>
        <w:rPr>
          <w:rFonts w:ascii="Arial" w:cs="Arial" w:eastAsia="Arial" w:hAnsi="Arial"/>
          <w:sz w:val="18"/>
          <w:szCs w:val="18"/>
          <w:color w:val="auto"/>
        </w:rPr>
        <w:t>Our Board has adopted a corporate bonus plan, or the bonus plan, that provides for cash bonus payments based upon the attainment of performance targets established by our Compensation Committee. The payment targets will be related to corporate, financial, and operational measures or objectives, or corporate performance goals, as well as individual performance objectives.</w:t>
      </w:r>
    </w:p>
    <w:p>
      <w:pPr>
        <w:spacing w:after="0" w:line="27" w:lineRule="exact"/>
        <w:rPr>
          <w:sz w:val="20"/>
          <w:szCs w:val="20"/>
          <w:color w:val="auto"/>
        </w:rPr>
      </w:pPr>
    </w:p>
    <w:p>
      <w:pPr>
        <w:ind w:right="20" w:firstLine="518"/>
        <w:spacing w:after="0" w:line="250" w:lineRule="auto"/>
        <w:rPr>
          <w:sz w:val="20"/>
          <w:szCs w:val="20"/>
          <w:color w:val="auto"/>
        </w:rPr>
      </w:pPr>
      <w:r>
        <w:rPr>
          <w:rFonts w:ascii="Arial" w:cs="Arial" w:eastAsia="Arial" w:hAnsi="Arial"/>
          <w:sz w:val="16"/>
          <w:szCs w:val="16"/>
          <w:color w:val="auto"/>
        </w:rPr>
        <w:t>Our Compensation Committee may select corporate performance goals from among the following: sales; revenue; assets; expenses; earnings from operations, earnings before or after deduction for all or any portion of interest, taxes, depreciation, amortization, incentives, service fees or extraordinary or special items, whether or not on a continuing operations or an aggregate or per share basis; net income or net income per common share (basic or diluted); return on equity, investment, capital or assets; one or more operating ratios; borrowing levels, leverage ratios or credit rating; market share; capital expenditures; cash flow, free cash flow, cash flow return on investment, or net cash provided by operations; stock price, dividends or total stockholder return; development of new technologies or products; sales of particular products or services; economic value created or added; operating margin or profit margin; customer acquisition or retention; raising or refinancing of capital; successful hiring of key individuals; resolution of significant litigation; acquisitions and divestitures (in whole or in part); joint ventures and strategic alliances; spin-offs, split-ups and the like; reorganizations; recapitalizations, restructurings, financings (issuance of debt or equity) or refinancings; or strategic business criteria, consisting of one or more objectives based on the following goals: meeting specified market penetration or value added, product development or introduction (including, without limitation, any clinical trial accomplishments, regulatory or other filings or approvals,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or divestitures (in whole or in part), joint ventures or strategic alliances, any of which may be measured in absolute terms, as compared to any incremental increase, in terms of growth, as compared to results of a peer group, against the market as a whole, compared to applicable market indices and/or measured on a pre-tax or post-tax basis.</w:t>
      </w:r>
    </w:p>
    <w:p>
      <w:pPr>
        <w:spacing w:after="0" w:line="26" w:lineRule="exact"/>
        <w:rPr>
          <w:sz w:val="20"/>
          <w:szCs w:val="20"/>
          <w:color w:val="auto"/>
        </w:rPr>
      </w:pPr>
    </w:p>
    <w:p>
      <w:pPr>
        <w:ind w:firstLine="518"/>
        <w:spacing w:after="0" w:line="228"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following the end of each performance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36" w:right="239" w:bottom="1440" w:gutter="0" w:footer="0" w:header="0"/>
        </w:sectPr>
      </w:pPr>
    </w:p>
    <w:bookmarkStart w:id="75" w:name="page76"/>
    <w:bookmarkEnd w:id="75"/>
    <w:p>
      <w:pPr>
        <w:ind w:right="580"/>
        <w:spacing w:after="0" w:line="235" w:lineRule="auto"/>
        <w:rPr>
          <w:sz w:val="20"/>
          <w:szCs w:val="20"/>
          <w:color w:val="auto"/>
        </w:rPr>
      </w:pPr>
      <w:r>
        <w:rPr>
          <w:rFonts w:ascii="Arial" w:cs="Arial" w:eastAsia="Arial" w:hAnsi="Arial"/>
          <w:sz w:val="18"/>
          <w:szCs w:val="18"/>
          <w:color w:val="auto"/>
        </w:rPr>
        <w:t>period. Subject to the rights contained in any agreement between the executive officer and the company, an executive officer must be employed by the company on the bonus payment date to be eligible to receive a bonus payment. The bonus plan also permits the compensation committee to approve additional bonuses in its sole discretion.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December 31, 2013</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concerning the outstanding equity awards held by each of the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Option awards</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191"/>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 (#)</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Option 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Option expiration</w:t>
            </w: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exercisable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unexercisable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price $</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date</w:t>
            </w:r>
          </w:p>
        </w:tc>
      </w:tr>
      <w:tr>
        <w:trPr>
          <w:trHeight w:val="210"/>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Emil D. Kakkis, M.D., Ph.D.</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47,854</w:t>
            </w: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6.86</w:t>
            </w:r>
          </w:p>
        </w:tc>
        <w:tc>
          <w:tcPr>
            <w:tcW w:w="2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10/31/2023</w:t>
            </w: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rPr>
              <w:t>Thomas Kassberg</w:t>
            </w:r>
            <w:r>
              <w:rPr>
                <w:rFonts w:ascii="Arial" w:cs="Arial" w:eastAsia="Arial" w:hAnsi="Arial"/>
                <w:sz w:val="15"/>
                <w:szCs w:val="15"/>
                <w:color w:val="auto"/>
              </w:rPr>
              <w:t>(2)</w:t>
            </w:r>
          </w:p>
        </w:tc>
        <w:tc>
          <w:tcPr>
            <w:tcW w:w="15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12,661</w:t>
            </w: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97,071</w:t>
            </w:r>
          </w:p>
        </w:tc>
        <w:tc>
          <w:tcPr>
            <w:tcW w:w="900" w:type="dxa"/>
            <w:vAlign w:val="bottom"/>
          </w:tcPr>
          <w:p>
            <w:pPr>
              <w:jc w:val="right"/>
              <w:ind w:right="710"/>
              <w:spacing w:after="0" w:line="201"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1"/>
              </w:rPr>
              <w:t>0.31</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11/16/2021</w:t>
            </w:r>
          </w:p>
        </w:tc>
      </w:tr>
      <w:tr>
        <w:trPr>
          <w:trHeight w:val="230"/>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39,878</w:t>
            </w:r>
          </w:p>
        </w:tc>
        <w:tc>
          <w:tcPr>
            <w:tcW w:w="90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6.86</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10/31/2023</w:t>
            </w: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Shalini Sharp</w:t>
            </w:r>
            <w:r>
              <w:rPr>
                <w:rFonts w:ascii="Arial" w:cs="Arial" w:eastAsia="Arial" w:hAnsi="Arial"/>
                <w:sz w:val="15"/>
                <w:szCs w:val="15"/>
                <w:color w:val="auto"/>
              </w:rPr>
              <w:t>(3)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11,963</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115,648</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1"/>
              </w:rPr>
              <w:t>0.81</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8/1/2022</w:t>
            </w:r>
          </w:p>
        </w:tc>
      </w:tr>
      <w:tr>
        <w:trPr>
          <w:trHeight w:val="216"/>
        </w:trPr>
        <w:tc>
          <w:tcPr>
            <w:tcW w:w="5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39,878</w:t>
            </w: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1"/>
              </w:rPr>
              <w:t>6.86</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10/31/2023</w:t>
            </w:r>
          </w:p>
        </w:tc>
      </w:tr>
    </w:tbl>
    <w:p>
      <w:pPr>
        <w:spacing w:after="0" w:line="67" w:lineRule="exact"/>
        <w:rPr>
          <w:sz w:val="20"/>
          <w:szCs w:val="20"/>
          <w:color w:val="auto"/>
        </w:rPr>
      </w:pPr>
    </w:p>
    <w:p>
      <w:pPr>
        <w:ind w:left="540" w:right="20" w:hanging="532"/>
        <w:spacing w:after="0" w:line="264"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an option to purchase 47,854 shares of our common stock granted on November 1, 2013. The shares underlying this option vest as follows: 25% vest on November 1, 2014, with the remainder of the shares vesting in equal monthly installments over the following three years through November 1, 2017, subject to the holder’s continued service to us through each such vesting date.</w:t>
      </w:r>
    </w:p>
    <w:p>
      <w:pPr>
        <w:spacing w:after="0" w:line="46" w:lineRule="exact"/>
        <w:rPr>
          <w:rFonts w:ascii="Arial" w:cs="Arial" w:eastAsia="Arial" w:hAnsi="Arial"/>
          <w:sz w:val="18"/>
          <w:szCs w:val="18"/>
          <w:color w:val="auto"/>
        </w:rPr>
      </w:pPr>
    </w:p>
    <w:p>
      <w:pPr>
        <w:ind w:left="540" w:right="340" w:hanging="532"/>
        <w:spacing w:after="0" w:line="285"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an option to purchase 202,584 shares of our common stock granted on November 17, 2011. The shares underlying this option vest as follows: 25% vest on November 15, 2012, with the remainder of the shares vesting in equal monthly installments over the following three years through November 15, 2015, subject to the holder’s continued service to us through each such vesting date. Vesting of 50% of the unvested shares shall accelerate in connection with a deemed liquidation event pursuant to the terms of Mr. Kassberg’s offer letter dated October 31, 2011, as more fully described above under the section entitled “—Narrative Disclosure to Summary Compensation Table—Deemed Liquidation Event.”</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Kassberg exercised 50,646 options on November 28, 2012 and 42,204 options on September 27, 2013.</w:t>
      </w:r>
    </w:p>
    <w:p>
      <w:pPr>
        <w:spacing w:after="0" w:line="62" w:lineRule="exact"/>
        <w:rPr>
          <w:rFonts w:ascii="Arial" w:cs="Arial" w:eastAsia="Arial" w:hAnsi="Arial"/>
          <w:sz w:val="16"/>
          <w:szCs w:val="16"/>
          <w:color w:val="auto"/>
        </w:rPr>
      </w:pPr>
    </w:p>
    <w:p>
      <w:pPr>
        <w:ind w:left="520" w:right="40"/>
        <w:spacing w:after="0" w:line="264" w:lineRule="auto"/>
        <w:rPr>
          <w:rFonts w:ascii="Arial" w:cs="Arial" w:eastAsia="Arial" w:hAnsi="Arial"/>
          <w:sz w:val="16"/>
          <w:szCs w:val="16"/>
          <w:color w:val="auto"/>
        </w:rPr>
      </w:pPr>
      <w:r>
        <w:rPr>
          <w:rFonts w:ascii="Arial" w:cs="Arial" w:eastAsia="Arial" w:hAnsi="Arial"/>
          <w:sz w:val="18"/>
          <w:szCs w:val="18"/>
          <w:color w:val="auto"/>
        </w:rPr>
        <w:t>Represents an option to purchase 39,878 shares of our common stock granted on November 1, 2013. The shares underlying this option vest as follows: 25% vest on November 1, 2014, with the remainder of the shares vesting in equal monthly installments over the following three years through November 1, 2017, subject to the holder’s continued service to us through each such vesting date.</w:t>
      </w:r>
    </w:p>
    <w:p>
      <w:pPr>
        <w:spacing w:after="0" w:line="32" w:lineRule="exact"/>
        <w:rPr>
          <w:rFonts w:ascii="Arial" w:cs="Arial" w:eastAsia="Arial" w:hAnsi="Arial"/>
          <w:sz w:val="16"/>
          <w:szCs w:val="16"/>
          <w:color w:val="auto"/>
        </w:rPr>
      </w:pPr>
    </w:p>
    <w:p>
      <w:pPr>
        <w:ind w:left="540" w:right="180" w:hanging="532"/>
        <w:spacing w:after="0" w:line="273"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Represents an option to purchase 191,418 shares of our common stock granted on August 2, 2012. The shares underlying this option vest as follows: 25% vest on May 21, 2013, with the remainder of the shares vesting in equal monthly installments over the following three years through May 21, 2016, subject to the holder’s continued service to us through each such vesting date. Vesting of 50% of the unvested shares shall accelerate in connection with a deemed liquidation event pursuant to the terms of Ms. Sharp’s offer letter dated March 12, 2012, as more fully described above under the section entitled “—Narrative Disclosure to Summary Compensation Table—Deemed Liquidation Event.” Ms. Sharp exercised 47,854 options on May 30, 2013, 7,975 options on July 24, 2013, and 7,975 options on September 26, 2013.</w:t>
      </w:r>
    </w:p>
    <w:p>
      <w:pPr>
        <w:spacing w:after="0" w:line="29" w:lineRule="exact"/>
        <w:rPr>
          <w:rFonts w:ascii="Arial" w:cs="Arial" w:eastAsia="Arial" w:hAnsi="Arial"/>
          <w:sz w:val="17"/>
          <w:szCs w:val="17"/>
          <w:color w:val="auto"/>
        </w:rPr>
      </w:pPr>
    </w:p>
    <w:p>
      <w:pPr>
        <w:ind w:left="520" w:right="40"/>
        <w:spacing w:after="0" w:line="264" w:lineRule="auto"/>
        <w:rPr>
          <w:rFonts w:ascii="Arial" w:cs="Arial" w:eastAsia="Arial" w:hAnsi="Arial"/>
          <w:sz w:val="17"/>
          <w:szCs w:val="17"/>
          <w:color w:val="auto"/>
        </w:rPr>
      </w:pPr>
      <w:r>
        <w:rPr>
          <w:rFonts w:ascii="Arial" w:cs="Arial" w:eastAsia="Arial" w:hAnsi="Arial"/>
          <w:sz w:val="18"/>
          <w:szCs w:val="18"/>
          <w:color w:val="auto"/>
        </w:rPr>
        <w:t>Represents an option to purchase 39,878 shares of our common stock granted on November 1, 2013. The shares underlying this option vest as follows: 25% vest on November 1, 2014, with the remainder of the shares vesting in equal monthly installments over the following three years through November 1, 2017, subject to the holder’s continued service to us through each such vesting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Dr. Kakkis, our president and chief executive officer, receives no compensation for his service as a director. None of our non-employee directors received compensation for their service on the Board or otherwise during fiscal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22" w:right="239" w:bottom="1440" w:gutter="0" w:footer="0" w:header="0"/>
        </w:sectPr>
      </w:pPr>
    </w:p>
    <w:bookmarkStart w:id="76" w:name="page77"/>
    <w:bookmarkEnd w:id="76"/>
    <w:p>
      <w:pPr>
        <w:ind w:right="340" w:firstLine="518"/>
        <w:spacing w:after="0" w:line="264" w:lineRule="auto"/>
        <w:rPr>
          <w:sz w:val="20"/>
          <w:szCs w:val="20"/>
          <w:color w:val="auto"/>
        </w:rPr>
      </w:pPr>
      <w:r>
        <w:rPr>
          <w:rFonts w:ascii="Arial" w:cs="Arial" w:eastAsia="Arial" w:hAnsi="Arial"/>
          <w:sz w:val="18"/>
          <w:szCs w:val="18"/>
          <w:color w:val="auto"/>
        </w:rPr>
        <w:t>Our Board has adopted a non-employee director compensation policy that is designed to provide a total compensation package that enables us to attract and retain, on a long-term basis, high caliber non-employee directors. Under the policy, all non-employee directors will be paid cash compensation during fiscal 2014 and thereafter as set forth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Annual</w:t>
            </w:r>
          </w:p>
        </w:tc>
      </w:tr>
      <w:tr>
        <w:trPr>
          <w:trHeight w:val="234"/>
        </w:trPr>
        <w:tc>
          <w:tcPr>
            <w:tcW w:w="10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Retainer</w:t>
            </w:r>
          </w:p>
        </w:tc>
      </w:tr>
      <w:tr>
        <w:trPr>
          <w:trHeight w:val="210"/>
        </w:trPr>
        <w:tc>
          <w:tcPr>
            <w:tcW w:w="10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Board of Directors:</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All non-employee members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r>
      <w:tr>
        <w:trPr>
          <w:trHeight w:val="216"/>
        </w:trPr>
        <w:tc>
          <w:tcPr>
            <w:tcW w:w="10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Audit Committee:</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Chairman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r>
      <w:tr>
        <w:trPr>
          <w:trHeight w:val="216"/>
        </w:trPr>
        <w:tc>
          <w:tcPr>
            <w:tcW w:w="10260" w:type="dxa"/>
            <w:vAlign w:val="bottom"/>
            <w:shd w:val="clear" w:color="auto" w:fill="CFF0FC"/>
          </w:tcPr>
          <w:p>
            <w:pPr>
              <w:spacing w:after="0"/>
              <w:rPr>
                <w:sz w:val="20"/>
                <w:szCs w:val="20"/>
                <w:color w:val="auto"/>
              </w:rPr>
            </w:pPr>
            <w:r>
              <w:rPr>
                <w:rFonts w:ascii="Arial" w:cs="Arial" w:eastAsia="Arial" w:hAnsi="Arial"/>
                <w:sz w:val="18"/>
                <w:szCs w:val="18"/>
                <w:color w:val="auto"/>
              </w:rPr>
              <w:t>Non-Chairman members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18"/>
                <w:szCs w:val="18"/>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b w:val="1"/>
                <w:bCs w:val="1"/>
                <w:color w:val="auto"/>
              </w:rPr>
              <w:t>Compensation Committee: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260" w:type="dxa"/>
            <w:vAlign w:val="bottom"/>
            <w:shd w:val="clear" w:color="auto" w:fill="CFF0FC"/>
          </w:tcPr>
          <w:p>
            <w:pPr>
              <w:spacing w:after="0"/>
              <w:rPr>
                <w:sz w:val="20"/>
                <w:szCs w:val="20"/>
                <w:color w:val="auto"/>
              </w:rPr>
            </w:pPr>
            <w:r>
              <w:rPr>
                <w:rFonts w:ascii="Arial" w:cs="Arial" w:eastAsia="Arial" w:hAnsi="Arial"/>
                <w:sz w:val="18"/>
                <w:szCs w:val="18"/>
                <w:color w:val="auto"/>
              </w:rPr>
              <w:t>Chairman</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10,000</w:t>
            </w: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Non-Chairman members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r>
      <w:tr>
        <w:trPr>
          <w:trHeight w:val="216"/>
        </w:trPr>
        <w:tc>
          <w:tcPr>
            <w:tcW w:w="10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Chairman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r>
      <w:tr>
        <w:trPr>
          <w:trHeight w:val="216"/>
        </w:trPr>
        <w:tc>
          <w:tcPr>
            <w:tcW w:w="10260" w:type="dxa"/>
            <w:vAlign w:val="bottom"/>
            <w:shd w:val="clear" w:color="auto" w:fill="CFF0FC"/>
          </w:tcPr>
          <w:p>
            <w:pPr>
              <w:spacing w:after="0"/>
              <w:rPr>
                <w:sz w:val="20"/>
                <w:szCs w:val="20"/>
                <w:color w:val="auto"/>
              </w:rPr>
            </w:pPr>
            <w:r>
              <w:rPr>
                <w:rFonts w:ascii="Arial" w:cs="Arial" w:eastAsia="Arial" w:hAnsi="Arial"/>
                <w:sz w:val="18"/>
                <w:szCs w:val="18"/>
                <w:color w:val="auto"/>
              </w:rPr>
              <w:t>Non-Chairman members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FF0FC"/>
          </w:tcPr>
          <w:p>
            <w:pPr>
              <w:spacing w:after="0"/>
              <w:rPr>
                <w:sz w:val="18"/>
                <w:szCs w:val="18"/>
                <w:color w:val="auto"/>
              </w:rPr>
            </w:pPr>
          </w:p>
        </w:tc>
      </w:tr>
    </w:tbl>
    <w:p>
      <w:pPr>
        <w:spacing w:after="0" w:line="6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Under the non-employee director compensation policy, each non-employee director who is initially appointed or elected to the Board will receive an option grant to purchase up to 17,500 shares of our common stock under our stock option plan on the date he or she first becomes a non-employee director, which will vest annually over a three-year period, subject to the holder’s continued service to us through each such vesting date. In addition, on the date of the annual meeting of stockholders, each continuing non-employee director will be eligible to receive an annual option grant to purchase up to 7,500 shares of our common stock, which will vest in full upon the first anniversary of the date of grant, subject to the holder’s continued service to us through such vesting date. All of the foregoing options will be granted at fair market value on the date of grant.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7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believe that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March 14, 2014, by: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 xml:space="preserve">    each person, or group of affiliated persons, known by us to beneficially own more than 5% of our outstanding shares of common stock;</w:t>
      </w:r>
    </w:p>
    <w:p>
      <w:pPr>
        <w:spacing w:after="0" w:line="23" w:lineRule="exact"/>
        <w:rPr>
          <w:sz w:val="20"/>
          <w:szCs w:val="20"/>
          <w:color w:val="auto"/>
        </w:rPr>
      </w:pP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each of our directors;</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each of our named executive officers; and</w:t>
      </w:r>
    </w:p>
    <w:p>
      <w:pPr>
        <w:ind w:left="520"/>
        <w:spacing w:after="0" w:line="23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all current directors and executive officers as a group.</w:t>
      </w:r>
    </w:p>
    <w:p>
      <w:pPr>
        <w:spacing w:after="0" w:line="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14,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17"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The percentage of shares beneficially owned is computed on the basis of 30,035,894 shares of our common stock outstanding as of March 14, 2014. Shares of our common stock that a person has the right to acquire within 60 days of March 14, 2014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Ultragenyx Pharmaceutical Inc., at 60 Leveroni Court, Novato, California 94949.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36"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2940" w:type="dxa"/>
            <w:vAlign w:val="bottom"/>
            <w:gridSpan w:val="4"/>
          </w:tcPr>
          <w:p>
            <w:pPr>
              <w:ind w:left="500"/>
              <w:spacing w:after="0"/>
              <w:rPr>
                <w:sz w:val="20"/>
                <w:szCs w:val="20"/>
                <w:color w:val="auto"/>
              </w:rPr>
            </w:pPr>
            <w:r>
              <w:rPr>
                <w:rFonts w:ascii="Arial" w:cs="Arial" w:eastAsia="Arial" w:hAnsi="Arial"/>
                <w:sz w:val="18"/>
                <w:szCs w:val="18"/>
                <w:b w:val="1"/>
                <w:bCs w:val="1"/>
                <w:color w:val="auto"/>
              </w:rPr>
              <w:t xml:space="preserve">Beneficial Ownership </w:t>
            </w:r>
            <w:r>
              <w:rPr>
                <w:rFonts w:ascii="Arial" w:cs="Arial" w:eastAsia="Arial" w:hAnsi="Arial"/>
                <w:sz w:val="10"/>
                <w:szCs w:val="10"/>
                <w:b w:val="1"/>
                <w:bCs w:val="1"/>
                <w:color w:val="auto"/>
              </w:rPr>
              <w:t>(1)</w:t>
            </w:r>
          </w:p>
        </w:tc>
      </w:tr>
      <w:tr>
        <w:trPr>
          <w:trHeight w:val="191"/>
        </w:trPr>
        <w:tc>
          <w:tcPr>
            <w:tcW w:w="848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Number of</w:t>
            </w: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848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 of Total</w:t>
            </w:r>
          </w:p>
        </w:tc>
      </w:tr>
      <w:tr>
        <w:trPr>
          <w:trHeight w:val="210"/>
        </w:trPr>
        <w:tc>
          <w:tcPr>
            <w:tcW w:w="8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5% or Greater Stockholders:</w:t>
            </w: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ind w:left="140"/>
              <w:spacing w:after="0"/>
              <w:rPr>
                <w:sz w:val="20"/>
                <w:szCs w:val="20"/>
                <w:color w:val="auto"/>
              </w:rPr>
            </w:pPr>
            <w:r>
              <w:rPr>
                <w:rFonts w:ascii="Arial" w:cs="Arial" w:eastAsia="Arial" w:hAnsi="Arial"/>
                <w:sz w:val="18"/>
                <w:szCs w:val="18"/>
                <w:color w:val="auto"/>
              </w:rPr>
              <w:t>TPG Biotechnology Partners III, L.P.</w:t>
            </w:r>
            <w:r>
              <w:rPr>
                <w:rFonts w:ascii="Arial" w:cs="Arial" w:eastAsia="Arial" w:hAnsi="Arial"/>
                <w:sz w:val="15"/>
                <w:szCs w:val="15"/>
                <w:color w:val="auto"/>
              </w:rPr>
              <w:t>(1)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3,085,240</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0"/>
              </w:rPr>
              <w:t>10.3%</w:t>
            </w: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Beacon Bioventures Fund II Limited Partnership</w:t>
            </w:r>
            <w:r>
              <w:rPr>
                <w:rFonts w:ascii="Arial" w:cs="Arial" w:eastAsia="Arial" w:hAnsi="Arial"/>
                <w:sz w:val="15"/>
                <w:szCs w:val="15"/>
                <w:color w:val="auto"/>
              </w:rPr>
              <w:t>(2)</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3,260,240</w:t>
            </w:r>
          </w:p>
        </w:tc>
        <w:tc>
          <w:tcPr>
            <w:tcW w:w="1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10.9%</w:t>
            </w: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140"/>
              <w:spacing w:after="0"/>
              <w:rPr>
                <w:sz w:val="20"/>
                <w:szCs w:val="20"/>
                <w:color w:val="auto"/>
              </w:rPr>
            </w:pPr>
            <w:r>
              <w:rPr>
                <w:rFonts w:ascii="Arial" w:cs="Arial" w:eastAsia="Arial" w:hAnsi="Arial"/>
                <w:sz w:val="18"/>
                <w:szCs w:val="18"/>
                <w:color w:val="auto"/>
              </w:rPr>
              <w:t>HealthCap VI, L.P.</w:t>
            </w:r>
            <w:r>
              <w:rPr>
                <w:rFonts w:ascii="Arial" w:cs="Arial" w:eastAsia="Arial" w:hAnsi="Arial"/>
                <w:sz w:val="15"/>
                <w:szCs w:val="15"/>
                <w:color w:val="auto"/>
              </w:rPr>
              <w:t>(3)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2,742,436</w:t>
            </w:r>
          </w:p>
        </w:tc>
        <w:tc>
          <w:tcPr>
            <w:tcW w:w="1320" w:type="dxa"/>
            <w:vAlign w:val="bottom"/>
          </w:tcPr>
          <w:p>
            <w:pPr>
              <w:jc w:val="center"/>
              <w:ind w:left="30"/>
              <w:spacing w:after="0"/>
              <w:rPr>
                <w:sz w:val="20"/>
                <w:szCs w:val="20"/>
                <w:color w:val="auto"/>
              </w:rPr>
            </w:pPr>
            <w:r>
              <w:rPr>
                <w:rFonts w:ascii="Arial" w:cs="Arial" w:eastAsia="Arial" w:hAnsi="Arial"/>
                <w:sz w:val="18"/>
                <w:szCs w:val="18"/>
                <w:color w:val="auto"/>
                <w:w w:val="87"/>
              </w:rPr>
              <w:t>9.1%</w:t>
            </w: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Adage Capital Partners, L.P.</w:t>
            </w:r>
            <w:r>
              <w:rPr>
                <w:rFonts w:ascii="Arial" w:cs="Arial" w:eastAsia="Arial" w:hAnsi="Arial"/>
                <w:sz w:val="15"/>
                <w:szCs w:val="15"/>
                <w:color w:val="auto"/>
              </w:rPr>
              <w:t>(4)</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1,867,713</w:t>
            </w:r>
          </w:p>
        </w:tc>
        <w:tc>
          <w:tcPr>
            <w:tcW w:w="1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6.2%</w:t>
            </w:r>
          </w:p>
        </w:tc>
        <w:tc>
          <w:tcPr>
            <w:tcW w:w="120" w:type="dxa"/>
            <w:vAlign w:val="bottom"/>
            <w:shd w:val="clear" w:color="auto" w:fill="CCEEFF"/>
          </w:tcPr>
          <w:p>
            <w:pPr>
              <w:spacing w:after="0"/>
              <w:rPr>
                <w:sz w:val="18"/>
                <w:szCs w:val="18"/>
                <w:color w:val="auto"/>
              </w:rPr>
            </w:pPr>
          </w:p>
        </w:tc>
      </w:tr>
      <w:tr>
        <w:trPr>
          <w:trHeight w:val="432"/>
        </w:trPr>
        <w:tc>
          <w:tcPr>
            <w:tcW w:w="8480" w:type="dxa"/>
            <w:vAlign w:val="bottom"/>
          </w:tcPr>
          <w:p>
            <w:pPr>
              <w:ind w:left="140"/>
              <w:spacing w:after="0"/>
              <w:rPr>
                <w:sz w:val="20"/>
                <w:szCs w:val="20"/>
                <w:color w:val="auto"/>
              </w:rPr>
            </w:pPr>
            <w:r>
              <w:rPr>
                <w:rFonts w:ascii="Arial" w:cs="Arial" w:eastAsia="Arial" w:hAnsi="Arial"/>
                <w:sz w:val="18"/>
                <w:szCs w:val="18"/>
                <w:b w:val="1"/>
                <w:bCs w:val="1"/>
                <w:color w:val="auto"/>
              </w:rPr>
              <w:t>Directors (including our Director Nominees) and Named Executive Officers:</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Eran Nadav, Ph.D.</w:t>
            </w:r>
            <w:r>
              <w:rPr>
                <w:rFonts w:ascii="Arial" w:cs="Arial" w:eastAsia="Arial" w:hAnsi="Arial"/>
                <w:sz w:val="15"/>
                <w:szCs w:val="15"/>
                <w:color w:val="auto"/>
              </w:rPr>
              <w:t>(5)</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140"/>
              <w:spacing w:after="0"/>
              <w:rPr>
                <w:sz w:val="20"/>
                <w:szCs w:val="20"/>
                <w:color w:val="auto"/>
              </w:rPr>
            </w:pPr>
            <w:r>
              <w:rPr>
                <w:rFonts w:ascii="Arial" w:cs="Arial" w:eastAsia="Arial" w:hAnsi="Arial"/>
                <w:sz w:val="18"/>
                <w:szCs w:val="18"/>
                <w:color w:val="auto"/>
              </w:rPr>
              <w:t>Mårten Steen, M.D., Ph.D.</w:t>
            </w:r>
            <w:r>
              <w:rPr>
                <w:rFonts w:ascii="Arial" w:cs="Arial" w:eastAsia="Arial" w:hAnsi="Arial"/>
                <w:sz w:val="15"/>
                <w:szCs w:val="15"/>
                <w:color w:val="auto"/>
              </w:rPr>
              <w:t>(6)</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1,458</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8480" w:type="dxa"/>
            <w:vAlign w:val="bottom"/>
            <w:shd w:val="clear" w:color="auto" w:fill="CCECFF"/>
          </w:tcPr>
          <w:p>
            <w:pPr>
              <w:ind w:left="140"/>
              <w:spacing w:after="0"/>
              <w:rPr>
                <w:sz w:val="20"/>
                <w:szCs w:val="20"/>
                <w:color w:val="auto"/>
              </w:rPr>
            </w:pPr>
            <w:r>
              <w:rPr>
                <w:rFonts w:ascii="Arial" w:cs="Arial" w:eastAsia="Arial" w:hAnsi="Arial"/>
                <w:sz w:val="18"/>
                <w:szCs w:val="18"/>
                <w:color w:val="auto"/>
              </w:rPr>
              <w:t>William Aliski</w:t>
            </w:r>
            <w:r>
              <w:rPr>
                <w:rFonts w:ascii="Arial" w:cs="Arial" w:eastAsia="Arial" w:hAnsi="Arial"/>
                <w:sz w:val="15"/>
                <w:szCs w:val="15"/>
                <w:color w:val="auto"/>
              </w:rPr>
              <w:t>(7)</w:t>
            </w:r>
          </w:p>
        </w:tc>
        <w:tc>
          <w:tcPr>
            <w:tcW w:w="15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67,469</w:t>
            </w:r>
          </w:p>
        </w:tc>
        <w:tc>
          <w:tcPr>
            <w:tcW w:w="132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18"/>
                <w:szCs w:val="18"/>
                <w:color w:val="auto"/>
              </w:rPr>
            </w:pPr>
          </w:p>
        </w:tc>
      </w:tr>
      <w:tr>
        <w:trPr>
          <w:trHeight w:val="216"/>
        </w:trPr>
        <w:tc>
          <w:tcPr>
            <w:tcW w:w="8480" w:type="dxa"/>
            <w:vAlign w:val="bottom"/>
          </w:tcPr>
          <w:p>
            <w:pPr>
              <w:ind w:left="140"/>
              <w:spacing w:after="0"/>
              <w:rPr>
                <w:sz w:val="20"/>
                <w:szCs w:val="20"/>
                <w:color w:val="auto"/>
              </w:rPr>
            </w:pPr>
            <w:r>
              <w:rPr>
                <w:rFonts w:ascii="Arial" w:cs="Arial" w:eastAsia="Arial" w:hAnsi="Arial"/>
                <w:sz w:val="18"/>
                <w:szCs w:val="18"/>
                <w:color w:val="auto"/>
              </w:rPr>
              <w:t>Matthew K. Fust</w:t>
            </w:r>
            <w:r>
              <w:rPr>
                <w:rFonts w:ascii="Arial" w:cs="Arial" w:eastAsia="Arial" w:hAnsi="Arial"/>
                <w:sz w:val="15"/>
                <w:szCs w:val="15"/>
                <w:color w:val="auto"/>
              </w:rPr>
              <w:t>(8)</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6,458</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8480" w:type="dxa"/>
            <w:vAlign w:val="bottom"/>
            <w:shd w:val="clear" w:color="auto" w:fill="CCECFF"/>
          </w:tcPr>
          <w:p>
            <w:pPr>
              <w:ind w:left="140"/>
              <w:spacing w:after="0"/>
              <w:rPr>
                <w:sz w:val="20"/>
                <w:szCs w:val="20"/>
                <w:color w:val="auto"/>
              </w:rPr>
            </w:pPr>
            <w:r>
              <w:rPr>
                <w:rFonts w:ascii="Arial" w:cs="Arial" w:eastAsia="Arial" w:hAnsi="Arial"/>
                <w:sz w:val="18"/>
                <w:szCs w:val="18"/>
                <w:color w:val="auto"/>
              </w:rPr>
              <w:t>Clay B. Siegall, Ph.D.</w:t>
            </w:r>
            <w:r>
              <w:rPr>
                <w:rFonts w:ascii="Arial" w:cs="Arial" w:eastAsia="Arial" w:hAnsi="Arial"/>
                <w:sz w:val="15"/>
                <w:szCs w:val="15"/>
                <w:color w:val="auto"/>
              </w:rPr>
              <w:t>(9)</w:t>
            </w:r>
          </w:p>
        </w:tc>
        <w:tc>
          <w:tcPr>
            <w:tcW w:w="15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1,458</w:t>
            </w:r>
          </w:p>
        </w:tc>
        <w:tc>
          <w:tcPr>
            <w:tcW w:w="132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18"/>
                <w:szCs w:val="18"/>
                <w:color w:val="auto"/>
              </w:rPr>
            </w:pPr>
          </w:p>
        </w:tc>
      </w:tr>
      <w:tr>
        <w:trPr>
          <w:trHeight w:val="216"/>
        </w:trPr>
        <w:tc>
          <w:tcPr>
            <w:tcW w:w="8480" w:type="dxa"/>
            <w:vAlign w:val="bottom"/>
          </w:tcPr>
          <w:p>
            <w:pPr>
              <w:ind w:left="140"/>
              <w:spacing w:after="0"/>
              <w:rPr>
                <w:sz w:val="20"/>
                <w:szCs w:val="20"/>
                <w:color w:val="auto"/>
              </w:rPr>
            </w:pPr>
            <w:r>
              <w:rPr>
                <w:rFonts w:ascii="Arial" w:cs="Arial" w:eastAsia="Arial" w:hAnsi="Arial"/>
                <w:sz w:val="18"/>
                <w:szCs w:val="18"/>
                <w:color w:val="auto"/>
              </w:rPr>
              <w:t>Emil D. Kakkis, M.D., Ph.D.</w:t>
            </w:r>
            <w:r>
              <w:rPr>
                <w:rFonts w:ascii="Arial" w:cs="Arial" w:eastAsia="Arial" w:hAnsi="Arial"/>
                <w:sz w:val="15"/>
                <w:szCs w:val="15"/>
                <w:color w:val="auto"/>
              </w:rPr>
              <w:t>(10)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3,326,181</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0"/>
              </w:rPr>
              <w:t>11.0%</w:t>
            </w:r>
          </w:p>
        </w:tc>
        <w:tc>
          <w:tcPr>
            <w:tcW w:w="120" w:type="dxa"/>
            <w:vAlign w:val="bottom"/>
          </w:tcPr>
          <w:p>
            <w:pPr>
              <w:spacing w:after="0"/>
              <w:rPr>
                <w:sz w:val="18"/>
                <w:szCs w:val="18"/>
                <w:color w:val="auto"/>
              </w:rPr>
            </w:pPr>
          </w:p>
        </w:tc>
      </w:tr>
      <w:tr>
        <w:trPr>
          <w:trHeight w:val="216"/>
        </w:trPr>
        <w:tc>
          <w:tcPr>
            <w:tcW w:w="8480" w:type="dxa"/>
            <w:vAlign w:val="bottom"/>
            <w:shd w:val="clear" w:color="auto" w:fill="CCECFF"/>
          </w:tcPr>
          <w:p>
            <w:pPr>
              <w:ind w:left="140"/>
              <w:spacing w:after="0"/>
              <w:rPr>
                <w:sz w:val="20"/>
                <w:szCs w:val="20"/>
                <w:color w:val="auto"/>
              </w:rPr>
            </w:pPr>
            <w:r>
              <w:rPr>
                <w:rFonts w:ascii="Arial" w:cs="Arial" w:eastAsia="Arial" w:hAnsi="Arial"/>
                <w:sz w:val="18"/>
                <w:szCs w:val="18"/>
                <w:color w:val="auto"/>
              </w:rPr>
              <w:t>Thomas Kassberg</w:t>
            </w:r>
            <w:r>
              <w:rPr>
                <w:rFonts w:ascii="Arial" w:cs="Arial" w:eastAsia="Arial" w:hAnsi="Arial"/>
                <w:sz w:val="15"/>
                <w:szCs w:val="15"/>
                <w:color w:val="auto"/>
              </w:rPr>
              <w:t>(11)</w:t>
            </w:r>
          </w:p>
        </w:tc>
        <w:tc>
          <w:tcPr>
            <w:tcW w:w="15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155,348</w:t>
            </w:r>
          </w:p>
        </w:tc>
        <w:tc>
          <w:tcPr>
            <w:tcW w:w="132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18"/>
                <w:szCs w:val="18"/>
                <w:color w:val="auto"/>
              </w:rPr>
            </w:pPr>
          </w:p>
        </w:tc>
      </w:tr>
      <w:tr>
        <w:trPr>
          <w:trHeight w:val="216"/>
        </w:trPr>
        <w:tc>
          <w:tcPr>
            <w:tcW w:w="8480" w:type="dxa"/>
            <w:vAlign w:val="bottom"/>
          </w:tcPr>
          <w:p>
            <w:pPr>
              <w:ind w:left="140"/>
              <w:spacing w:after="0"/>
              <w:rPr>
                <w:sz w:val="20"/>
                <w:szCs w:val="20"/>
                <w:color w:val="auto"/>
              </w:rPr>
            </w:pPr>
            <w:r>
              <w:rPr>
                <w:rFonts w:ascii="Arial" w:cs="Arial" w:eastAsia="Arial" w:hAnsi="Arial"/>
                <w:sz w:val="18"/>
                <w:szCs w:val="18"/>
                <w:color w:val="auto"/>
              </w:rPr>
              <w:t>Shalini Sharp</w:t>
            </w:r>
            <w:r>
              <w:rPr>
                <w:rFonts w:ascii="Arial" w:cs="Arial" w:eastAsia="Arial" w:hAnsi="Arial"/>
                <w:sz w:val="15"/>
                <w:szCs w:val="15"/>
                <w:color w:val="auto"/>
              </w:rPr>
              <w:t>(12)</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96,221</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8480" w:type="dxa"/>
            <w:vAlign w:val="bottom"/>
            <w:shd w:val="clear" w:color="auto" w:fill="CCECFF"/>
          </w:tcPr>
          <w:p>
            <w:pPr>
              <w:ind w:left="140"/>
              <w:spacing w:after="0"/>
              <w:rPr>
                <w:sz w:val="20"/>
                <w:szCs w:val="20"/>
                <w:color w:val="auto"/>
              </w:rPr>
            </w:pPr>
            <w:r>
              <w:rPr>
                <w:rFonts w:ascii="Arial" w:cs="Arial" w:eastAsia="Arial" w:hAnsi="Arial"/>
                <w:sz w:val="18"/>
                <w:szCs w:val="18"/>
                <w:color w:val="auto"/>
              </w:rPr>
              <w:t>All executive officers and directors as a group</w:t>
            </w:r>
            <w:r>
              <w:rPr>
                <w:rFonts w:ascii="Arial" w:cs="Arial" w:eastAsia="Arial" w:hAnsi="Arial"/>
                <w:sz w:val="15"/>
                <w:szCs w:val="15"/>
                <w:color w:val="auto"/>
              </w:rPr>
              <w:t>(13)</w:t>
            </w:r>
            <w:r>
              <w:rPr>
                <w:rFonts w:ascii="Arial" w:cs="Arial" w:eastAsia="Arial" w:hAnsi="Arial"/>
                <w:sz w:val="18"/>
                <w:szCs w:val="18"/>
                <w:color w:val="auto"/>
              </w:rPr>
              <w:t xml:space="preserve"> (8 persons)</w:t>
            </w:r>
          </w:p>
        </w:tc>
        <w:tc>
          <w:tcPr>
            <w:tcW w:w="15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3,656,051</w:t>
            </w:r>
          </w:p>
        </w:tc>
        <w:tc>
          <w:tcPr>
            <w:tcW w:w="1320" w:type="dxa"/>
            <w:vAlign w:val="bottom"/>
            <w:shd w:val="clear" w:color="auto" w:fill="CCECFF"/>
          </w:tcPr>
          <w:p>
            <w:pPr>
              <w:jc w:val="center"/>
              <w:ind w:left="10"/>
              <w:spacing w:after="0"/>
              <w:rPr>
                <w:sz w:val="20"/>
                <w:szCs w:val="20"/>
                <w:color w:val="auto"/>
              </w:rPr>
            </w:pPr>
            <w:r>
              <w:rPr>
                <w:rFonts w:ascii="Arial" w:cs="Arial" w:eastAsia="Arial" w:hAnsi="Arial"/>
                <w:sz w:val="18"/>
                <w:szCs w:val="18"/>
                <w:color w:val="auto"/>
                <w:w w:val="90"/>
              </w:rPr>
              <w:t>12.1%</w:t>
            </w:r>
          </w:p>
        </w:tc>
        <w:tc>
          <w:tcPr>
            <w:tcW w:w="120" w:type="dxa"/>
            <w:vAlign w:val="bottom"/>
            <w:shd w:val="clear" w:color="auto" w:fill="CCECFF"/>
          </w:tcPr>
          <w:p>
            <w:pPr>
              <w:spacing w:after="0"/>
              <w:rPr>
                <w:sz w:val="18"/>
                <w:szCs w:val="18"/>
                <w:color w:val="auto"/>
              </w:rPr>
            </w:pPr>
          </w:p>
        </w:tc>
      </w:tr>
    </w:tbl>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Indicates beneficial ownership of less than 1% of the total outstanding common stock.</w:t>
      </w:r>
    </w:p>
    <w:p>
      <w:pPr>
        <w:spacing w:after="0" w:line="90" w:lineRule="exact"/>
        <w:rPr>
          <w:sz w:val="20"/>
          <w:szCs w:val="20"/>
          <w:color w:val="auto"/>
        </w:rPr>
      </w:pPr>
    </w:p>
    <w:p>
      <w:pPr>
        <w:ind w:left="540" w:right="20" w:hanging="532"/>
        <w:spacing w:after="0" w:line="290"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information set forth in a Form 4 filed with the SEC by TPG Group Holdings (SBS) Advisors, Inc. on February 7, 2014. TPG Biotechnology Partners III, L.P. is a Delaware limited partnership, whose general partner is TPG Biotechnology GenPar III, L.P., a Delaware limited partnership, whose general partner is TPG Biotechnology GenPar III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or Group Advisors, a Delaware corporation. Messrs. David Bonderman and James G. Coulter are officers, directors and sole shareholders of Group Advisors and may therefore be deemed to be the beneficial owners of the shares held by TPG Biotechnology Partners III, L.P. The address for Messrs. Bonderman and Coulter is c/o TPG Capital, L.P., 301 Commerce Street, Suite 3300, Fort Worth, TX 76102.</w:t>
      </w:r>
    </w:p>
    <w:p>
      <w:pPr>
        <w:spacing w:after="0" w:line="17" w:lineRule="exact"/>
        <w:rPr>
          <w:rFonts w:ascii="Arial" w:cs="Arial" w:eastAsia="Arial" w:hAnsi="Arial"/>
          <w:sz w:val="16"/>
          <w:szCs w:val="16"/>
          <w:color w:val="auto"/>
        </w:rPr>
      </w:pPr>
    </w:p>
    <w:p>
      <w:pPr>
        <w:ind w:left="540" w:right="120" w:hanging="532"/>
        <w:spacing w:after="0" w:line="254"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information set forth in a Schedule 13G filed with the SEC by FMR LLC on February 14, 2014. Beacon Bioventures Advisors Fund II Limited Partnership is the general partner of Beacon Bioventures Fund II Limited Partnership. Beacon Bioventures Advisors Fund II Limited Partnership is solely managed by Northern Neck Investors LLC, its general partner and investment manager. Northern Neck Investors LLC is owned by the shareholders and certain employees of FMR LLC. Northern Neck Investors LLC is managed on a day-to-day basis by its President, Paul L. Mucci, and as such Mr. Mucci may be deemed to share voting and dispositive power with respect to all shares held by Beacon Bioventures Fund II Limited Partnership. Each of the individuals and entities listed above expressly disclaims beneficial ownership of the securities listed above except to the extent of any pecuniary interest therein. The address for each of the individuals and entities listed above is 100 Summer Street R7B, Boston, Massachusetts 02110.</w:t>
      </w:r>
    </w:p>
    <w:p>
      <w:pPr>
        <w:spacing w:after="0" w:line="43" w:lineRule="exact"/>
        <w:rPr>
          <w:rFonts w:ascii="Arial" w:cs="Arial" w:eastAsia="Arial" w:hAnsi="Arial"/>
          <w:sz w:val="18"/>
          <w:szCs w:val="18"/>
          <w:color w:val="auto"/>
        </w:rPr>
      </w:pPr>
    </w:p>
    <w:p>
      <w:pPr>
        <w:ind w:left="540" w:right="40" w:hanging="532"/>
        <w:spacing w:after="0" w:line="273"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HealthCap VI GP SA, L.L.C. (“</w:t>
      </w:r>
      <w:r>
        <w:rPr>
          <w:rFonts w:ascii="Arial" w:cs="Arial" w:eastAsia="Arial" w:hAnsi="Arial"/>
          <w:sz w:val="17"/>
          <w:szCs w:val="17"/>
          <w:b w:val="1"/>
          <w:bCs w:val="1"/>
          <w:i w:val="1"/>
          <w:iCs w:val="1"/>
          <w:color w:val="auto"/>
        </w:rPr>
        <w:t>HCSA</w:t>
      </w:r>
      <w:r>
        <w:rPr>
          <w:rFonts w:ascii="Arial" w:cs="Arial" w:eastAsia="Arial" w:hAnsi="Arial"/>
          <w:sz w:val="17"/>
          <w:szCs w:val="17"/>
          <w:color w:val="auto"/>
        </w:rPr>
        <w:t>”) is the sole general partner of HealthCap VI, L.P. HCSA has voting and dispositive power over the shares held by HealthCap VI, L.P. HCSA disclaims beneficial ownership of such shares, except to the extent of its pecuniary interest therein. Francois Kaiser, Dag Richter, and Daniel Schafer, the members of the board of HCSA, share voting and dispositive power over the shares held by HealthCap VI, L.P. and may be deemed to have indirect beneficial ownership of the shares held by such entities. The members of the board of HCSA disclaim beneficial ownership of shares held by HealthCap VI, L.P. except to the extent of any pecuniary interest therein. The address of HealthCap VI, L.P. is c/o HealthCap VI GP SA, 18, Avenue d Ouchy, 1006 Lausanne, Switzerland.</w:t>
      </w:r>
    </w:p>
    <w:p>
      <w:pPr>
        <w:spacing w:after="0" w:line="29" w:lineRule="exact"/>
        <w:rPr>
          <w:rFonts w:ascii="Arial" w:cs="Arial" w:eastAsia="Arial" w:hAnsi="Arial"/>
          <w:sz w:val="17"/>
          <w:szCs w:val="17"/>
          <w:color w:val="auto"/>
        </w:rPr>
      </w:pPr>
    </w:p>
    <w:p>
      <w:pPr>
        <w:ind w:left="540" w:hanging="532"/>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Adage Capital Partners, GP, LLC (“</w:t>
      </w:r>
      <w:r>
        <w:rPr>
          <w:rFonts w:ascii="Arial" w:cs="Arial" w:eastAsia="Arial" w:hAnsi="Arial"/>
          <w:sz w:val="17"/>
          <w:szCs w:val="17"/>
          <w:b w:val="1"/>
          <w:bCs w:val="1"/>
          <w:i w:val="1"/>
          <w:iCs w:val="1"/>
          <w:color w:val="auto"/>
        </w:rPr>
        <w:t>ACPGP</w:t>
      </w:r>
      <w:r>
        <w:rPr>
          <w:rFonts w:ascii="Arial" w:cs="Arial" w:eastAsia="Arial" w:hAnsi="Arial"/>
          <w:sz w:val="17"/>
          <w:szCs w:val="17"/>
          <w:color w:val="auto"/>
        </w:rPr>
        <w:t>”), serves as the general partner of Adage Capital Partners, L.P., a Delaware limited partnership (the</w:t>
      </w:r>
    </w:p>
    <w:p>
      <w:pPr>
        <w:spacing w:after="0" w:line="34" w:lineRule="exact"/>
        <w:rPr>
          <w:rFonts w:ascii="Arial" w:cs="Arial" w:eastAsia="Arial" w:hAnsi="Arial"/>
          <w:sz w:val="17"/>
          <w:szCs w:val="17"/>
          <w:color w:val="auto"/>
        </w:rPr>
      </w:pPr>
    </w:p>
    <w:p>
      <w:pPr>
        <w:ind w:left="540" w:right="80"/>
        <w:spacing w:after="0" w:line="23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w:t>
      </w:r>
      <w:r>
        <w:rPr>
          <w:rFonts w:ascii="Arial" w:cs="Arial" w:eastAsia="Arial" w:hAnsi="Arial"/>
          <w:sz w:val="18"/>
          <w:szCs w:val="18"/>
          <w:color w:val="auto"/>
        </w:rPr>
        <w:t>”) and as such has discretion over the portfolio of securities beneficially owned by the Fund. Adage Capital Advisors, LLC, a Delaware limited liability company (“</w:t>
      </w:r>
      <w:r>
        <w:rPr>
          <w:rFonts w:ascii="Arial" w:cs="Arial" w:eastAsia="Arial" w:hAnsi="Arial"/>
          <w:sz w:val="18"/>
          <w:szCs w:val="18"/>
          <w:b w:val="1"/>
          <w:bCs w:val="1"/>
          <w:i w:val="1"/>
          <w:iCs w:val="1"/>
          <w:color w:val="auto"/>
        </w:rPr>
        <w:t>ACA</w:t>
      </w:r>
      <w:r>
        <w:rPr>
          <w:rFonts w:ascii="Arial" w:cs="Arial" w:eastAsia="Arial" w:hAnsi="Arial"/>
          <w:sz w:val="18"/>
          <w:szCs w:val="18"/>
          <w:color w:val="auto"/>
        </w:rPr>
        <w:t>”),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 The address of Adage Capital Partners, L.P. is 200 Clarendon Street,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Boston, MA 02116.</w:t>
      </w:r>
    </w:p>
    <w:p>
      <w:pPr>
        <w:spacing w:after="0" w:line="53" w:lineRule="exact"/>
        <w:rPr>
          <w:rFonts w:ascii="Arial" w:cs="Arial" w:eastAsia="Arial" w:hAnsi="Arial"/>
          <w:sz w:val="17"/>
          <w:szCs w:val="17"/>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1,458 shares of common stock issuable upon the exercise of stock options within 60 days of March 14, 2014.</w:t>
      </w:r>
    </w:p>
    <w:p>
      <w:pPr>
        <w:spacing w:after="0" w:line="76"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1,458 shares of common stock issuable upon the exercise of stock options within 60 days of March 14, 2014.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ind w:left="540" w:right="80" w:hanging="532"/>
        <w:spacing w:after="0" w:line="306"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Consists of (a) 36,903 shares of common stock, (b) 29,108 shares of common stock that may be acquired pursuant to the exercise of a warrant held by Mr. Aliski and (c) 1,458 shares of common stock issuable upon the exercise of stock options within 60 days of March 14, 2014.</w:t>
      </w:r>
    </w:p>
    <w:p>
      <w:pPr>
        <w:spacing w:after="0" w:line="1" w:lineRule="exact"/>
        <w:rPr>
          <w:rFonts w:ascii="Arial" w:cs="Arial" w:eastAsia="Arial" w:hAnsi="Arial"/>
          <w:sz w:val="17"/>
          <w:szCs w:val="17"/>
          <w:color w:val="auto"/>
        </w:rPr>
      </w:pPr>
    </w:p>
    <w:p>
      <w:pPr>
        <w:ind w:left="540" w:right="380" w:hanging="53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5,000 shares of common stock and (b) 1,458 shares of common stock issuable upon the exercise of stock options within 60 days of March 14, 2014.</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1,458 shares of common stock issuable upon the exercise of stock options within 60 days of March 14, 2014.</w:t>
      </w:r>
    </w:p>
    <w:p>
      <w:pPr>
        <w:spacing w:after="0" w:line="76" w:lineRule="exact"/>
        <w:rPr>
          <w:rFonts w:ascii="Arial" w:cs="Arial" w:eastAsia="Arial" w:hAnsi="Arial"/>
          <w:sz w:val="18"/>
          <w:szCs w:val="18"/>
          <w:color w:val="auto"/>
        </w:rPr>
      </w:pPr>
    </w:p>
    <w:p>
      <w:pPr>
        <w:ind w:left="540" w:right="20" w:hanging="532"/>
        <w:spacing w:after="0" w:line="29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(a) 2,552,241 shares of common stock held by the Emil Kakkis and Jenny Soriano Living Trust, dated June 18, 2009, (b) 624,240 shares of common stock held by Dr. Kakkis and (c) 149,700 shares of common stock that may be acquired pursuant to the exercise of warrants held by</w:t>
      </w:r>
    </w:p>
    <w:p>
      <w:pPr>
        <w:ind w:left="540" w:right="100"/>
        <w:spacing w:after="0" w:line="254" w:lineRule="auto"/>
        <w:rPr>
          <w:rFonts w:ascii="Arial" w:cs="Arial" w:eastAsia="Arial" w:hAnsi="Arial"/>
          <w:sz w:val="16"/>
          <w:szCs w:val="16"/>
          <w:color w:val="auto"/>
        </w:rPr>
      </w:pPr>
      <w:r>
        <w:rPr>
          <w:rFonts w:ascii="Arial" w:cs="Arial" w:eastAsia="Arial" w:hAnsi="Arial"/>
          <w:sz w:val="18"/>
          <w:szCs w:val="18"/>
          <w:color w:val="auto"/>
        </w:rPr>
        <w:t>Dr. Kakkis. Dr. Kakkis shares voting and dispositive power over the 2,552,241 shares of common stock held by the Emil Kakkis and Jenny Soriano Living Trust, dated June 18, 2009; each of Dr. Kakkis and Dr. Soriano is a trustee of such trust. Dr. Kakkis has sole voting and dispositive power over the 624,240 shares of common stock held by him and the 149,700 shares of common stock that may be acquired pursuant to the exercise of warrants held by Dr. Kakkis.</w:t>
      </w:r>
    </w:p>
    <w:p>
      <w:pPr>
        <w:spacing w:after="0" w:line="41" w:lineRule="exact"/>
        <w:rPr>
          <w:rFonts w:ascii="Arial" w:cs="Arial" w:eastAsia="Arial" w:hAnsi="Arial"/>
          <w:sz w:val="16"/>
          <w:szCs w:val="16"/>
          <w:color w:val="auto"/>
        </w:rPr>
      </w:pPr>
    </w:p>
    <w:p>
      <w:pPr>
        <w:ind w:left="540" w:right="100" w:hanging="53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125,804 shares of common stock and (b) 29,544 shares of common stock issuable upon the exercise of stock options within 60 days of March 14, 2014.</w:t>
      </w:r>
    </w:p>
    <w:p>
      <w:pPr>
        <w:spacing w:after="0" w:line="21"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84,255 shares of common stock and (b) 11,966 shares of common stock issuable upon the exercise of stock options within 60 days of March 14, 2014.</w:t>
      </w:r>
    </w:p>
    <w:p>
      <w:pPr>
        <w:spacing w:after="0" w:line="21" w:lineRule="exact"/>
        <w:rPr>
          <w:rFonts w:ascii="Arial" w:cs="Arial" w:eastAsia="Arial" w:hAnsi="Arial"/>
          <w:sz w:val="18"/>
          <w:szCs w:val="18"/>
          <w:color w:val="auto"/>
        </w:rPr>
      </w:pPr>
    </w:p>
    <w:p>
      <w:pPr>
        <w:ind w:left="540" w:right="120" w:hanging="532"/>
        <w:spacing w:after="0" w:line="264"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3,428,443 shares held by our directors and officers, (b) 178,808 shares of common stock that may be acquired pursuant to the exercise of warrants by our certain of our directors and officers, and (c) 48,800 shares of common stock issuable upon the exercise of stock options within 60 days of March 14, 2014 held by our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920" w:firstLine="518"/>
        <w:spacing w:after="0" w:line="277" w:lineRule="auto"/>
        <w:rPr>
          <w:sz w:val="20"/>
          <w:szCs w:val="20"/>
          <w:color w:val="auto"/>
        </w:rPr>
      </w:pPr>
      <w:r>
        <w:rPr>
          <w:rFonts w:ascii="Arial" w:cs="Arial" w:eastAsia="Arial" w:hAnsi="Arial"/>
          <w:sz w:val="18"/>
          <w:szCs w:val="18"/>
          <w:color w:val="auto"/>
        </w:rPr>
        <w:t>The table below discloses information as of December 31, 2013 with respect to our equity compensation plans that have been approved by stockholders and equity compensation plans that have not been approved by stockholders.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Available for Future</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Issuance under</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Securities to be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Issued upon</w:t>
            </w:r>
          </w:p>
        </w:tc>
        <w:tc>
          <w:tcPr>
            <w:tcW w:w="17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Weighted-Average</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of</w:t>
            </w: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Exercise Price of</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(Excluding</w:t>
            </w: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 Reflected</w:t>
            </w:r>
          </w:p>
        </w:tc>
      </w:tr>
      <w:tr>
        <w:trPr>
          <w:trHeight w:val="234"/>
        </w:trPr>
        <w:tc>
          <w:tcPr>
            <w:tcW w:w="616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Column (a))</w:t>
            </w:r>
          </w:p>
        </w:tc>
      </w:tr>
      <w:tr>
        <w:trPr>
          <w:trHeight w:val="210"/>
        </w:trPr>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2011 Equity Incentive Plan, as amended</w:t>
            </w:r>
          </w:p>
        </w:tc>
        <w:tc>
          <w:tcPr>
            <w:tcW w:w="1540" w:type="dxa"/>
            <w:vAlign w:val="bottom"/>
          </w:tcPr>
          <w:p>
            <w:pPr>
              <w:jc w:val="right"/>
              <w:spacing w:after="0"/>
              <w:rPr>
                <w:sz w:val="20"/>
                <w:szCs w:val="20"/>
                <w:color w:val="auto"/>
              </w:rPr>
            </w:pPr>
            <w:r>
              <w:rPr>
                <w:rFonts w:ascii="Arial" w:cs="Arial" w:eastAsia="Arial" w:hAnsi="Arial"/>
                <w:sz w:val="18"/>
                <w:szCs w:val="18"/>
                <w:color w:val="auto"/>
              </w:rPr>
              <w:t>2,222,839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600" w:type="dxa"/>
            <w:vAlign w:val="bottom"/>
          </w:tcPr>
          <w:p>
            <w:pPr>
              <w:jc w:val="right"/>
              <w:spacing w:after="0"/>
              <w:rPr>
                <w:sz w:val="20"/>
                <w:szCs w:val="20"/>
                <w:color w:val="auto"/>
              </w:rPr>
            </w:pPr>
            <w:r>
              <w:rPr>
                <w:rFonts w:ascii="Arial" w:cs="Arial" w:eastAsia="Arial" w:hAnsi="Arial"/>
                <w:sz w:val="18"/>
                <w:szCs w:val="18"/>
                <w:color w:val="auto"/>
              </w:rPr>
              <w:t>799,963</w:t>
            </w:r>
          </w:p>
        </w:tc>
        <w:tc>
          <w:tcPr>
            <w:tcW w:w="120" w:type="dxa"/>
            <w:vAlign w:val="bottom"/>
          </w:tcPr>
          <w:p>
            <w:pPr>
              <w:spacing w:after="0"/>
              <w:rPr>
                <w:sz w:val="18"/>
                <w:szCs w:val="18"/>
                <w:color w:val="auto"/>
              </w:rPr>
            </w:pPr>
          </w:p>
        </w:tc>
      </w:tr>
      <w:tr>
        <w:trPr>
          <w:trHeight w:val="216"/>
        </w:trPr>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2,222,839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799,963</w:t>
            </w:r>
          </w:p>
        </w:tc>
        <w:tc>
          <w:tcPr>
            <w:tcW w:w="1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100"/>
        <w:spacing w:after="0" w:line="331" w:lineRule="auto"/>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r>
        <w:rPr>
          <w:rFonts w:ascii="Arial" w:cs="Arial" w:eastAsia="Arial" w:hAnsi="Arial"/>
          <w:sz w:val="18"/>
          <w:szCs w:val="18"/>
          <w:b w:val="1"/>
          <w:bCs w:val="1"/>
          <w:color w:val="auto"/>
        </w:rPr>
        <w:t xml:space="preserve"> Related-Party Transactions</w:t>
      </w:r>
    </w:p>
    <w:p>
      <w:pPr>
        <w:ind w:right="100" w:firstLine="518"/>
        <w:spacing w:after="0" w:line="259" w:lineRule="auto"/>
        <w:rPr>
          <w:sz w:val="20"/>
          <w:szCs w:val="20"/>
          <w:color w:val="auto"/>
        </w:rPr>
      </w:pPr>
      <w:r>
        <w:rPr>
          <w:rFonts w:ascii="Arial" w:cs="Arial" w:eastAsia="Arial" w:hAnsi="Arial"/>
          <w:sz w:val="18"/>
          <w:szCs w:val="18"/>
          <w:color w:val="auto"/>
        </w:rPr>
        <w:t>Since January 1, 2013, other than participation in our IPO by certain greater than 5% holders and entering into indemnification agreements with each of our executive officers and directors, we have not become a party to any transactions with any “related parties,” which are generally considered to be our directors and executive officers, nominees for director, holders of 5% or more of our outstanding common stock and members of their immediate families, in which the amount involved exceeds $120,000.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our IPO</w:t>
      </w:r>
    </w:p>
    <w:p>
      <w:pPr>
        <w:spacing w:after="0" w:line="54" w:lineRule="exact"/>
        <w:rPr>
          <w:sz w:val="20"/>
          <w:szCs w:val="20"/>
          <w:color w:val="auto"/>
        </w:rPr>
      </w:pPr>
    </w:p>
    <w:p>
      <w:pPr>
        <w:ind w:right="80" w:firstLine="571"/>
        <w:spacing w:after="0" w:line="276" w:lineRule="auto"/>
        <w:rPr>
          <w:sz w:val="20"/>
          <w:szCs w:val="20"/>
          <w:color w:val="auto"/>
        </w:rPr>
      </w:pPr>
      <w:r>
        <w:rPr>
          <w:rFonts w:ascii="Arial" w:cs="Arial" w:eastAsia="Arial" w:hAnsi="Arial"/>
          <w:sz w:val="16"/>
          <w:szCs w:val="16"/>
          <w:color w:val="auto"/>
        </w:rPr>
        <w:t>In connection with our IPO, the underwriters allocated shares of our common stock in the offering to certain of our greater than 5% holders on the same terms as the other shares that were offered and sold in our IPO. These allocations included allocations of 240,000 shares to Adage Capital Partners, L.P. and 175,000 shares to Beacon Bioventures Fund II Limited Partnership. All of these shares were sold at $21.00, which was the IPO price.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3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67" w:lineRule="exact"/>
        <w:rPr>
          <w:sz w:val="20"/>
          <w:szCs w:val="20"/>
          <w:color w:val="auto"/>
        </w:rPr>
      </w:pPr>
    </w:p>
    <w:p>
      <w:pPr>
        <w:ind w:right="80" w:firstLine="571"/>
        <w:spacing w:after="0" w:line="231"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Related Party Transactions</w:t>
      </w:r>
    </w:p>
    <w:p>
      <w:pPr>
        <w:spacing w:after="0" w:line="54" w:lineRule="exact"/>
        <w:rPr>
          <w:sz w:val="20"/>
          <w:szCs w:val="20"/>
          <w:color w:val="auto"/>
        </w:rPr>
      </w:pPr>
    </w:p>
    <w:p>
      <w:pPr>
        <w:ind w:right="140" w:firstLine="518"/>
        <w:spacing w:after="0" w:line="252" w:lineRule="auto"/>
        <w:rPr>
          <w:sz w:val="20"/>
          <w:szCs w:val="20"/>
          <w:color w:val="auto"/>
        </w:rPr>
      </w:pPr>
      <w:r>
        <w:rPr>
          <w:rFonts w:ascii="Arial" w:cs="Arial" w:eastAsia="Arial" w:hAnsi="Arial"/>
          <w:sz w:val="16"/>
          <w:szCs w:val="16"/>
          <w:color w:val="auto"/>
        </w:rPr>
        <w:t>We have adopted a related person transaction approval policy that governs the review, approval and/or ratification of related person transactions. Pursuant to this policy, if we want to enter into a transaction with a related person or an affiliate or immediate family member of a related person, our Chief Financial Officer will review the proposed transaction to determine, based on applicable NASDAQ and SEC rules, if such transaction qualifies as a related person transaction. If the Chief Financial Officer determines that the proposed transaction is a related person transaction, then the proposed transaction shall be submitted to the Audit Committee for pre-approval at the next regular or special Audit Committee meeting; if the Chief Financial Officer, in consultation with the Chief Executive Officer, determines that it is not practicable to wait until the next meeting of the Audit Committee, then the Chief Financial Officer shall submit the proposed transaction to the chairperson of the Audit Committee. In the event that our Chief Executive Officer or Chief Financial Officer becomes aware of a related person transaction that has not been previously approved or previously ratified under our related person transaction approval policy, the transaction, if pending or ongoing, will be promptly submitted to the Audit Committee or the chairperson of the Audit Committee for consideration. If the transaction is already completed, the Audit Committee or the chairperson of the Audit Committee shall evaluate the transaction to determine if rescission of the transaction and/or any disciplinary action is appropriate.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54" w:lineRule="exact"/>
        <w:rPr>
          <w:sz w:val="20"/>
          <w:szCs w:val="20"/>
          <w:color w:val="auto"/>
        </w:rPr>
      </w:pPr>
    </w:p>
    <w:p>
      <w:pPr>
        <w:ind w:firstLine="518"/>
        <w:spacing w:after="0" w:line="224" w:lineRule="auto"/>
        <w:rPr>
          <w:sz w:val="20"/>
          <w:szCs w:val="20"/>
          <w:color w:val="auto"/>
        </w:rPr>
      </w:pPr>
      <w:r>
        <w:rPr>
          <w:rFonts w:ascii="Arial" w:cs="Arial" w:eastAsia="Arial" w:hAnsi="Arial"/>
          <w:sz w:val="18"/>
          <w:szCs w:val="18"/>
          <w:color w:val="auto"/>
        </w:rPr>
        <w:t>Our Board currently consists of six members. Our Board has determined that all of our directors, other than Dr. Kakkis, qualify as “independent” directors in accordance with the NASDAQ listing requirements. Dr. Kakkis is not considered independent because he is an employee of Ultragenyx.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and director nominee that no relationships exist, which, in the opinion of our Board, would interfere with the exercise of independent judgment in carrying out the responsibilities of a director. In making these determinations, our Board reviewed and discussed information provided by the directors, director nominees, and us with regard to each director’s and director nominee’s business and personal activities and relationships as they may relate to us and our management. There are no family relationships among any of our directors or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the fees paid or accrued by us for the audit and other services provided by Ernst &amp; Young LLP for fiscal 2012 and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FF0FC"/>
            </w:tcBorders>
          </w:tcPr>
          <w:p>
            <w:pPr>
              <w:spacing w:after="0"/>
              <w:rPr>
                <w:sz w:val="20"/>
                <w:szCs w:val="20"/>
                <w:color w:val="auto"/>
              </w:rPr>
            </w:pPr>
          </w:p>
        </w:tc>
      </w:tr>
      <w:tr>
        <w:trPr>
          <w:trHeight w:val="210"/>
        </w:trPr>
        <w:tc>
          <w:tcPr>
            <w:tcW w:w="9000" w:type="dxa"/>
            <w:vAlign w:val="bottom"/>
            <w:shd w:val="clear" w:color="auto" w:fill="CFF0FC"/>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1,264,000</w:t>
            </w:r>
          </w:p>
        </w:tc>
        <w:tc>
          <w:tcPr>
            <w:tcW w:w="120" w:type="dxa"/>
            <w:vAlign w:val="bottom"/>
            <w:shd w:val="clear" w:color="auto" w:fill="CFF0FC"/>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9000" w:type="dxa"/>
            <w:vAlign w:val="bottom"/>
            <w:shd w:val="clear" w:color="auto" w:fill="CFF0FC"/>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FF0FC"/>
          </w:tcPr>
          <w:p>
            <w:pPr>
              <w:spacing w:after="0"/>
              <w:rPr>
                <w:sz w:val="18"/>
                <w:szCs w:val="18"/>
                <w:color w:val="auto"/>
              </w:rPr>
            </w:pPr>
          </w:p>
        </w:tc>
      </w:tr>
      <w:tr>
        <w:trPr>
          <w:trHeight w:val="216"/>
        </w:trPr>
        <w:tc>
          <w:tcPr>
            <w:tcW w:w="9000" w:type="dxa"/>
            <w:vAlign w:val="bottom"/>
            <w:tcBorders>
              <w:bottom w:val="single" w:sz="8" w:color="CFF0FC"/>
            </w:tcBorders>
          </w:tcPr>
          <w:p>
            <w:pPr>
              <w:spacing w:after="0" w:line="217"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FF0FC"/>
            </w:tcBorders>
          </w:tcPr>
          <w:p>
            <w:pPr>
              <w:spacing w:after="0"/>
              <w:rPr>
                <w:sz w:val="18"/>
                <w:szCs w:val="18"/>
                <w:color w:val="auto"/>
              </w:rPr>
            </w:pPr>
          </w:p>
        </w:tc>
      </w:tr>
      <w:tr>
        <w:trPr>
          <w:trHeight w:val="210"/>
        </w:trPr>
        <w:tc>
          <w:tcPr>
            <w:tcW w:w="9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1,274,000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180" w:hanging="532"/>
        <w:spacing w:after="0" w:line="223" w:lineRule="auto"/>
        <w:tabs>
          <w:tab w:leader="none" w:pos="540" w:val="left"/>
        </w:tabs>
        <w:numPr>
          <w:ilvl w:val="0"/>
          <w:numId w:val="57"/>
        </w:numPr>
        <w:rPr>
          <w:rFonts w:ascii="Arial" w:cs="Arial" w:eastAsia="Arial" w:hAnsi="Arial"/>
          <w:sz w:val="26"/>
          <w:szCs w:val="26"/>
          <w:color w:val="auto"/>
          <w:vertAlign w:val="superscript"/>
        </w:rPr>
      </w:pPr>
      <w:r>
        <w:rPr>
          <w:rFonts w:ascii="Arial" w:cs="Arial" w:eastAsia="Arial" w:hAnsi="Arial"/>
          <w:sz w:val="18"/>
          <w:szCs w:val="18"/>
          <w:color w:val="auto"/>
        </w:rPr>
        <w:t>Audit fees consist of the aggregate fees billed for professional services rendered for (i) the audit of our annual financial statements, including for our Annual Report on Form 10-K for fiscal 2013 and (ii) the filing of our registration statements, including our Registration Statement on Form S-1 related to our initial public offering .</w:t>
      </w:r>
    </w:p>
    <w:p>
      <w:pPr>
        <w:ind w:left="540" w:hanging="532"/>
        <w:spacing w:after="0" w:line="238" w:lineRule="auto"/>
        <w:tabs>
          <w:tab w:leader="none" w:pos="540" w:val="left"/>
        </w:tabs>
        <w:numPr>
          <w:ilvl w:val="0"/>
          <w:numId w:val="57"/>
        </w:numPr>
        <w:rPr>
          <w:rFonts w:ascii="Arial" w:cs="Arial" w:eastAsia="Arial" w:hAnsi="Arial"/>
          <w:sz w:val="26"/>
          <w:szCs w:val="26"/>
          <w:color w:val="auto"/>
          <w:vertAlign w:val="superscript"/>
        </w:rPr>
      </w:pPr>
      <w:r>
        <w:rPr>
          <w:rFonts w:ascii="Arial" w:cs="Arial" w:eastAsia="Arial" w:hAnsi="Arial"/>
          <w:sz w:val="18"/>
          <w:szCs w:val="18"/>
          <w:color w:val="auto"/>
        </w:rPr>
        <w:t>Tax fees principally include fees for tax compliance and tax advice.</w:t>
      </w:r>
    </w:p>
    <w:p>
      <w:pPr>
        <w:spacing w:after="0" w:line="69" w:lineRule="exact"/>
        <w:rPr>
          <w:rFonts w:ascii="Arial" w:cs="Arial" w:eastAsia="Arial" w:hAnsi="Arial"/>
          <w:sz w:val="26"/>
          <w:szCs w:val="26"/>
          <w:color w:val="auto"/>
          <w:vertAlign w:val="superscript"/>
        </w:rPr>
      </w:pPr>
    </w:p>
    <w:p>
      <w:pPr>
        <w:ind w:left="540" w:hanging="532"/>
        <w:spacing w:after="0" w:line="186" w:lineRule="auto"/>
        <w:tabs>
          <w:tab w:leader="none" w:pos="54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color w:val="auto"/>
        </w:rPr>
        <w:t>All other fees consist of fees for accessing Ernst &amp; Young LLP's online research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1200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5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Audit Committee reviews and pre-approves all audit and non-audit services performed by our independent registered public accounting firm, as well as the fees charged for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0" w:right="239" w:bottom="1440" w:gutter="0" w:footer="0" w:header="0"/>
        </w:sectPr>
      </w:pPr>
    </w:p>
    <w:bookmarkStart w:id="80" w:name="page81"/>
    <w:bookmarkEnd w:id="80"/>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81" w:lineRule="exact"/>
        <w:rPr>
          <w:sz w:val="20"/>
          <w:szCs w:val="20"/>
          <w:color w:val="auto"/>
        </w:rPr>
      </w:pPr>
    </w:p>
    <w:p>
      <w:pPr>
        <w:ind w:left="900" w:hanging="37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400" w:hanging="358"/>
        <w:spacing w:after="0"/>
        <w:tabs>
          <w:tab w:leader="none" w:pos="1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Financial Statements—See Index to Financial Statements at page F-1 of this report.</w:t>
      </w:r>
    </w:p>
    <w:p>
      <w:pPr>
        <w:spacing w:after="0" w:line="76" w:lineRule="exact"/>
        <w:rPr>
          <w:rFonts w:ascii="Arial" w:cs="Arial" w:eastAsia="Arial" w:hAnsi="Arial"/>
          <w:sz w:val="18"/>
          <w:szCs w:val="18"/>
          <w:color w:val="auto"/>
        </w:rPr>
      </w:pPr>
    </w:p>
    <w:p>
      <w:pPr>
        <w:ind w:left="1400" w:hanging="358"/>
        <w:spacing w:after="0"/>
        <w:tabs>
          <w:tab w:leader="none" w:pos="1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6" w:lineRule="exact"/>
        <w:rPr>
          <w:rFonts w:ascii="Arial" w:cs="Arial" w:eastAsia="Arial" w:hAnsi="Arial"/>
          <w:sz w:val="18"/>
          <w:szCs w:val="18"/>
          <w:color w:val="auto"/>
        </w:rPr>
      </w:pPr>
    </w:p>
    <w:p>
      <w:pPr>
        <w:ind w:left="140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in this report because they are not applicable, not required under the instructions, or the information requested is set forth in the financial statements or related notes thereto.</w:t>
      </w:r>
    </w:p>
    <w:p>
      <w:pPr>
        <w:spacing w:after="0" w:line="21" w:lineRule="exact"/>
        <w:rPr>
          <w:rFonts w:ascii="Arial" w:cs="Arial" w:eastAsia="Arial" w:hAnsi="Arial"/>
          <w:sz w:val="18"/>
          <w:szCs w:val="18"/>
          <w:color w:val="auto"/>
        </w:rPr>
      </w:pPr>
    </w:p>
    <w:p>
      <w:pPr>
        <w:ind w:left="900" w:hanging="37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index to exhibits are incorporated by reference or filed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364" w:right="4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w:t>
      </w:r>
      <w:r>
        <w:rPr>
          <w:rFonts w:ascii="Arial" w:cs="Arial" w:eastAsia="Arial" w:hAnsi="Arial"/>
          <w:sz w:val="13"/>
          <w:szCs w:val="13"/>
          <w:color w:val="auto"/>
        </w:rPr>
        <w:t>LTRAGENYX</w:t>
      </w:r>
      <w:r>
        <w:rPr>
          <w:rFonts w:ascii="Arial" w:cs="Arial" w:eastAsia="Arial" w:hAnsi="Arial"/>
          <w:sz w:val="18"/>
          <w:szCs w:val="18"/>
          <w:color w:val="auto"/>
        </w:rPr>
        <w:t xml:space="preserve"> P</w:t>
      </w:r>
      <w:r>
        <w:rPr>
          <w:rFonts w:ascii="Arial" w:cs="Arial" w:eastAsia="Arial" w:hAnsi="Arial"/>
          <w:sz w:val="13"/>
          <w:szCs w:val="13"/>
          <w:color w:val="auto"/>
        </w:rPr>
        <w:t>HARMACEUTICAL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0"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 Emil D. Kakkis</w:t>
            </w:r>
          </w:p>
        </w:tc>
      </w:tr>
      <w:tr>
        <w:trPr>
          <w:trHeight w:val="195"/>
        </w:trPr>
        <w:tc>
          <w:tcPr>
            <w:tcW w:w="560" w:type="dxa"/>
            <w:vAlign w:val="bottom"/>
          </w:tcPr>
          <w:p>
            <w:pPr>
              <w:spacing w:after="0"/>
              <w:rPr>
                <w:sz w:val="16"/>
                <w:szCs w:val="16"/>
                <w:color w:val="auto"/>
              </w:rPr>
            </w:pPr>
          </w:p>
        </w:tc>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4"/>
              </w:rPr>
              <w:t>Emil D. Kakkis, M.D., Ph.D.</w:t>
            </w:r>
          </w:p>
        </w:tc>
      </w:tr>
      <w:tr>
        <w:trPr>
          <w:trHeight w:val="230"/>
        </w:trPr>
        <w:tc>
          <w:tcPr>
            <w:tcW w:w="56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8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Emil D. Kakkis, M.D., Ph.D. and Shalini Sharp,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 Pursuant to the requirements of the Securities Exchange Act of 1934, as amended, this Annual Report on Form 10-K has been signed below by the following persons on behalf of the registrant and in the capacities and on the dates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Signature</w:t>
            </w:r>
          </w:p>
        </w:tc>
        <w:tc>
          <w:tcPr>
            <w:tcW w:w="1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w:t>
            </w:r>
          </w:p>
        </w:tc>
        <w:tc>
          <w:tcPr>
            <w:tcW w:w="2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r>
      <w:tr>
        <w:trPr>
          <w:trHeight w:val="439"/>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Emil D. Kakkis</w:t>
            </w:r>
          </w:p>
        </w:tc>
        <w:tc>
          <w:tcPr>
            <w:tcW w:w="5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President and Chief Executive Officer</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5"/>
              </w:rPr>
              <w:t>Emil D. Kakkis, M.D., Ph.D.</w:t>
            </w:r>
          </w:p>
        </w:tc>
        <w:tc>
          <w:tcPr>
            <w:tcW w:w="5120" w:type="dxa"/>
            <w:vAlign w:val="bottom"/>
            <w:gridSpan w:val="3"/>
          </w:tcPr>
          <w:p>
            <w:pPr>
              <w:jc w:val="center"/>
              <w:ind w:left="210"/>
              <w:spacing w:after="0"/>
              <w:rPr>
                <w:sz w:val="20"/>
                <w:szCs w:val="20"/>
                <w:color w:val="auto"/>
              </w:rPr>
            </w:pPr>
            <w:r>
              <w:rPr>
                <w:rFonts w:ascii="Arial" w:cs="Arial" w:eastAsia="Arial" w:hAnsi="Arial"/>
                <w:sz w:val="18"/>
                <w:szCs w:val="18"/>
                <w:color w:val="auto"/>
                <w:w w:val="94"/>
              </w:rPr>
              <w:t>(Principal Executive Officer)</w:t>
            </w: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23"/>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Shalini Sharp</w:t>
            </w:r>
          </w:p>
        </w:tc>
        <w:tc>
          <w:tcPr>
            <w:tcW w:w="5120" w:type="dxa"/>
            <w:vAlign w:val="bottom"/>
            <w:gridSpan w:val="3"/>
          </w:tcPr>
          <w:p>
            <w:pPr>
              <w:jc w:val="center"/>
              <w:ind w:left="19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1"/>
              </w:rPr>
              <w:t>Shalini Sharp</w:t>
            </w:r>
          </w:p>
        </w:tc>
        <w:tc>
          <w:tcPr>
            <w:tcW w:w="5120" w:type="dxa"/>
            <w:vAlign w:val="bottom"/>
            <w:gridSpan w:val="3"/>
          </w:tcPr>
          <w:p>
            <w:pPr>
              <w:jc w:val="center"/>
              <w:ind w:left="190"/>
              <w:spacing w:after="0"/>
              <w:rPr>
                <w:sz w:val="20"/>
                <w:szCs w:val="20"/>
                <w:color w:val="auto"/>
              </w:rPr>
            </w:pPr>
            <w:r>
              <w:rPr>
                <w:rFonts w:ascii="Arial" w:cs="Arial" w:eastAsia="Arial" w:hAnsi="Arial"/>
                <w:sz w:val="18"/>
                <w:szCs w:val="18"/>
                <w:color w:val="auto"/>
                <w:w w:val="94"/>
              </w:rPr>
              <w:t>(Principal Financial Officer)</w:t>
            </w: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37"/>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Theodore A. Huizenga</w:t>
            </w:r>
          </w:p>
        </w:tc>
        <w:tc>
          <w:tcPr>
            <w:tcW w:w="5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Corporate Controller</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2"/>
              </w:rPr>
              <w:t>Theodore A. Huizenga</w:t>
            </w:r>
          </w:p>
        </w:tc>
        <w:tc>
          <w:tcPr>
            <w:tcW w:w="51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(Principal Accounting Officer)</w:t>
            </w: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10"/>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88"/>
              </w:rPr>
              <w:t>/s/ Eran Nadav</w:t>
            </w:r>
          </w:p>
        </w:tc>
        <w:tc>
          <w:tcPr>
            <w:tcW w:w="5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Chairman of the Board</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89"/>
              </w:rPr>
              <w:t>Eran Nadav, Ph.D.</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10"/>
        </w:trPr>
        <w:tc>
          <w:tcPr>
            <w:tcW w:w="3240" w:type="dxa"/>
            <w:vAlign w:val="bottom"/>
            <w:gridSpan w:val="3"/>
          </w:tcPr>
          <w:p>
            <w:pPr>
              <w:jc w:val="center"/>
              <w:spacing w:after="0"/>
              <w:rPr>
                <w:sz w:val="20"/>
                <w:szCs w:val="20"/>
                <w:color w:val="auto"/>
              </w:rPr>
            </w:pPr>
            <w:r>
              <w:rPr>
                <w:rFonts w:ascii="Arial" w:cs="Arial" w:eastAsia="Arial" w:hAnsi="Arial"/>
                <w:sz w:val="18"/>
                <w:szCs w:val="18"/>
                <w:color w:val="auto"/>
              </w:rPr>
              <w:t>/s/ William Aliski</w:t>
            </w:r>
          </w:p>
        </w:tc>
        <w:tc>
          <w:tcPr>
            <w:tcW w:w="512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rPr>
              <w:t>William Aliski</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10"/>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2"/>
              </w:rPr>
              <w:t>/s/ Matthew K. Fust</w:t>
            </w:r>
          </w:p>
        </w:tc>
        <w:tc>
          <w:tcPr>
            <w:tcW w:w="512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3"/>
              </w:rPr>
              <w:t>Matthew K. Fust</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10"/>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89"/>
              </w:rPr>
              <w:t>/s/ Mårten Steen</w:t>
            </w:r>
          </w:p>
        </w:tc>
        <w:tc>
          <w:tcPr>
            <w:tcW w:w="512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1"/>
              </w:rPr>
              <w:t>Mårten Steen, M.D., Ph.D.</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10"/>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2"/>
              </w:rPr>
              <w:t>/s/ Clay B. Siegall</w:t>
            </w:r>
          </w:p>
        </w:tc>
        <w:tc>
          <w:tcPr>
            <w:tcW w:w="512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1060"/>
              <w:spacing w:after="0"/>
              <w:rPr>
                <w:sz w:val="20"/>
                <w:szCs w:val="20"/>
                <w:color w:val="auto"/>
              </w:rPr>
            </w:pPr>
            <w:r>
              <w:rPr>
                <w:rFonts w:ascii="Arial" w:cs="Arial" w:eastAsia="Arial" w:hAnsi="Arial"/>
                <w:sz w:val="18"/>
                <w:szCs w:val="18"/>
                <w:color w:val="auto"/>
                <w:w w:val="89"/>
              </w:rPr>
              <w:t>March 24, 2014</w:t>
            </w: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4"/>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1"/>
              </w:rPr>
              <w:t>Clay B. Siegall, Ph.D.</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9"/>
            <w:vMerge w:val="restart"/>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Report of Independent Registered Public Accounting Firm</w:t>
              </w:r>
            </w:hyperlink>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860" w:type="dxa"/>
            <w:vAlign w:val="bottom"/>
            <w:gridSpan w:val="9"/>
            <w:vMerge w:val="continue"/>
          </w:tcPr>
          <w:p>
            <w:pPr>
              <w:spacing w:after="0"/>
              <w:rPr>
                <w:sz w:val="14"/>
                <w:szCs w:val="14"/>
                <w:color w:val="auto"/>
              </w:rPr>
            </w:pPr>
          </w:p>
        </w:tc>
        <w:tc>
          <w:tcPr>
            <w:tcW w:w="560" w:type="dxa"/>
            <w:vAlign w:val="bottom"/>
          </w:tcPr>
          <w:p>
            <w:pPr>
              <w:jc w:val="center"/>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664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00" w:type="dxa"/>
            <w:vAlign w:val="bottom"/>
            <w:tcBorders>
              <w:bottom w:val="single" w:sz="8" w:color="0000EE"/>
            </w:tcBorders>
          </w:tcPr>
          <w:p>
            <w:pPr>
              <w:spacing w:after="0" w:line="190"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Balance Sheets</w:t>
              </w:r>
            </w:hyperlink>
          </w:p>
        </w:tc>
        <w:tc>
          <w:tcPr>
            <w:tcW w:w="9620" w:type="dxa"/>
            <w:vAlign w:val="bottom"/>
            <w:gridSpan w:val="7"/>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Statements of Operations</w:t>
              </w:r>
            </w:hyperlink>
          </w:p>
        </w:tc>
        <w:tc>
          <w:tcPr>
            <w:tcW w:w="8900" w:type="dxa"/>
            <w:vAlign w:val="bottom"/>
            <w:gridSpan w:val="6"/>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720" w:type="dxa"/>
            <w:vAlign w:val="bottom"/>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Statements Comprehensive Loss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72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Statements of Convertible Preferred Stock and Stockholders’ Deficit</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Statements of Cash Flows</w:t>
              </w:r>
            </w:hyperlink>
          </w:p>
        </w:tc>
        <w:tc>
          <w:tcPr>
            <w:tcW w:w="3060" w:type="dxa"/>
            <w:vAlign w:val="bottom"/>
            <w:tcBorders>
              <w:top w:val="single" w:sz="8" w:color="0000EE"/>
            </w:tcBorders>
            <w:gridSpan w:val="4"/>
          </w:tcPr>
          <w:p>
            <w:pPr>
              <w:spacing w:after="0"/>
              <w:rPr>
                <w:sz w:val="17"/>
                <w:szCs w:val="17"/>
                <w:color w:val="auto"/>
              </w:rPr>
            </w:pPr>
          </w:p>
        </w:tc>
        <w:tc>
          <w:tcPr>
            <w:tcW w:w="578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Notes to Financial Statements</w:t>
              </w:r>
            </w:hyperlink>
          </w:p>
        </w:tc>
        <w:tc>
          <w:tcPr>
            <w:tcW w:w="8560" w:type="dxa"/>
            <w:vAlign w:val="bottom"/>
            <w:gridSpan w:val="4"/>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364" w:right="239" w:bottom="1440" w:gutter="0" w:footer="0" w:header="0"/>
        </w:sectPr>
      </w:pPr>
    </w:p>
    <w:bookmarkStart w:id="83" w:name="page84"/>
    <w:bookmarkEnd w:id="8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7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audited the accompanying balance sheets of Ultragenyx Pharmaceutical Inc. (a development stage company) (the “Company”) as of December 31, 2012 and 2013, and the related statements of operations, comprehensive loss, convertible preferred stock and stockholders’ deficit, and cash flows for each of the three years in the period ended December 31, 2013, and for the period from April 22, 2010 (inception) through December 31, 2013. These financial statements are the responsibility of the Company’s management. Our responsibility is to express an opinion on these financial statements based on our audits.</w:t>
      </w:r>
    </w:p>
    <w:p>
      <w:pPr>
        <w:spacing w:after="0" w:line="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Company at December 31, 2012 and 2013, and the results of its operations and comprehensive loss and its cash flows for each of the three years in the period ended December 31, 2013, and for the period from April 22, 2010 (inception) through December 31, 2013, in conformity with U.S. generally accepted accounting principles.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6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86,190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86,445</w:t>
            </w: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1,362</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88,316</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1,913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rent—current portion</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 par value of $0.001 per share—35,377,556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shares authorized as of December 31, 2012 and 2013; 34,349,894 shares issued and outstanding as of</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2012 and 2013; redemption value of $138,155 as of December 31, 2013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37,458</w:t>
            </w: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tcPr>
          <w:p>
            <w:pPr>
              <w:spacing w:after="0" w:line="201" w:lineRule="exact"/>
              <w:rPr>
                <w:sz w:val="20"/>
                <w:szCs w:val="20"/>
                <w:color w:val="auto"/>
              </w:rPr>
            </w:pPr>
            <w:r>
              <w:rPr>
                <w:rFonts w:ascii="Arial" w:cs="Arial" w:eastAsia="Arial" w:hAnsi="Arial"/>
                <w:sz w:val="18"/>
                <w:szCs w:val="18"/>
                <w:color w:val="auto"/>
              </w:rPr>
              <w:t>Series B convertible preferred stock, par value of $0.001 per share—27,081,680 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w w:val="96"/>
              </w:rPr>
              <w:t>authorized, issued and outstanding as of December 31, 2012 and 2013; aggregate liquidation preference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$76,739 as of December 31, 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73,929</w:t>
            </w: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tcPr>
          <w:p>
            <w:pPr>
              <w:ind w:left="240"/>
              <w:spacing w:after="0" w:line="201" w:lineRule="exact"/>
              <w:rPr>
                <w:sz w:val="20"/>
                <w:szCs w:val="20"/>
                <w:color w:val="auto"/>
              </w:rPr>
            </w:pPr>
            <w:r>
              <w:rPr>
                <w:rFonts w:ascii="Arial" w:cs="Arial" w:eastAsia="Arial" w:hAnsi="Arial"/>
                <w:sz w:val="18"/>
                <w:szCs w:val="18"/>
                <w:color w:val="auto"/>
              </w:rPr>
              <w:t>Common stock, par value of $0.001 per share—85,000,000 shares authorized; 3,458,928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480"/>
              <w:spacing w:after="0"/>
              <w:rPr>
                <w:sz w:val="20"/>
                <w:szCs w:val="20"/>
                <w:color w:val="auto"/>
              </w:rPr>
            </w:pPr>
            <w:r>
              <w:rPr>
                <w:rFonts w:ascii="Arial" w:cs="Arial" w:eastAsia="Arial" w:hAnsi="Arial"/>
                <w:sz w:val="18"/>
                <w:szCs w:val="18"/>
                <w:color w:val="auto"/>
              </w:rPr>
              <w:t>and 3,766,289 shares issued and outstanding as of December 31, 2012 and 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(27,058)</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(27,047)</w:t>
            </w:r>
          </w:p>
        </w:tc>
        <w:tc>
          <w:tcPr>
            <w:tcW w:w="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(74,821)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88,316</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59,649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6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April 22,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(Inception)</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12,641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46,146</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1,844</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3,344</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4,451</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2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15,985</w:t>
            </w:r>
          </w:p>
        </w:tc>
        <w:tc>
          <w:tcPr>
            <w:tcW w:w="2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32,280</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56,077</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(3,006)</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(35,070)</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(59,560)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FF0FC"/>
            </w:tcBorders>
            <w:vMerge w:val="continue"/>
          </w:tcPr>
          <w:p>
            <w:pPr>
              <w:spacing w:after="0"/>
              <w:rPr>
                <w:sz w:val="20"/>
                <w:szCs w:val="20"/>
                <w:color w:val="auto"/>
              </w:rPr>
            </w:pPr>
          </w:p>
        </w:tc>
        <w:tc>
          <w:tcPr>
            <w:tcW w:w="100" w:type="dxa"/>
            <w:vAlign w:val="bottom"/>
            <w:tcBorders>
              <w:bottom w:val="single" w:sz="8" w:color="CFF0FC"/>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(7,466)</w:t>
            </w:r>
          </w:p>
        </w:tc>
        <w:tc>
          <w:tcPr>
            <w:tcW w:w="220" w:type="dxa"/>
            <w:vAlign w:val="bottom"/>
            <w:tcBorders>
              <w:bottom w:val="single" w:sz="8" w:color="CFF0F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(19,561)</w:t>
            </w:r>
          </w:p>
        </w:tc>
        <w:tc>
          <w:tcPr>
            <w:tcW w:w="22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(50,289)</w:t>
            </w:r>
          </w:p>
        </w:tc>
        <w:tc>
          <w:tcPr>
            <w:tcW w:w="220" w:type="dxa"/>
            <w:vAlign w:val="bottom"/>
            <w:tcBorders>
              <w:bottom w:val="single" w:sz="8" w:color="CFF0FC"/>
            </w:tcBorders>
            <w:vMerge w:val="continue"/>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(14.87)</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2"/>
              </w:rPr>
              <w:t>Shares used in computing net loss per share attributable to common stockholders, basic</w:t>
            </w: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1,617,384</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1,377,207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3,382,489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36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April 22,</w:t>
            </w:r>
          </w:p>
        </w:tc>
      </w:t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6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(Inception)</w:t>
            </w:r>
          </w:p>
        </w:tc>
      </w:t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Through</w:t>
            </w:r>
          </w:p>
        </w:tc>
      </w:tr>
      <w:tr>
        <w:trPr>
          <w:trHeight w:val="234"/>
        </w:trPr>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6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(59,560)</w:t>
            </w:r>
          </w:p>
        </w:tc>
        <w:tc>
          <w:tcPr>
            <w:tcW w:w="6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gain on available-for-sale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0"/>
        </w:trPr>
        <w:tc>
          <w:tcPr>
            <w:tcW w:w="6620" w:type="dxa"/>
            <w:vAlign w:val="bottom"/>
          </w:tcPr>
          <w:p>
            <w:pPr>
              <w:ind w:left="50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(35,059)</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(59,549)</w:t>
            </w:r>
          </w:p>
        </w:tc>
        <w:tc>
          <w:tcPr>
            <w:tcW w:w="6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4"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3"/>
                <w:szCs w:val="13"/>
                <w:b w:val="1"/>
                <w:bCs w:val="1"/>
                <w:color w:val="auto"/>
              </w:rPr>
              <w:t>Convertible Preferred Stock</w:t>
            </w: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Stockholders' Deficit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5"/>
          </w:tcPr>
          <w:p>
            <w:pPr>
              <w:jc w:val="center"/>
              <w:ind w:right="60"/>
              <w:spacing w:after="0" w:line="110" w:lineRule="exact"/>
              <w:rPr>
                <w:sz w:val="20"/>
                <w:szCs w:val="20"/>
                <w:color w:val="auto"/>
              </w:rPr>
            </w:pPr>
            <w:r>
              <w:rPr>
                <w:rFonts w:ascii="Arial" w:cs="Arial" w:eastAsia="Arial" w:hAnsi="Arial"/>
                <w:sz w:val="12"/>
                <w:szCs w:val="12"/>
                <w:b w:val="1"/>
                <w:bCs w:val="1"/>
                <w:color w:val="auto"/>
                <w:w w:val="93"/>
              </w:rPr>
              <w:t>Series A Redeemable</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8"/>
              </w:rPr>
              <w:t>Deficit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1540" w:type="dxa"/>
            <w:vAlign w:val="bottom"/>
            <w:tcBorders>
              <w:right w:val="single" w:sz="8" w:color="auto"/>
            </w:tcBorders>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Series B Convertible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left="497"/>
              <w:spacing w:after="0" w:line="135"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Preferred Stock</w:t>
            </w:r>
          </w:p>
        </w:tc>
        <w:tc>
          <w:tcPr>
            <w:tcW w:w="40" w:type="dxa"/>
            <w:vAlign w:val="bottom"/>
          </w:tcPr>
          <w:p>
            <w:pPr>
              <w:spacing w:after="0"/>
              <w:rPr>
                <w:sz w:val="12"/>
                <w:szCs w:val="12"/>
                <w:color w:val="auto"/>
              </w:rPr>
            </w:pPr>
          </w:p>
        </w:tc>
        <w:tc>
          <w:tcPr>
            <w:tcW w:w="1140" w:type="dxa"/>
            <w:vAlign w:val="bottom"/>
            <w:gridSpan w:val="3"/>
          </w:tcPr>
          <w:p>
            <w:pPr>
              <w:jc w:val="right"/>
              <w:ind w:right="17"/>
              <w:spacing w:after="0" w:line="135"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During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3"/>
        </w:trPr>
        <w:tc>
          <w:tcPr>
            <w:tcW w:w="3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240"/>
              <w:spacing w:after="0" w:line="104"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8"/>
                <w:szCs w:val="8"/>
                <w:color w:val="auto"/>
              </w:rPr>
            </w:pPr>
          </w:p>
        </w:tc>
        <w:tc>
          <w:tcPr>
            <w:tcW w:w="920" w:type="dxa"/>
            <w:vAlign w:val="bottom"/>
            <w:gridSpan w:val="2"/>
          </w:tcPr>
          <w:p>
            <w:pPr>
              <w:jc w:val="center"/>
              <w:ind w:right="180"/>
              <w:spacing w:after="0" w:line="104" w:lineRule="exact"/>
              <w:rPr>
                <w:sz w:val="20"/>
                <w:szCs w:val="20"/>
                <w:color w:val="auto"/>
              </w:rPr>
            </w:pPr>
            <w:r>
              <w:rPr>
                <w:rFonts w:ascii="Arial" w:cs="Arial" w:eastAsia="Arial" w:hAnsi="Arial"/>
                <w:sz w:val="11"/>
                <w:szCs w:val="11"/>
                <w:b w:val="1"/>
                <w:bCs w:val="1"/>
                <w:color w:val="auto"/>
              </w:rPr>
              <w:t>Development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160"/>
              <w:spacing w:after="0" w:line="104" w:lineRule="exact"/>
              <w:rPr>
                <w:sz w:val="20"/>
                <w:szCs w:val="20"/>
                <w:color w:val="auto"/>
              </w:rPr>
            </w:pPr>
            <w:r>
              <w:rPr>
                <w:rFonts w:ascii="Arial" w:cs="Arial" w:eastAsia="Arial" w:hAnsi="Arial"/>
                <w:sz w:val="11"/>
                <w:szCs w:val="11"/>
                <w:b w:val="1"/>
                <w:bCs w:val="1"/>
                <w:color w:val="auto"/>
              </w:rPr>
              <w:t>Comprehensive</w:t>
            </w:r>
          </w:p>
        </w:tc>
        <w:tc>
          <w:tcPr>
            <w:tcW w:w="860" w:type="dxa"/>
            <w:vAlign w:val="bottom"/>
            <w:gridSpan w:val="4"/>
          </w:tcPr>
          <w:p>
            <w:pPr>
              <w:ind w:left="80"/>
              <w:spacing w:after="0" w:line="104"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Stage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3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April 22, 2010 (Inception)</w:t>
            </w: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257"/>
              <w:spacing w:after="0" w:line="129"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Issuance of common stock for cash</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2,628,808</w:t>
            </w:r>
          </w:p>
        </w:tc>
        <w:tc>
          <w:tcPr>
            <w:tcW w:w="40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Net loss</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(1,306)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(1,306)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3"/>
                <w:szCs w:val="13"/>
                <w:color w:val="auto"/>
              </w:rPr>
              <w:t>Balance as of December 31, 2010</w:t>
            </w:r>
          </w:p>
        </w:tc>
        <w:tc>
          <w:tcPr>
            <w:tcW w:w="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2,628,808</w:t>
            </w:r>
          </w:p>
        </w:tc>
        <w:tc>
          <w:tcPr>
            <w:tcW w:w="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(1,306)</w:t>
            </w:r>
          </w:p>
        </w:tc>
        <w:tc>
          <w:tcPr>
            <w:tcW w:w="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ind w:left="920"/>
              <w:spacing w:after="0"/>
              <w:rPr>
                <w:sz w:val="20"/>
                <w:szCs w:val="20"/>
                <w:color w:val="auto"/>
              </w:rPr>
            </w:pPr>
            <w:r>
              <w:rPr>
                <w:rFonts w:ascii="Arial" w:cs="Arial" w:eastAsia="Arial" w:hAnsi="Arial"/>
                <w:sz w:val="8"/>
                <w:szCs w:val="8"/>
                <w:color w:val="auto"/>
                <w:w w:val="73"/>
              </w:rPr>
              <w:t>-</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(1,305)</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Issuance of common stock for cash</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409,812</w:t>
            </w:r>
          </w:p>
        </w:tc>
        <w:tc>
          <w:tcPr>
            <w:tcW w:w="4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080" w:type="dxa"/>
            <w:vAlign w:val="bottom"/>
          </w:tcPr>
          <w:p>
            <w:pPr>
              <w:ind w:left="260"/>
              <w:spacing w:after="0" w:line="121" w:lineRule="exact"/>
              <w:rPr>
                <w:sz w:val="20"/>
                <w:szCs w:val="20"/>
                <w:color w:val="auto"/>
              </w:rPr>
            </w:pPr>
            <w:r>
              <w:rPr>
                <w:rFonts w:ascii="Arial" w:cs="Arial" w:eastAsia="Arial" w:hAnsi="Arial"/>
                <w:sz w:val="13"/>
                <w:szCs w:val="13"/>
                <w:color w:val="auto"/>
                <w:w w:val="89"/>
              </w:rPr>
              <w:t>Issuance of Series A redeemable convertible preferred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500"/>
              <w:spacing w:after="0" w:line="135" w:lineRule="exact"/>
              <w:rPr>
                <w:sz w:val="20"/>
                <w:szCs w:val="20"/>
                <w:color w:val="auto"/>
              </w:rPr>
            </w:pPr>
            <w:r>
              <w:rPr>
                <w:rFonts w:ascii="Arial" w:cs="Arial" w:eastAsia="Arial" w:hAnsi="Arial"/>
                <w:sz w:val="13"/>
                <w:szCs w:val="13"/>
                <w:color w:val="auto"/>
                <w:w w:val="90"/>
              </w:rPr>
              <w:t>stock for cash at $1.034 per share, net of $121 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500"/>
              <w:spacing w:after="0"/>
              <w:rPr>
                <w:sz w:val="20"/>
                <w:szCs w:val="20"/>
                <w:color w:val="auto"/>
              </w:rPr>
            </w:pPr>
            <w:r>
              <w:rPr>
                <w:rFonts w:ascii="Arial" w:cs="Arial" w:eastAsia="Arial" w:hAnsi="Arial"/>
                <w:sz w:val="13"/>
                <w:szCs w:val="13"/>
                <w:color w:val="auto"/>
              </w:rPr>
              <w:t>issuance cost in June 2011</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14,508,173</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14,879</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w w:val="89"/>
              </w:rPr>
              <w:t>Issuance of Series A redeemable convertible preferred</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500"/>
              <w:spacing w:after="0" w:line="135" w:lineRule="exact"/>
              <w:rPr>
                <w:sz w:val="20"/>
                <w:szCs w:val="20"/>
                <w:color w:val="auto"/>
              </w:rPr>
            </w:pPr>
            <w:r>
              <w:rPr>
                <w:rFonts w:ascii="Arial" w:cs="Arial" w:eastAsia="Arial" w:hAnsi="Arial"/>
                <w:sz w:val="13"/>
                <w:szCs w:val="13"/>
                <w:color w:val="auto"/>
                <w:w w:val="94"/>
              </w:rPr>
              <w:t>stock in exchange for conversion of promissory</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500"/>
              <w:spacing w:after="0" w:line="135" w:lineRule="exact"/>
              <w:rPr>
                <w:sz w:val="20"/>
                <w:szCs w:val="20"/>
                <w:color w:val="auto"/>
              </w:rPr>
            </w:pPr>
            <w:r>
              <w:rPr>
                <w:rFonts w:ascii="Arial" w:cs="Arial" w:eastAsia="Arial" w:hAnsi="Arial"/>
                <w:sz w:val="13"/>
                <w:szCs w:val="13"/>
                <w:color w:val="auto"/>
                <w:w w:val="90"/>
              </w:rPr>
              <w:t>notes and accrued interest at $1.034 per share in</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June 2011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3,544,291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3,664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080" w:type="dxa"/>
            <w:vAlign w:val="bottom"/>
          </w:tcPr>
          <w:p>
            <w:pPr>
              <w:ind w:left="260"/>
              <w:spacing w:after="0" w:line="121" w:lineRule="exact"/>
              <w:rPr>
                <w:sz w:val="20"/>
                <w:szCs w:val="20"/>
                <w:color w:val="auto"/>
              </w:rPr>
            </w:pPr>
            <w:r>
              <w:rPr>
                <w:rFonts w:ascii="Arial" w:cs="Arial" w:eastAsia="Arial" w:hAnsi="Arial"/>
                <w:sz w:val="13"/>
                <w:szCs w:val="13"/>
                <w:color w:val="auto"/>
                <w:w w:val="85"/>
              </w:rPr>
              <w:t>Stock-based compensation expense related to employee</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500"/>
              <w:spacing w:after="0"/>
              <w:rPr>
                <w:sz w:val="20"/>
                <w:szCs w:val="20"/>
                <w:color w:val="auto"/>
              </w:rPr>
            </w:pPr>
            <w:r>
              <w:rPr>
                <w:rFonts w:ascii="Arial" w:cs="Arial" w:eastAsia="Arial" w:hAnsi="Arial"/>
                <w:sz w:val="13"/>
                <w:szCs w:val="13"/>
                <w:color w:val="auto"/>
              </w:rPr>
              <w:t>stock option grants</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w w:val="86"/>
              </w:rPr>
              <w:t>Stock-based compensation expense related to founder’s</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Accretion on convertible preferred stock</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61</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(6,849)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(6,849)</w:t>
            </w:r>
          </w:p>
        </w:tc>
        <w:tc>
          <w:tcPr>
            <w:tcW w:w="0" w:type="dxa"/>
            <w:vAlign w:val="bottom"/>
          </w:tcPr>
          <w:p>
            <w:pPr>
              <w:spacing w:after="0"/>
              <w:rPr>
                <w:sz w:val="1"/>
                <w:szCs w:val="1"/>
                <w:color w:val="auto"/>
              </w:rPr>
            </w:pPr>
          </w:p>
        </w:tc>
      </w:tr>
      <w:tr>
        <w:trPr>
          <w:trHeight w:val="129"/>
        </w:trPr>
        <w:tc>
          <w:tcPr>
            <w:tcW w:w="3080" w:type="dxa"/>
            <w:vAlign w:val="bottom"/>
          </w:tcPr>
          <w:p>
            <w:pPr>
              <w:spacing w:after="0" w:line="129" w:lineRule="exact"/>
              <w:rPr>
                <w:sz w:val="20"/>
                <w:szCs w:val="20"/>
                <w:color w:val="auto"/>
              </w:rPr>
            </w:pPr>
            <w:r>
              <w:rPr>
                <w:rFonts w:ascii="Arial" w:cs="Arial" w:eastAsia="Arial" w:hAnsi="Arial"/>
                <w:sz w:val="13"/>
                <w:szCs w:val="13"/>
                <w:color w:val="auto"/>
              </w:rPr>
              <w:t>Balance as of December 31, 2011</w:t>
            </w:r>
          </w:p>
        </w:tc>
        <w:tc>
          <w:tcPr>
            <w:tcW w:w="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18,052,464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18,604</w:t>
            </w:r>
          </w:p>
        </w:tc>
        <w:tc>
          <w:tcPr>
            <w:tcW w:w="8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3,038,620</w:t>
            </w: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191</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(8,155)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92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(7,961)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w w:val="97"/>
              </w:rPr>
              <w:t>Issuance of common stock upon exercise of stock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options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420,308</w:t>
            </w: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21"/>
        </w:trPr>
        <w:tc>
          <w:tcPr>
            <w:tcW w:w="3080" w:type="dxa"/>
            <w:vAlign w:val="bottom"/>
          </w:tcPr>
          <w:p>
            <w:pPr>
              <w:ind w:left="260"/>
              <w:spacing w:after="0" w:line="121" w:lineRule="exact"/>
              <w:rPr>
                <w:sz w:val="20"/>
                <w:szCs w:val="20"/>
                <w:color w:val="auto"/>
              </w:rPr>
            </w:pPr>
            <w:r>
              <w:rPr>
                <w:rFonts w:ascii="Arial" w:cs="Arial" w:eastAsia="Arial" w:hAnsi="Arial"/>
                <w:sz w:val="13"/>
                <w:szCs w:val="13"/>
                <w:color w:val="auto"/>
                <w:w w:val="89"/>
              </w:rPr>
              <w:t>Issuance of Series A redeemable convertible preferred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500"/>
              <w:spacing w:after="0" w:line="135" w:lineRule="exact"/>
              <w:rPr>
                <w:sz w:val="20"/>
                <w:szCs w:val="20"/>
                <w:color w:val="auto"/>
              </w:rPr>
            </w:pPr>
            <w:r>
              <w:rPr>
                <w:rFonts w:ascii="Arial" w:cs="Arial" w:eastAsia="Arial" w:hAnsi="Arial"/>
                <w:sz w:val="13"/>
                <w:szCs w:val="13"/>
                <w:color w:val="auto"/>
                <w:w w:val="92"/>
              </w:rPr>
              <w:t>stock for cash at $1.034 per share, net of $20 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500"/>
              <w:spacing w:after="0"/>
              <w:rPr>
                <w:sz w:val="20"/>
                <w:szCs w:val="20"/>
                <w:color w:val="auto"/>
              </w:rPr>
            </w:pPr>
            <w:r>
              <w:rPr>
                <w:rFonts w:ascii="Arial" w:cs="Arial" w:eastAsia="Arial" w:hAnsi="Arial"/>
                <w:sz w:val="13"/>
                <w:szCs w:val="13"/>
                <w:color w:val="auto"/>
              </w:rPr>
              <w:t>issuance cost in June 2012</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14,604,895</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15,080</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w w:val="89"/>
              </w:rPr>
              <w:t>Issuance of Series A redeemable convertible preferred</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stock in lieu of cash dividend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1,692,535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(1,205)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(2,070)</w:t>
            </w:r>
          </w:p>
        </w:tc>
        <w:tc>
          <w:tcPr>
            <w:tcW w:w="0" w:type="dxa"/>
            <w:vAlign w:val="bottom"/>
          </w:tcPr>
          <w:p>
            <w:pPr>
              <w:spacing w:after="0"/>
              <w:rPr>
                <w:sz w:val="1"/>
                <w:szCs w:val="1"/>
                <w:color w:val="auto"/>
              </w:rPr>
            </w:pPr>
          </w:p>
        </w:tc>
      </w:tr>
      <w:tr>
        <w:trPr>
          <w:trHeight w:val="121"/>
        </w:trPr>
        <w:tc>
          <w:tcPr>
            <w:tcW w:w="3080" w:type="dxa"/>
            <w:vAlign w:val="bottom"/>
          </w:tcPr>
          <w:p>
            <w:pPr>
              <w:ind w:left="260"/>
              <w:spacing w:after="0" w:line="121" w:lineRule="exact"/>
              <w:rPr>
                <w:sz w:val="20"/>
                <w:szCs w:val="20"/>
                <w:color w:val="auto"/>
              </w:rPr>
            </w:pPr>
            <w:r>
              <w:rPr>
                <w:rFonts w:ascii="Arial" w:cs="Arial" w:eastAsia="Arial" w:hAnsi="Arial"/>
                <w:sz w:val="13"/>
                <w:szCs w:val="13"/>
                <w:color w:val="auto"/>
                <w:w w:val="94"/>
              </w:rPr>
              <w:t>Issuance of Series B convertible preferred stock for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500"/>
              <w:spacing w:after="0" w:line="135" w:lineRule="exact"/>
              <w:rPr>
                <w:sz w:val="20"/>
                <w:szCs w:val="20"/>
                <w:color w:val="auto"/>
              </w:rPr>
            </w:pPr>
            <w:r>
              <w:rPr>
                <w:rFonts w:ascii="Arial" w:cs="Arial" w:eastAsia="Arial" w:hAnsi="Arial"/>
                <w:sz w:val="13"/>
                <w:szCs w:val="13"/>
                <w:color w:val="auto"/>
                <w:w w:val="88"/>
              </w:rPr>
              <w:t>cash at $2.77 per share, net of $1,071 of issuance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500"/>
              <w:spacing w:after="0"/>
              <w:rPr>
                <w:sz w:val="20"/>
                <w:szCs w:val="20"/>
                <w:color w:val="auto"/>
              </w:rPr>
            </w:pPr>
            <w:r>
              <w:rPr>
                <w:rFonts w:ascii="Arial" w:cs="Arial" w:eastAsia="Arial" w:hAnsi="Arial"/>
                <w:sz w:val="13"/>
                <w:szCs w:val="13"/>
                <w:color w:val="auto"/>
              </w:rPr>
              <w:t>cost in December 2012</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27,081,680</w:t>
            </w:r>
          </w:p>
        </w:tc>
        <w:tc>
          <w:tcPr>
            <w:tcW w:w="14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73,929</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w w:val="85"/>
              </w:rPr>
              <w:t>Stock-based compensation expense related to employee</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stock option grants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21"/>
        </w:trPr>
        <w:tc>
          <w:tcPr>
            <w:tcW w:w="3080" w:type="dxa"/>
            <w:vAlign w:val="bottom"/>
          </w:tcPr>
          <w:p>
            <w:pPr>
              <w:ind w:left="260"/>
              <w:spacing w:after="0" w:line="121" w:lineRule="exact"/>
              <w:rPr>
                <w:sz w:val="20"/>
                <w:szCs w:val="20"/>
                <w:color w:val="auto"/>
              </w:rPr>
            </w:pPr>
            <w:r>
              <w:rPr>
                <w:rFonts w:ascii="Arial" w:cs="Arial" w:eastAsia="Arial" w:hAnsi="Arial"/>
                <w:sz w:val="13"/>
                <w:szCs w:val="13"/>
                <w:color w:val="auto"/>
                <w:w w:val="86"/>
              </w:rPr>
              <w:t>Stock-based compensation expense related to founder’s</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60"/>
              <w:spacing w:after="0"/>
              <w:rPr>
                <w:sz w:val="20"/>
                <w:szCs w:val="20"/>
                <w:color w:val="auto"/>
              </w:rPr>
            </w:pPr>
            <w:r>
              <w:rPr>
                <w:rFonts w:ascii="Arial" w:cs="Arial" w:eastAsia="Arial" w:hAnsi="Arial"/>
                <w:sz w:val="13"/>
                <w:szCs w:val="13"/>
                <w:color w:val="auto"/>
              </w:rPr>
              <w:t>stock</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713</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Accretion on convertible preferred stock</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1,704</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(1,704)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(1,704)</w:t>
            </w:r>
          </w:p>
        </w:tc>
        <w:tc>
          <w:tcPr>
            <w:tcW w:w="0" w:type="dxa"/>
            <w:vAlign w:val="bottom"/>
          </w:tcPr>
          <w:p>
            <w:pPr>
              <w:spacing w:after="0"/>
              <w:rPr>
                <w:sz w:val="1"/>
                <w:szCs w:val="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(16,334)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(16,334)</w:t>
            </w:r>
          </w:p>
        </w:tc>
        <w:tc>
          <w:tcPr>
            <w:tcW w:w="0" w:type="dxa"/>
            <w:vAlign w:val="bottom"/>
          </w:tcPr>
          <w:p>
            <w:pPr>
              <w:spacing w:after="0"/>
              <w:rPr>
                <w:sz w:val="1"/>
                <w:szCs w:val="1"/>
                <w:color w:val="auto"/>
              </w:rPr>
            </w:pPr>
          </w:p>
        </w:tc>
      </w:tr>
      <w:tr>
        <w:trPr>
          <w:trHeight w:val="129"/>
        </w:trPr>
        <w:tc>
          <w:tcPr>
            <w:tcW w:w="3080" w:type="dxa"/>
            <w:vAlign w:val="bottom"/>
          </w:tcPr>
          <w:p>
            <w:pPr>
              <w:spacing w:after="0" w:line="129" w:lineRule="exact"/>
              <w:rPr>
                <w:sz w:val="20"/>
                <w:szCs w:val="20"/>
                <w:color w:val="auto"/>
              </w:rPr>
            </w:pPr>
            <w:r>
              <w:rPr>
                <w:rFonts w:ascii="Arial" w:cs="Arial" w:eastAsia="Arial" w:hAnsi="Arial"/>
                <w:sz w:val="13"/>
                <w:szCs w:val="13"/>
                <w:color w:val="auto"/>
              </w:rPr>
              <w:t>Balance as of December 31, 2012</w:t>
            </w:r>
          </w:p>
        </w:tc>
        <w:tc>
          <w:tcPr>
            <w:tcW w:w="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34,349,894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37,458</w:t>
            </w:r>
          </w:p>
        </w:tc>
        <w:tc>
          <w:tcPr>
            <w:tcW w:w="8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27,081,680</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73,929</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3,458,928</w:t>
            </w: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(27,058)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92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(27,047)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w w:val="97"/>
              </w:rPr>
              <w:t>Issuance of common stock upon exercise of stock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options</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307,361</w:t>
            </w:r>
          </w:p>
        </w:tc>
        <w:tc>
          <w:tcPr>
            <w:tcW w:w="4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w w:val="85"/>
              </w:rPr>
              <w:t>Stock-based compensation expense related to employee</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stock option grants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21"/>
        </w:trPr>
        <w:tc>
          <w:tcPr>
            <w:tcW w:w="3080" w:type="dxa"/>
            <w:vAlign w:val="bottom"/>
          </w:tcPr>
          <w:p>
            <w:pPr>
              <w:ind w:left="260"/>
              <w:spacing w:after="0" w:line="121" w:lineRule="exact"/>
              <w:rPr>
                <w:sz w:val="20"/>
                <w:szCs w:val="20"/>
                <w:color w:val="auto"/>
              </w:rPr>
            </w:pPr>
            <w:r>
              <w:rPr>
                <w:rFonts w:ascii="Arial" w:cs="Arial" w:eastAsia="Arial" w:hAnsi="Arial"/>
                <w:sz w:val="13"/>
                <w:szCs w:val="13"/>
                <w:color w:val="auto"/>
                <w:w w:val="86"/>
              </w:rPr>
              <w:t>Stock-based compensation expense related to founder’s</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60"/>
              <w:spacing w:after="0"/>
              <w:rPr>
                <w:sz w:val="20"/>
                <w:szCs w:val="20"/>
                <w:color w:val="auto"/>
              </w:rPr>
            </w:pPr>
            <w:r>
              <w:rPr>
                <w:rFonts w:ascii="Arial" w:cs="Arial" w:eastAsia="Arial" w:hAnsi="Arial"/>
                <w:sz w:val="13"/>
                <w:szCs w:val="13"/>
                <w:color w:val="auto"/>
              </w:rPr>
              <w:t>stock</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268</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Accretion on convertible preferred stock</w:t>
            </w: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13,543</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(835)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(12,708)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9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(13,543)</w:t>
            </w:r>
          </w:p>
        </w:tc>
        <w:tc>
          <w:tcPr>
            <w:tcW w:w="0" w:type="dxa"/>
            <w:vAlign w:val="bottom"/>
          </w:tcPr>
          <w:p>
            <w:pPr>
              <w:spacing w:after="0"/>
              <w:rPr>
                <w:sz w:val="1"/>
                <w:szCs w:val="1"/>
                <w:color w:val="auto"/>
              </w:rPr>
            </w:pPr>
          </w:p>
        </w:tc>
      </w:tr>
      <w:tr>
        <w:trPr>
          <w:trHeight w:val="121"/>
        </w:trPr>
        <w:tc>
          <w:tcPr>
            <w:tcW w:w="3080" w:type="dxa"/>
            <w:vAlign w:val="bottom"/>
          </w:tcPr>
          <w:p>
            <w:pPr>
              <w:ind w:left="260"/>
              <w:spacing w:after="0" w:line="121" w:lineRule="exact"/>
              <w:rPr>
                <w:sz w:val="20"/>
                <w:szCs w:val="20"/>
                <w:color w:val="auto"/>
              </w:rPr>
            </w:pPr>
            <w:r>
              <w:rPr>
                <w:rFonts w:ascii="Arial" w:cs="Arial" w:eastAsia="Arial" w:hAnsi="Arial"/>
                <w:sz w:val="13"/>
                <w:szCs w:val="13"/>
                <w:color w:val="auto"/>
              </w:rPr>
              <w:t>Unrealized gain on available-for-sale securities</w:t>
            </w:r>
          </w:p>
        </w:tc>
        <w:tc>
          <w:tcPr>
            <w:tcW w:w="9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60" w:type="dxa"/>
            <w:vAlign w:val="bottom"/>
            <w:tcBorders>
              <w:right w:val="single" w:sz="8" w:color="auto"/>
            </w:tcBorders>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7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2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ind w:left="840"/>
              <w:spacing w:after="0" w:line="121"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9"/>
        </w:trPr>
        <w:tc>
          <w:tcPr>
            <w:tcW w:w="30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(35,070)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(35,070)</w:t>
            </w:r>
          </w:p>
        </w:tc>
        <w:tc>
          <w:tcPr>
            <w:tcW w:w="0" w:type="dxa"/>
            <w:vAlign w:val="bottom"/>
          </w:tcPr>
          <w:p>
            <w:pPr>
              <w:spacing w:after="0"/>
              <w:rPr>
                <w:sz w:val="1"/>
                <w:szCs w:val="1"/>
                <w:color w:val="auto"/>
              </w:rPr>
            </w:pPr>
          </w:p>
        </w:tc>
      </w:tr>
      <w:tr>
        <w:trPr>
          <w:trHeight w:val="129"/>
        </w:trPr>
        <w:tc>
          <w:tcPr>
            <w:tcW w:w="30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34,349,894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51,001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27,081,680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73,929</w:t>
            </w:r>
          </w:p>
        </w:tc>
        <w:tc>
          <w:tcPr>
            <w:tcW w:w="140" w:type="dxa"/>
            <w:vAlign w:val="bottom"/>
            <w:tcBorders>
              <w:top w:val="single" w:sz="8" w:color="CCEEFF"/>
              <w:bottom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3,766,289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ind w:right="257"/>
              <w:spacing w:after="0" w:line="129"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(74,836)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ind w:left="840"/>
              <w:spacing w:after="0" w:line="129" w:lineRule="exact"/>
              <w:rPr>
                <w:sz w:val="20"/>
                <w:szCs w:val="20"/>
                <w:color w:val="auto"/>
              </w:rPr>
            </w:pPr>
            <w:r>
              <w:rPr>
                <w:rFonts w:ascii="Arial" w:cs="Arial" w:eastAsia="Arial" w:hAnsi="Arial"/>
                <w:sz w:val="12"/>
                <w:szCs w:val="12"/>
                <w:color w:val="auto"/>
                <w:w w:val="74"/>
              </w:rPr>
              <w:t>11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(74,821)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6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8"/>
              </w:rPr>
              <w:t>April 22,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(16,334)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(35,070)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Amortization of premium on investment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Revaluation of convertible preferred stock warrant liability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858</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deferred rent and other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Proceeds from maturities of 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16,601</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 (increase) in restricted cash</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Net proceeds from issuance of convertible preferred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14,879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89,009</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proceeds from issuance of common stock</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Proceeds from issuance of promissory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2,450</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86,190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86,190</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Supplemental disclosures of non-cash investing and financing information: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Issuance of convertible preferred stock warrants</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Issuance of Series A redeemable convertible preferred stock in lieu</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of cash dividend</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Conversion of promissory notes into Series A redeemable</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convertible preferred stock</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Conversion of interest accrued on promissory notes into Series A</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redeemable convertible preferred stock</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64"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Ultragenyx Pharmaceutical Inc. (the Company) is a development stage biotechnology company and was incorporated in California on April 22,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subsequently reincorporated in the state of Delaware in June 2011.</w:t>
      </w:r>
    </w:p>
    <w:p>
      <w:pPr>
        <w:spacing w:after="0" w:line="62"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 xml:space="preserve">The Company is focused on the identification, acquisition, development, and commercialization of novel products for the treatment of rare and ultra-rare diseases, with an initial focus on serious, debilitating metabolic genetic diseases. The Company is currently conducting a Phase 2 clinical trial of sialic acid, extended release (SA-ER) in patients with hereditary inclusion body myopathy (HIBM), a progressive muscle-wasting disorder. The Company is currently conducting a Phase 1/2 study of recombinant human beta-glucuronidase (rhGUS) in patients with mucopolysaccharidosis 7, or MPS 7, a rare lysosomal storage disease. The Company is conducting a Phase 2 clinical study for triheptanoin for the treatment of patients with glucose transporter type-1 deficiency syndrome (Glut1 DS). The Company is also conducting a Phase 2 clinical trial of triheptanoin, in patients severely affected by long-chain fatty acid oxidation disorders (LC-FAOD), a genetic disorder in which the body is unable to convert long chain fatty acids into energy. The Company is in the development stage as of December 31, 2013, as defined by Financial Accounting Standards Board (FASB) Accounting Standards Codification (ASC) 915,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and since inception has been engaged in developing its product candidates, raising capital and recruiting personnel.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operates in one reportable segment in the United States of America.</w:t>
      </w:r>
    </w:p>
    <w:p>
      <w:pPr>
        <w:spacing w:after="0" w:line="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course of its development activities, the Company has sustained operating losses and expects such losses to continue over the next several years. The Company’s ultimate success depends on the outcome of its research and development activities. From April 22, 2010 (Inception) through December 31, 2013, the Company has incurred cumulative net losses of $59.6 million. Management expects to incur additional losses in the future to conduct product research and development and recognizes the need to raise additional capital to fully implement its business plan. Through December 31, 2013, the Company has relied primarily on the proceeds from equity offerings to finance its operations. Management believes that the Company’s current cash and investments, including the net proceeds of approximately $121.7 million from the closing of its initial public offering (IPO) in February 2014, as detailed in Note 15 “Subsequent Events,” will provide sufficient funds to enable the Company to meet its obligations through at least December 31, 2014. The Company intends to raise additional capital through the issuance of equity, borrowings, or strategic alliances with partner companies. However, if such financing is not available at adequate levels, the Company will need to reevaluate its operating plans.</w:t>
      </w:r>
    </w:p>
    <w:p>
      <w:pPr>
        <w:spacing w:after="0" w:line="232" w:lineRule="exact"/>
        <w:rPr>
          <w:sz w:val="20"/>
          <w:szCs w:val="20"/>
          <w:color w:val="auto"/>
        </w:rPr>
      </w:pPr>
    </w:p>
    <w:p>
      <w:pPr>
        <w:ind w:right="7580" w:firstLine="8"/>
        <w:spacing w:after="0" w:line="338" w:lineRule="auto"/>
        <w:tabs>
          <w:tab w:leader="none" w:pos="45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(“GAAP”). The preparation of the financial statements in conformity with GAAP requires management to make estimates and assumptions that affect the reported amounts of assets and liabilities, disclosure of contingent liabilities and the reported amounts of expenses in the financial statements and the accompanying notes. On an ongoing basis, management evaluates its estimates, including those related to clinical trial accruals, fair value of assets and liabilities, convertible preferred stock and related warrants,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primarily of amounts invested in money market accounts.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8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All investments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Unrealized gains and losses are excluded from earnings and were reported as a component of comprehensive loss. Realized gains and losses and declines in fair value judged to be other than temporary, if any, on available-for-sale securities are included in interest income and other expense, net, respectively. The cost of securities sold is based on the specific-identification method. Interest on marketable securities is included in interest income. At December 31, 2013, the remaining contractual maturities of available-for-sale securities were less than two years. There have been no significant realized gains or losses on available-for-sale securities for the periods presented.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64" w:right="23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94"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financial statements on a recurring basis (at least annually).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8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short-term investments. The Company’s cash, cash equivalents, and short-term investments are held by financial institutions that management believes are of high credit quality. The Company’s investment policy limits investments to fixed income securities denominated and payable in U.S. dollars such as U.S. government obligations, money market instruments and funds, corporate bonds, and asset-backed securities and places restrictions on maturities and concentrations by type and issuer. Such deposits may, at times, exceed federally insured limits. The Company has not experienced any losses on its deposits of cash and cash equivalents and its accounts are monitored by management to mitigate risk. The Company is exposed to credit risk in the event of default by the financial institutions holding its cash and cash equivalents and corporate bond issuers to the extent recorded in the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1"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Depreciation begins at the time the asset is placed in service. Maintenance and repairs are charged to operations as incurred. Upon sale or retirement of assets, the cost and related accumulated depreciation are removed from the balance sheet and the resulting gain or loss, if any, is reflected in operations.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useful lives of the property and equipment are as follows:</w:t>
      </w:r>
    </w:p>
    <w:p>
      <w:pPr>
        <w:sectPr>
          <w:pgSz w:w="11900" w:h="16838" w:orient="portrait"/>
          <w:cols w:equalWidth="0" w:num="1">
            <w:col w:w="11380"/>
          </w:cols>
          <w:pgMar w:left="240" w:top="121" w:right="279" w:bottom="1440" w:gutter="0" w:footer="0" w:header="0"/>
        </w:sectPr>
      </w:pP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equipment</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Furniture and office equipment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Computer equipment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estimated useful life</w:t>
      </w:r>
    </w:p>
    <w:p>
      <w:pPr>
        <w:spacing w:after="0" w:line="222" w:lineRule="exact"/>
        <w:rPr>
          <w:sz w:val="20"/>
          <w:szCs w:val="20"/>
          <w:color w:val="auto"/>
        </w:rPr>
      </w:pPr>
    </w:p>
    <w:p>
      <w:pPr>
        <w:sectPr>
          <w:pgSz w:w="11900" w:h="16838" w:orient="portrait"/>
          <w:cols w:equalWidth="0" w:num="2">
            <w:col w:w="5340" w:space="720"/>
            <w:col w:w="5320"/>
          </w:cols>
          <w:pgMar w:left="240" w:top="121" w:right="2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expected to result from the use of the asset and its eventual disposition. If the asset is considered to be impaired, the amount of any impairment is measured as the difference between the carrying value and the fair value of the impaired asset. The Company has not recorded impairment of any long-lived assets since inception.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4"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Restricted cash includes a money market account with one of the Company’s financial institutions as collateral for its obligations under its facility lease of the Company’s corporate headquarters in Novato, California. Restricted cash also includes a savings account associated with a credit card agreement at one of the Company’s financial institutions.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8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Deferred offering costs, which primarily consist of direct incremental legal and accounting fees relating to the IPO, are capitalized. The deferred offering costs were offset against IPO proceeds upon the closing of the offering in February 2014. As of December 31, 2013, $2.3 million of deferred offering costs were capitalized in long-term other assets on the balance sheet. There were no such costs capitalized as of December 31,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Accruals of Research and Development Costs</w:t>
      </w:r>
    </w:p>
    <w:p>
      <w:pPr>
        <w:spacing w:after="0" w:line="8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Company records accruals for estimated costs of research, preclinical and clinical studies and manufacturing development. These costs are a significant component of the Company’s research and development expenses. A substantial portion of the Company’s ongoing research and development activities are conducted by third-party service providers, including contract research organizations. The Company accrues the costs incurred under its agreements with these third parties based on actual work completed in accordance with agreements established with these third parties. The Company determines the actual costs through discussions with internal personnel and external service providers as to the progress or stage of completion of the services and the agreed-upon fee to be paid for such services. The Company makes significant judgments and estimates in determining the accrual balance in each</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121" w:right="279"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4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reporting period. As actual costs become known, the Company adjusts its accruals. The Company has not experienced any material deviations between accrued clinical trial expenses and actual clinical trial expenses. However, actual services performed, number of patients enrolled, and the rate of patient enrollment may vary from the Company’s estimates, resulting in adjustments to clinical trial expense in future periods. Changes in these estimates that result in material changes to the Company’s accruals could materially affect the Company’s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jc w:val="both"/>
        <w:ind w:right="500" w:firstLine="518"/>
        <w:spacing w:after="0" w:line="302" w:lineRule="auto"/>
        <w:rPr>
          <w:sz w:val="20"/>
          <w:szCs w:val="20"/>
          <w:color w:val="auto"/>
        </w:rPr>
      </w:pPr>
      <w:r>
        <w:rPr>
          <w:rFonts w:ascii="Arial" w:cs="Arial" w:eastAsia="Arial" w:hAnsi="Arial"/>
          <w:sz w:val="16"/>
          <w:szCs w:val="16"/>
          <w:color w:val="auto"/>
        </w:rPr>
        <w:t>The Company enters into lease agreements for its office and laboratory facilities. These leases are classified as operating leases. Rent expense is recognized on a straight-line basis over the term of the lease and, accordingly, the Company records the difference between cash rent payments and the recognition of rent expense as a deferred rent liability. Incentives granted under the Company’s facilities leases, including allowances to fund leasehold improvements, are deferred and are recognized as adjustments to rental expense on a straight-line basis over the term of the 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 Liability</w:t>
      </w:r>
    </w:p>
    <w:p>
      <w:pPr>
        <w:spacing w:after="0" w:line="9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Warrants for shares that are either puttable or that are contingently redeemable are classified as liabilities on the balance sheets. The warrants are subject to remeasurement at each balance sheet date, with changes in fair value recognized as a component of other expense, net. The Company continued to adjust the liability for changes in fair value until the completion of its IPO, whereby the warrants were converted to common stock warrants that are no longer be subject to remeasurement, as detailed in Note 15 “Subsequent Events.”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initially records all shares of convertible preferred stock net of offering costs on the dates of issuance, which represents the carrying value. At any time after June 16, 2017, but within sixty (60) days after the receipt by the Company of a written request from the holders of not less than seventy-five percent (75%) of the then outstanding Series A convertible preferred stock, all shares of Series A convertible preferred stock can be redeemed. As only the passage of time is required for Series A convertible preferred stock to become redeemable, the Company is accreting the carrying value of Series A convertible preferred stock to its redemption value over the period from the date of issuance to June 16, 2017 (the earliest redemption date). In the event of a change of control of the Company, proceeds will be distributed in accordance with the liquidation preferences set forth in its Amended and Restated Certificate of Incorporation unless the holders of convertible preferred stock have converted their convertible preferred shares into common shares. Therefore, convertible preferred stock is classified outside of stockholders’ deficit on the accompanying balance sheets, as Series A convertible preferred stock can be redeemed and as events triggering the liquidation preferences are not solely within the Company’s control. In connection with the closing of Company’s IPO in February 2014, all of the Company’s outstanding convertible preferred stock was converted into common stock as detailed in Note 15 “Subsequent Events.”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81" w:lineRule="exact"/>
        <w:rPr>
          <w:sz w:val="20"/>
          <w:szCs w:val="20"/>
          <w:color w:val="auto"/>
        </w:rPr>
      </w:pPr>
    </w:p>
    <w:p>
      <w:pPr>
        <w:ind w:right="220" w:firstLine="571"/>
        <w:spacing w:after="0" w:line="264" w:lineRule="auto"/>
        <w:rPr>
          <w:sz w:val="20"/>
          <w:szCs w:val="20"/>
          <w:color w:val="auto"/>
        </w:rPr>
      </w:pPr>
      <w:r>
        <w:rPr>
          <w:rFonts w:ascii="Arial" w:cs="Arial" w:eastAsia="Arial" w:hAnsi="Arial"/>
          <w:sz w:val="18"/>
          <w:szCs w:val="18"/>
          <w:color w:val="auto"/>
        </w:rPr>
        <w:t>Comprehensive loss is the change in stockholders’ deficit from transactions and other events and circumstances other than those resulting from investments by stockholders and distributions to stockholders. The Company’s other comprehensive income is comprised of unrealized gains and losses on investments in available-for-sale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Research and development costs are expensed as incurred and consist of salaries and benefits, stock-based compensation expense, lab supplies and facility costs, as well as fees paid to other nonemployees and entities that conduct certain research and development activities on the Company’s behalf. Amounts incurred in connection with license agreements are also included in research and development expense.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Stock-based awards issued to employees, including stock options, are recorded at fair value as of the grant date using the Black-Scholes option-pricing model and recognized as expense on a straight-line basis over the employee’s requisite service period (generally the vesting period). Because noncash stock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1"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2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94"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common stock equivalents. The net loss attributable to common stockholders is calculated by adjusting the net loss of the Company for the accretion on the Series A convertible preferred stock and cumulative dividends on Series A and B convertible preferred stock. Diluted net loss per share attributable to common stockholders is the same as basic net loss per share attributable to common stockholders, since the effects of potentially dilutive securities are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January 2014, the Company’s board of directors and its stockholders approved an amendment to the Company’s amended and restated certificate of incorporation to effect a reverse split of shares of our common stock on a 1-for-3.1345 basis (the “Reverse Stock Split”). The par values and the authorized shares of the common and convertible preferred stock were not adjusted as a result of the Reverse Stock Split, nor were the outstanding shares of preferred stock. All issued and outstanding common stock and related per share amounts contained in the financial statements have been retroactively adjusted to reflect this Reverse Stock Split for all periods presented. A proportional adjustment to the conversion ratio for each series of convertible preferred stock was also effected in connection with the reverse split. The Reverse Stock Split was effected on January 17, 2014.</w:t>
      </w:r>
    </w:p>
    <w:p>
      <w:pPr>
        <w:spacing w:after="0" w:line="22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Financial assets and liabilities are recorded at fair value. The carrying amount of certain financial instruments, including cash and cash equivalents,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77" w:lineRule="exact"/>
        <w:rPr>
          <w:sz w:val="20"/>
          <w:szCs w:val="20"/>
          <w:color w:val="auto"/>
        </w:rPr>
      </w:pPr>
    </w:p>
    <w:p>
      <w:pPr>
        <w:ind w:left="520" w:right="3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46"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w:t>
      </w:r>
    </w:p>
    <w:p>
      <w:pPr>
        <w:spacing w:after="0" w:line="2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Company’s financial instruments consist of Level 1and Level 2 assets and Level 3 liabilities. Where quoted prices are available in an active market, securities are classified as Level 1. Level 1 assets consist primarily of highly liquid money market funds that are included in restricted cash. Level 2 assets consist primarily of commercial paper, and corporate bonds based upon quoted market prices.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4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In certain cases where there is limited activity or less transparency around inputs to valuation, securities are classified as Level 3. Level 3 liabilities consist of the convertible preferred stock warrant liability. The following table sets forth the fair value of the Company’s financial assets and liabilities remeasured on a recurring basis based on the three-tier fair value hierarchy (in thousands):</w:t>
      </w:r>
    </w:p>
    <w:p>
      <w:pPr>
        <w:spacing w:after="0" w:line="4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December 31, 2012</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40"/>
              <w:spacing w:after="0"/>
              <w:rPr>
                <w:sz w:val="20"/>
                <w:szCs w:val="20"/>
                <w:color w:val="auto"/>
              </w:rPr>
            </w:pPr>
            <w:r>
              <w:rPr>
                <w:rFonts w:ascii="Arial" w:cs="Arial" w:eastAsia="Arial" w:hAnsi="Arial"/>
                <w:sz w:val="18"/>
                <w:szCs w:val="18"/>
                <w:color w:val="auto"/>
              </w:rPr>
              <w:t>Money market funds classified as cash</w:t>
            </w:r>
          </w:p>
        </w:tc>
        <w:tc>
          <w:tcPr>
            <w:tcW w:w="9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preferred stock warrant liability</w:t>
            </w:r>
          </w:p>
        </w:tc>
        <w:tc>
          <w:tcPr>
            <w:tcW w:w="9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518</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7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2013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40"/>
              <w:spacing w:after="0"/>
              <w:rPr>
                <w:sz w:val="20"/>
                <w:szCs w:val="20"/>
                <w:color w:val="auto"/>
              </w:rPr>
            </w:pPr>
            <w:r>
              <w:rPr>
                <w:rFonts w:ascii="Arial" w:cs="Arial" w:eastAsia="Arial" w:hAnsi="Arial"/>
                <w:sz w:val="18"/>
                <w:szCs w:val="18"/>
                <w:color w:val="auto"/>
              </w:rPr>
              <w:t>Money market funds classified as cash</w:t>
            </w:r>
          </w:p>
        </w:tc>
        <w:tc>
          <w:tcPr>
            <w:tcW w:w="5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6,847</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Commercial paper classified as short-term investments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 bonds classified as short-term investments</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preferred stock warrant liability</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changes in the fair value of the Company’s Level 3 financial liabilities (in thousands):</w:t>
      </w:r>
    </w:p>
    <w:p>
      <w:pPr>
        <w:spacing w:after="0" w:line="8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840" w:type="dxa"/>
            <w:vAlign w:val="bottom"/>
            <w:gridSpan w:val="6"/>
          </w:tcPr>
          <w:p>
            <w:pPr>
              <w:ind w:left="36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140" w:type="dxa"/>
            <w:vAlign w:val="bottom"/>
            <w:tcBorders>
              <w:bottom w:val="single" w:sz="8" w:color="CDEC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5140" w:type="dxa"/>
            <w:vAlign w:val="bottom"/>
            <w:shd w:val="clear" w:color="auto" w:fill="CDECFF"/>
          </w:tcPr>
          <w:p>
            <w:pPr>
              <w:spacing w:after="0"/>
              <w:rPr>
                <w:sz w:val="20"/>
                <w:szCs w:val="20"/>
                <w:color w:val="auto"/>
              </w:rPr>
            </w:pPr>
            <w:r>
              <w:rPr>
                <w:rFonts w:ascii="Arial" w:cs="Arial" w:eastAsia="Arial" w:hAnsi="Arial"/>
                <w:sz w:val="18"/>
                <w:szCs w:val="18"/>
                <w:color w:val="auto"/>
              </w:rPr>
              <w:t>Fair value, beginning of period</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240"/>
              <w:spacing w:after="0"/>
              <w:rPr>
                <w:sz w:val="20"/>
                <w:szCs w:val="20"/>
                <w:color w:val="auto"/>
              </w:rPr>
            </w:pPr>
            <w:r>
              <w:rPr>
                <w:rFonts w:ascii="Arial" w:cs="Arial" w:eastAsia="Arial" w:hAnsi="Arial"/>
                <w:sz w:val="18"/>
                <w:szCs w:val="18"/>
                <w:color w:val="auto"/>
              </w:rPr>
              <w:t>Change in fair value recorded as a loss in other expense, net</w:t>
            </w:r>
          </w:p>
        </w:tc>
        <w:tc>
          <w:tcPr>
            <w:tcW w:w="9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2,901</w:t>
            </w:r>
          </w:p>
        </w:tc>
      </w:tr>
      <w:tr>
        <w:trPr>
          <w:trHeight w:val="210"/>
        </w:trPr>
        <w:tc>
          <w:tcPr>
            <w:tcW w:w="5140" w:type="dxa"/>
            <w:vAlign w:val="bottom"/>
            <w:tcBorders>
              <w:top w:val="single" w:sz="8" w:color="CDECFF"/>
              <w:bottom w:val="single" w:sz="8" w:color="CDECFF"/>
            </w:tcBorders>
            <w:shd w:val="clear" w:color="auto" w:fill="CDECFF"/>
          </w:tcPr>
          <w:p>
            <w:pPr>
              <w:spacing w:after="0"/>
              <w:rPr>
                <w:sz w:val="20"/>
                <w:szCs w:val="20"/>
                <w:color w:val="auto"/>
              </w:rPr>
            </w:pPr>
            <w:r>
              <w:rPr>
                <w:rFonts w:ascii="Arial" w:cs="Arial" w:eastAsia="Arial" w:hAnsi="Arial"/>
                <w:sz w:val="18"/>
                <w:szCs w:val="18"/>
                <w:color w:val="auto"/>
              </w:rPr>
              <w:t>Fair value, end of period</w:t>
            </w:r>
          </w:p>
        </w:tc>
        <w:tc>
          <w:tcPr>
            <w:tcW w:w="90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determination of the fair value of the convertible preferred stock warrants is discussed in Note 8. Generally, increases or decreases in the fair value of the underlying convertible preferred stock would result in a directionally similar impact in the fair value measurement of the warrant liability.</w:t>
      </w:r>
    </w:p>
    <w:p>
      <w:pPr>
        <w:spacing w:after="0" w:line="197"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Short-term Investments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values of cash equivalents, restricted cash and short-term investments classified as available-for-sale securities, consisted of the following:</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Gross Unrealized</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3"/>
              </w:rPr>
              <w:t>Estimated Fair</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6,847</w:t>
            </w:r>
          </w:p>
        </w:tc>
        <w:tc>
          <w:tcPr>
            <w:tcW w:w="18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CFF"/>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ind w:right="7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CFF"/>
            </w:tcBorders>
            <w:shd w:val="clear" w:color="auto" w:fill="CCECFF"/>
          </w:tcPr>
          <w:p>
            <w:pPr>
              <w:spacing w:after="0"/>
              <w:rPr>
                <w:sz w:val="18"/>
                <w:szCs w:val="18"/>
                <w:color w:val="auto"/>
              </w:rPr>
            </w:pPr>
          </w:p>
        </w:tc>
        <w:tc>
          <w:tcPr>
            <w:tcW w:w="20" w:type="dxa"/>
            <w:vAlign w:val="bottom"/>
            <w:tcBorders>
              <w:top w:val="single" w:sz="8" w:color="CCECFF"/>
            </w:tcBorders>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jc w:val="right"/>
              <w:ind w:right="117"/>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6,847</w:t>
            </w:r>
          </w:p>
        </w:tc>
        <w:tc>
          <w:tcPr>
            <w:tcW w:w="12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C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44,939</w:t>
            </w: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4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44,950</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52,786</w:t>
            </w:r>
          </w:p>
        </w:tc>
        <w:tc>
          <w:tcPr>
            <w:tcW w:w="1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vMerge w:val="continue"/>
          </w:tcPr>
          <w:p>
            <w:pPr>
              <w:spacing w:after="0"/>
              <w:rPr>
                <w:sz w:val="18"/>
                <w:szCs w:val="18"/>
                <w:color w:val="auto"/>
              </w:rPr>
            </w:pPr>
          </w:p>
        </w:tc>
        <w:tc>
          <w:tcPr>
            <w:tcW w:w="900" w:type="dxa"/>
            <w:vAlign w:val="bottom"/>
          </w:tcPr>
          <w:p>
            <w:pPr>
              <w:jc w:val="right"/>
              <w:ind w:right="7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240" w:type="dxa"/>
            <w:vAlign w:val="bottom"/>
          </w:tcPr>
          <w:p>
            <w:pPr>
              <w:jc w:val="right"/>
              <w:ind w:right="117"/>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At December 31, 2013, the remaining contractual maturities of available-for-sale securities were less than two years. There have been no significant realized gains or losses on available-for-sale securities for the periods presented.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7"/>
        </w:trPr>
        <w:tc>
          <w:tcPr>
            <w:tcW w:w="62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7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Software</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1,003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6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r>
      <w:tr>
        <w:trPr>
          <w:trHeight w:val="210"/>
        </w:trPr>
        <w:tc>
          <w:tcPr>
            <w:tcW w:w="17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1,362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Depreciation expense for the years ended December 31, 2011, 2012, 2013 and the period from April 22, 2010 (Inception) through December 31, 2013 was $34,000, $313,000, $444,000 and $797,000, respectively. Amortization of leasehold improvements is included in depreciation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7"/>
        </w:trPr>
        <w:tc>
          <w:tcPr>
            <w:tcW w:w="5800" w:type="dxa"/>
            <w:vAlign w:val="bottom"/>
            <w:gridSpan w:val="2"/>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7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clinical trial expenses</w:t>
            </w: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1,289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2,360</w:t>
            </w:r>
          </w:p>
        </w:tc>
        <w:tc>
          <w:tcPr>
            <w:tcW w:w="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10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1,913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420" w:firstLine="8"/>
        <w:spacing w:after="0" w:line="331" w:lineRule="auto"/>
        <w:tabs>
          <w:tab w:leader="none" w:pos="45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Facilities</w:t>
      </w:r>
    </w:p>
    <w:p>
      <w:pPr>
        <w:ind w:right="280" w:firstLine="518"/>
        <w:spacing w:after="0" w:line="277" w:lineRule="auto"/>
        <w:rPr>
          <w:sz w:val="20"/>
          <w:szCs w:val="20"/>
          <w:color w:val="auto"/>
        </w:rPr>
      </w:pPr>
      <w:r>
        <w:rPr>
          <w:rFonts w:ascii="Arial" w:cs="Arial" w:eastAsia="Arial" w:hAnsi="Arial"/>
          <w:sz w:val="18"/>
          <w:szCs w:val="18"/>
          <w:color w:val="auto"/>
        </w:rPr>
        <w:t>From inception until March of 2012, the Company rented office space in a building under an informal monthly agreement. The Company’s founder also rented space for one of his other business interests in that same building.</w:t>
      </w:r>
    </w:p>
    <w:p>
      <w:pPr>
        <w:spacing w:after="0" w:line="3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July 2011, the Company entered into a lease agreement for office facilities in Novato, California, which provided for a tenant improvement allowance of up to $376,000. The lease commenced in March of 2012. This noncancelable operating lease expires five years after the commencement date. At the end of the lease term, the Company has the option to extend the lease for two additional consecutive terms of five years each. In July 2011, the Company signed an addendum to the lease agreement to add warehouse space to the arrangement. As provided in the lease agreement, monthly lease payments are subject to an annual increase based upon a CPI adjustment with a minimum increase of three percent and a maximum increase of six percent per year. In February 2014, the Company signed an addendum to the lease agreement to lease the remainder of the office and warehouse space of the building and extend the term of the leased space for an additional five years from the date of the addendum, as provided under the original agreement – See Note 15 “Subsequent Events.”</w:t>
      </w:r>
    </w:p>
    <w:p>
      <w:pPr>
        <w:spacing w:after="0" w:line="4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September 2010, the Company entered into a license and service agreement for a lab facility in Novato, California. The term commenced in September 2010. This agreement was to expire two years after the commencement date, and either party could terminate the agreement with one year’s prior notice without cause and purely out of convenience of such party. In September 2012, the Company entered into an amendment to increase the size of the lab facility and extend the term. This amendment expires two years after the amendment date, and either party may terminate the agreement with one year’s prior notice without cause.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43"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December 31, 2013, the aggregate future minimum lease payments under the noncancelable operating lease arrangements are as follows (in thousands):</w:t>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654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2014</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 Includes additional lease payments under the lease amendment entered into in February 2014, as detailed in Note 15 “Subsequent Events”</w:t>
      </w:r>
    </w:p>
    <w:p>
      <w:pPr>
        <w:spacing w:after="0" w:line="59" w:lineRule="exact"/>
        <w:rPr>
          <w:sz w:val="20"/>
          <w:szCs w:val="20"/>
          <w:color w:val="auto"/>
        </w:rPr>
      </w:pPr>
    </w:p>
    <w:p>
      <w:pPr>
        <w:ind w:right="700" w:firstLine="518"/>
        <w:spacing w:after="0" w:line="264" w:lineRule="auto"/>
        <w:rPr>
          <w:sz w:val="20"/>
          <w:szCs w:val="20"/>
          <w:color w:val="auto"/>
        </w:rPr>
      </w:pPr>
      <w:r>
        <w:rPr>
          <w:rFonts w:ascii="Arial" w:cs="Arial" w:eastAsia="Arial" w:hAnsi="Arial"/>
          <w:sz w:val="18"/>
          <w:szCs w:val="18"/>
          <w:color w:val="auto"/>
        </w:rPr>
        <w:t>The Company recognizes rent expense on a straight-line basis over the noncancelable term of its operating lease. Rent expense was $84,000, $265,000, $285,000 and $652,000 during the years ended December 31, 2011, 2012, 2013 and the period from April 22, 2010 (Inception) through December 31, 2013, respectively.</w:t>
      </w:r>
    </w:p>
    <w:p>
      <w:pPr>
        <w:spacing w:after="0" w:line="33"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Under the terms of the lease agreement of its Novato office facility, the Company provided the lessor with an irrevocable letter of credit in the amount of $376,000. The lessor shall be entitled to draw on the letter of credit in the event of any uncured default by the Company under the terms of the lease. Provided there has been no default on the lease, the Company may reduce the amount of the letter of credit by $75,000 on each anniversary date from the commencement date. As of December 31, 2013, the current amount of restricted cash in connection with the lease agreement was $301,000.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81" w:lineRule="exact"/>
        <w:rPr>
          <w:sz w:val="20"/>
          <w:szCs w:val="20"/>
          <w:color w:val="auto"/>
        </w:rPr>
      </w:pPr>
    </w:p>
    <w:p>
      <w:pPr>
        <w:jc w:val="both"/>
        <w:ind w:right="100" w:firstLine="518"/>
        <w:spacing w:after="0" w:line="286" w:lineRule="auto"/>
        <w:rPr>
          <w:sz w:val="20"/>
          <w:szCs w:val="20"/>
          <w:color w:val="auto"/>
        </w:rPr>
      </w:pPr>
      <w:r>
        <w:rPr>
          <w:rFonts w:ascii="Arial" w:cs="Arial" w:eastAsia="Arial" w:hAnsi="Arial"/>
          <w:sz w:val="17"/>
          <w:szCs w:val="17"/>
          <w:color w:val="auto"/>
        </w:rPr>
        <w:t>The Company has various manufacturing, clinical, research, and other contracts with vendors in the conduct of the normal course of its business. All contracts are terminable, with varying provisions regarding termination. If a contract with a specific vendor were to be terminated, the Company would only be obligated for the products or services that the Company had received at the time the termination became effective.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While there are no legal proceedings the Company is aware of, the Company may become party to various claims and complaints arising in the ordinary course of business. Management does not believe that any ultimate liability resulting from any of these claims will have a material adverse effect on its results of operations, financial position, or liquidity. However, management cannot give any assurance regarding the ultimate outcome of these claims, and their resolution could be material to operating results for any particular period, depending upon the level of income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8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239" w:lineRule="exact"/>
        <w:rPr>
          <w:sz w:val="20"/>
          <w:szCs w:val="20"/>
          <w:color w:val="auto"/>
        </w:rPr>
      </w:pPr>
    </w:p>
    <w:p>
      <w:pPr>
        <w:ind w:right="8280" w:firstLine="8"/>
        <w:spacing w:after="0" w:line="406" w:lineRule="auto"/>
        <w:tabs>
          <w:tab w:leader="none" w:pos="45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License and Research Agreements Nobelpharma License Agreement</w:t>
      </w:r>
    </w:p>
    <w:p>
      <w:pPr>
        <w:spacing w:after="0" w:line="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September 2010, the Company entered into a collaboration and license agreement with Nobelpharma Co., Ltd. (Nobelpharma). Under the terms of this collaboration and license agreement, each party granted the other party a worldwide exclusive license under certain of that party’s intellectual property related to the compound identified as N-acetylneuraminic acid, also known as sialic acid, to develop, manufacture, and commercialize products. Nobelpharma’s licensed territory includes Japan and certain other Asian countries, and the Company’s licensed territory includes the rest of the world.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121" w:right="29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4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collaboration and license agreement, the Company paid Nobelpharma $110,500 (10 million Yen) for the license, which was recorded as research and development expense in 2010, and also issued 76,567 shares of common stock to Nobelpharma with a minimal value. The Company is required to pay Nobelpharma annual royalties and earned royalties based on net sales upon product sales commencement. In addition, the Company is required to make certain payments to Nobelpharma based upon achievement of certain development and approval milestones. The Company paid $495,000 in development milestone payments from inception through December 31, 2013. The remaining total aggregate payments, if all milestones are achieved by Nobelpharma, would be 200 million Yen (approximately $1.9 million based on the exchange rate at December 31, 2013). The Company will pay a high single digit royalty on net sales in the Company’s territory and will receive a mid-single digit royalty on net sales in the Nobelpharma territory, excluding Japan, if such product sales are ever achieved. Net sales, as defined in the collaboration and license agreement, represent the net sales of products whereby the licensed compound is the active ingredient. If the products include other active ingredients, the portion of the net sales allocated to the licensed compound would be used in determining the royalty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Saint Louis University License Agreement</w:t>
      </w:r>
    </w:p>
    <w:p>
      <w:pPr>
        <w:spacing w:after="0" w:line="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November 2010, the Company entered into a license agreement with Saint Louis University (SLU). Under the terms of this license agreement, SLU granted the Company an exclusive worldwide license to make, have made, use, import, offer for sale, and sell therapeutics related to SLU’s beta-glucuronidase product for use in the treatment of human diseases.</w:t>
      </w:r>
    </w:p>
    <w:p>
      <w:pPr>
        <w:spacing w:after="0" w:line="33"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Under the license agreement, the Company paid SLU an up-front fee of $10,000, which was recorded as research and development expense in 2010. The Company will be required to make a milestone payment of $100,000 upon approval of a glucuronidase-based enzyme therapy for treatment of MPS 7. Additionally, upon reaching a certain level of cumulative worldwide sales of the product, the Company will be required to pay to SLU a low single-digit royalty on net sales of the licensed products in any country or region, if such product sales are ever achieved.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AAI Pharma License Agreement</w:t>
      </w:r>
    </w:p>
    <w:p>
      <w:pPr>
        <w:spacing w:after="0" w:line="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March 2011, the Company entered into a license agreement with AAI Pharma Services Corp. (AAI Pharma). Under the terms of this license agreement, AAI Pharma granted the Company a fully paid-up, royalty-free, exclusive, perpetual, and irrevocable license to research, develop, make, have made, use, import, offer for sale, and sell products incorporating AAI Pharma’s controlled release matrix solid dose oral tablet. Under the license agreement, the Company will pay a mid-single digit percentage of any sublicense revenue received by Ultragenyx related to the sublicense of AAI Pharma technology that had been initially licensed by Ultragenyx.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HIBM Research Group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April 2012, the Company entered into an exclusive license agreement with HIBM Research Group (HRG). Under the terms of this license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HRG granted the Company an exclusive worldwide license to certain intellectual property related to the treatment of HIBM. Under the license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the Company paid HRG an up-front fee of $25,000 which was recorded as research and development expense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Company may make future payments that aggregate up to $300,000 and that are contingent upon attainment of various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approval milestones. Additionally, the Company will pay to HRG a royalty of less than 1% of net sales of the licensed products in the licensed territories,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such product sales are ever achieved.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Agreement</w:t>
      </w:r>
    </w:p>
    <w:p>
      <w:pPr>
        <w:spacing w:after="0" w:line="9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April 2012, the Company entered into a research agreement with HRG. Under the terms of this research agreement, the Company will engage HRG to perform certain nonclinical research activities related to the treatment for HIBM. Under the research agreement, the Company was required to pay HRG an annual grant of $25,000 during the first five years from the effective date of the agreement. The agreement was terminated in 2013, and accordingly, no further amounts will be paid to HRG for research.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 Jude Children’s Research Hospital License Agreement</w:t>
      </w:r>
    </w:p>
    <w:p>
      <w:pPr>
        <w:spacing w:after="0" w:line="8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September 2012, the Company entered into a license agreement with St. Jude Children’s Research Hospital (St. Jude). Under the terms of this license agreement, St. Jude granted the Company an exclusive license under certain know-how to research, develop, make, use, offer to sell, import, and otherwise commercialize and exploit St. Jude’s protective protein, cathepsin, a protein product to treat, prevent, and/or diagnose galactosialidosis and other monogenetic diseases.</w:t>
      </w:r>
    </w:p>
    <w:p>
      <w:pPr>
        <w:spacing w:after="0" w:line="5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Under the license agreement, the Company paid St. Jude an up-front fee of $10,000 which was recorded as research and development expense during the year ended December 31, 2012. Additionally, the Company will pay to St. Jude a royalty of less than 1% on net sales of the licensed products in the licensed territories, if such product sales are ever achieved.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1"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Baylor Research Institute License Agreement</w:t>
      </w:r>
    </w:p>
    <w:p>
      <w:pPr>
        <w:spacing w:after="0" w:line="94"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September 2012, the Company entered into a license agreement with Baylor Research Institute (BRI). Under the terms of this license agreement, BRI exclusively licensed to the Company certain intellectual property related to triheptanoin for North America. Under the license agreement, the Company paid BRI an up-front fee of $250,000 which was recorded as research and development expense during the year ended December 31, 2012. In June 2013, the Company notified BRI that it was exercising its option pursuant to the agreement to license the rights to triheptanoin in all territories outside of the United States, Canada and Mexico and paid the option exercise fee of $750,000.</w:t>
      </w:r>
    </w:p>
    <w:p>
      <w:pPr>
        <w:spacing w:after="0" w:line="40"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Company may make future payments of up to $10.5 million contingent upon attainment of various development milestones and $7.5 million contingent upon attainment of various sales milestones. Additionally, the Company will pay to BRI a mid-single digit royalty on net sales of the licensed product in the licensed territories, if such product sales are ever achieved.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Kyowa Hakko Kirin Collaboration and License Agreement</w:t>
      </w:r>
    </w:p>
    <w:p>
      <w:pPr>
        <w:spacing w:after="0" w:line="94"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August 2013, the Company entered into a collaboration and license agreement with Kyowa Hakko Kirin Co. Ltd. (KHK). Under the terms of this collaboration and license agreement, the Company and KHK will collaborate on the development and commercialization of certain products containing KRN23, an antibody directed towards FGF23, in the field of orphan diseases in the United States and Canada, or the profit share territory, and in the European Union, Switzerland, and Turkey, or the European territory, and the Company will have the right to develop and commercialize such products in the field of orphan diseases in Mexico and Central and South America, or Latin America. In the field of orphan diseases, and except for ongoing studies being conducted by KHK, the Company will be the lead party for development activities in the profit share territory and in the European territory until the applicable transition date. The Company will share the costs for development activities in the profit share territory and European territory conducted pursuant to the development plan before the applicable transition date equally with KHK. On the applicable transition date in the relevant territory, KHK will become the lead party and be responsible for these costs. However, the Company will continue to share the costs of the studies commenced prior to the applicable transition date equally with KHK. The Company has the primary responsibility for conducting certain research and development services. The Company is obligated to provide assistance in accordance with the agreed upon development plan as well as participate on various committees. If KRN23 is approved, the Company and KHK will share commercial responsibilities and profits in the profit share territory until the applicable transition date, KHK will commercialize KRN23 in the European territory and the Company will develop and commercialize KRN23 in Latin America. KHK will manufacture and supply KRN23 for clinical use globally and will manufacture and supply KRN23 for commercial use in the profit share territory and Latin America.</w:t>
      </w:r>
    </w:p>
    <w:p>
      <w:pPr>
        <w:spacing w:after="0" w:line="23" w:lineRule="exact"/>
        <w:rPr>
          <w:sz w:val="20"/>
          <w:szCs w:val="20"/>
          <w:color w:val="auto"/>
        </w:rPr>
      </w:pPr>
    </w:p>
    <w:p>
      <w:pPr>
        <w:jc w:val="both"/>
        <w:ind w:right="280" w:firstLine="518"/>
        <w:spacing w:after="0" w:line="312" w:lineRule="auto"/>
        <w:rPr>
          <w:sz w:val="20"/>
          <w:szCs w:val="20"/>
          <w:color w:val="auto"/>
        </w:rPr>
      </w:pPr>
      <w:r>
        <w:rPr>
          <w:rFonts w:ascii="Arial" w:cs="Arial" w:eastAsia="Arial" w:hAnsi="Arial"/>
          <w:sz w:val="16"/>
          <w:szCs w:val="16"/>
          <w:color w:val="auto"/>
        </w:rPr>
        <w:t xml:space="preserve">The Company is accounting for the agreement as a collaboration arrangement as defined in ASC 808, </w:t>
      </w:r>
      <w:r>
        <w:rPr>
          <w:rFonts w:ascii="Arial" w:cs="Arial" w:eastAsia="Arial" w:hAnsi="Arial"/>
          <w:sz w:val="16"/>
          <w:szCs w:val="16"/>
          <w:i w:val="1"/>
          <w:iCs w:val="1"/>
          <w:color w:val="auto"/>
        </w:rPr>
        <w:t>Collaborative Agreements;</w:t>
      </w:r>
      <w:r>
        <w:rPr>
          <w:rFonts w:ascii="Arial" w:cs="Arial" w:eastAsia="Arial" w:hAnsi="Arial"/>
          <w:sz w:val="16"/>
          <w:szCs w:val="16"/>
          <w:color w:val="auto"/>
        </w:rPr>
        <w:t xml:space="preserve"> accordingly, after accounting for the $370,000 in costs of the Company and $434,000 of KHK costs incurred under the terms of the cost sharing arrangement, the Company recognized $402,000 for its share of the costs as research and development expenses for the year ended December 31, 2013.</w:t>
      </w:r>
    </w:p>
    <w:p>
      <w:pPr>
        <w:spacing w:after="0" w:line="197"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June 2010, July 2010 and June 2011, the Company entered into three convertible note and warrant purchase agreements with its Chief Executive Officer and Founder, Emil Kakkis, M.D., PhD, in which it borrowed a total of $1,800,000 from Dr. Kakkis. In February 2011, the Company entered into a convertible note and warrant purchase agreement with William Aliski, a member of the Company’s Board of Directors, in which it borrowed $250,000 from Mr. Aliski. In February 2011, the Company also entered into a convertible note and warrant purchase agreement with John Klock, a former member and former observer of the Company’s Board of Directors, in which it borrowed $1,500,000 from Mr. Klock. All of the notes bore interest at a rate of 8% and became due and payable on the one-year anniversary of the respective note agreement. Pursuant to the terms of the agreement, the notes automatically convert into shares preferred stock in the event of a qualifying equity financing. In connection with the agreements, the Company also issued warrants to purchase shares of Series A convertible preferred stock (see Note 8).</w:t>
      </w:r>
    </w:p>
    <w:p>
      <w:pPr>
        <w:spacing w:after="0" w:line="4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June 2011, in connection with the Series A convertible preferred stock financing, the entire outstanding principal and accrued interest was converted into Series A convertible preferred stock at the issuance price of $1.034 per share. In accordance with the terms of the warrant agreements, Dr. Kakkis,</w:t>
      </w:r>
    </w:p>
    <w:p>
      <w:pPr>
        <w:ind w:right="240"/>
        <w:spacing w:after="0" w:line="261" w:lineRule="auto"/>
        <w:rPr>
          <w:sz w:val="20"/>
          <w:szCs w:val="20"/>
          <w:color w:val="auto"/>
        </w:rPr>
      </w:pPr>
      <w:r>
        <w:rPr>
          <w:rFonts w:ascii="Arial" w:cs="Arial" w:eastAsia="Arial" w:hAnsi="Arial"/>
          <w:sz w:val="18"/>
          <w:szCs w:val="18"/>
          <w:color w:val="auto"/>
        </w:rPr>
        <w:t>Mr. Aliski and Mr. Klock were entitled to purchase 435,245, 84,631 and 507,786 shares of Series A convertible preferred stock, respectively, at an exercise price of $1.034 per share, subject to certain anti-dilution provisions.</w:t>
      </w:r>
    </w:p>
    <w:p>
      <w:pPr>
        <w:spacing w:after="0" w:line="23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the terms of various promissory notes issued by the Company from June 2010 through February 2011, the Company issued warrants in which the number of shares and exercise price were subject to the per share price offered in the Series A convertible preferred stock sale. In June 2011, in connection with its closing of the first round of Series A convertible preferred stock financing, the Company determined that the warrants were convertible to 1,027,662 shares of Series A convertible preferred stock 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 exercise price of $1.034 per share. The warrants are subject to certain anti-dilution provisions, including Series A dividends paid in shares of preferred stock. The warrants expire on the earlier of (i) change of control of the Company or any simultaneous sale of more than a majority of the then-outstanding securities of the Company other than a mere reincorporation transaction or (ii) the ten year anniversary of their issue date. The Company determined the fair value of the warrants using an option-pricing method to allocate the equity value of the Company to the warrants based on the Company’s capital structure. The equity value was estimated using the Back-Solve method, whereby the equity value was derived from a recent transaction involving the Company’s own securities. The fair value ascribed to these warrants upon their issuance was $203,000. The fair value of the warrants was recorded as debt issuance costs and was amortized to interest expense using the effective-interest-rate method over the loan term. In connection with the conversion of the promissory notes into shares of Series A convertible preferred stock in June 2011, the Company recognized all remaining unamortized debt issuance costs.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2012 and 2013, outstanding warrants consisted of the following:</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Convertible Preferred Stock Warrants:</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Warrants</w:t>
            </w:r>
          </w:p>
        </w:tc>
        <w:tc>
          <w:tcPr>
            <w:tcW w:w="2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Date Issued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241,803</w:t>
            </w:r>
          </w:p>
        </w:tc>
        <w:tc>
          <w:tcPr>
            <w:tcW w:w="2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June 2010</w:t>
            </w:r>
          </w:p>
        </w:tc>
        <w:tc>
          <w:tcPr>
            <w:tcW w:w="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10 years</w:t>
            </w: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160" w:type="dxa"/>
            <w:vAlign w:val="bottom"/>
          </w:tcPr>
          <w:p>
            <w:pPr>
              <w:jc w:val="right"/>
              <w:spacing w:after="0"/>
              <w:rPr>
                <w:sz w:val="20"/>
                <w:szCs w:val="20"/>
                <w:color w:val="auto"/>
              </w:rPr>
            </w:pPr>
            <w:r>
              <w:rPr>
                <w:rFonts w:ascii="Arial" w:cs="Arial" w:eastAsia="Arial" w:hAnsi="Arial"/>
                <w:sz w:val="18"/>
                <w:szCs w:val="18"/>
                <w:color w:val="auto"/>
              </w:rPr>
              <w:t>592,417</w:t>
            </w:r>
          </w:p>
        </w:tc>
        <w:tc>
          <w:tcPr>
            <w:tcW w:w="2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2011</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r>
      <w:tr>
        <w:trPr>
          <w:trHeight w:val="216"/>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193,442</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5"/>
              </w:rPr>
              <w:t>June 2011</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10 years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FF0FC"/>
          </w:tcPr>
          <w:p>
            <w:pPr>
              <w:spacing w:after="0"/>
              <w:rPr>
                <w:sz w:val="18"/>
                <w:szCs w:val="18"/>
                <w:color w:val="auto"/>
              </w:rPr>
            </w:pPr>
          </w:p>
        </w:tc>
      </w:tr>
      <w:tr>
        <w:trPr>
          <w:trHeight w:val="210"/>
        </w:trPr>
        <w:tc>
          <w:tcPr>
            <w:tcW w:w="4840" w:type="dxa"/>
            <w:vAlign w:val="bottom"/>
            <w:gridSpan w:val="2"/>
          </w:tcPr>
          <w:p>
            <w:pPr>
              <w:ind w:left="240"/>
              <w:spacing w:after="0"/>
              <w:rPr>
                <w:sz w:val="20"/>
                <w:szCs w:val="20"/>
                <w:color w:val="auto"/>
              </w:rPr>
            </w:pPr>
            <w:r>
              <w:rPr>
                <w:rFonts w:ascii="Arial" w:cs="Arial" w:eastAsia="Arial" w:hAnsi="Arial"/>
                <w:sz w:val="18"/>
                <w:szCs w:val="18"/>
                <w:color w:val="auto"/>
              </w:rPr>
              <w:t>Total convertible preferred stock warrants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1,027,662</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of the warrants was estimated to be $518,000 and $3.4 million as of December 31, 2012 and 2013, respectively. The key assumptions in the option-pricing valuation method as of December 31, 2012 and 2013 are as follows:</w:t>
      </w:r>
    </w:p>
    <w:p>
      <w:pPr>
        <w:spacing w:after="0" w:line="3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800" w:type="dxa"/>
            <w:vAlign w:val="bottom"/>
            <w:gridSpan w:val="4"/>
          </w:tcPr>
          <w:p>
            <w:pPr>
              <w:ind w:left="8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180" w:type="dxa"/>
            <w:vAlign w:val="bottom"/>
            <w:tcBorders>
              <w:bottom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CFF0FC"/>
            </w:tcBorders>
          </w:tcPr>
          <w:p>
            <w:pPr>
              <w:spacing w:after="0"/>
              <w:rPr>
                <w:sz w:val="18"/>
                <w:szCs w:val="18"/>
                <w:color w:val="auto"/>
              </w:rPr>
            </w:pPr>
          </w:p>
        </w:tc>
        <w:tc>
          <w:tcPr>
            <w:tcW w:w="12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18"/>
                <w:szCs w:val="18"/>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Value of Company equity</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$145.8 million</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$358.8 million</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ind w:left="44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280" w:type="dxa"/>
            <w:vAlign w:val="bottom"/>
          </w:tcPr>
          <w:p>
            <w:pPr>
              <w:ind w:left="4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Expected time to liquidity event</w:t>
            </w:r>
          </w:p>
        </w:tc>
        <w:tc>
          <w:tcPr>
            <w:tcW w:w="1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2.0 years</w:t>
            </w:r>
          </w:p>
        </w:tc>
        <w:tc>
          <w:tcPr>
            <w:tcW w:w="13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6"/>
              </w:rPr>
              <w:t>.43 years</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ind w:left="440"/>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The Company recorded $13,000, $302,000, $2.9 million and $3.2 million to other expense, net, for the years ended December 31, 2011, 2012 and 2013 and for the period from April 22, 2010 (Inception) through December 31, 2013, respectively, representing the change in fair value of the warrants between the issuance date and the end of the reporting period.</w:t>
      </w:r>
    </w:p>
    <w:p>
      <w:pPr>
        <w:spacing w:after="0" w:line="46"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In February 2014 in connection with the closing of the IPO, the convertible preferred stock warrants were converted into warrants to purchase common stock, as detailed in Note 15 “Subsequent Events.”</w:t>
      </w:r>
    </w:p>
    <w:p>
      <w:pPr>
        <w:spacing w:after="0" w:line="220"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The Company has reserved sufficient shares of common stock for issuance upon conversion of convertible preferred stock, exercise of stock options, and exercise of warrants. Common stockholders are entitled to dividends if and when declared by the Board of Directors subject to the prior rights of the preferred stockholders. As of December 31, 2013, no common stock dividends had been declared by the Board of Directors.</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reserved shares of common stock, on an as-converted basis, for future issuance as follows:</w:t>
      </w:r>
    </w:p>
    <w:p>
      <w:pPr>
        <w:spacing w:after="0" w:line="8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80" w:type="dxa"/>
            <w:vAlign w:val="bottom"/>
            <w:tcBorders>
              <w:bottom w:val="single" w:sz="8" w:color="CFF0FC"/>
            </w:tcBorders>
          </w:tcPr>
          <w:p>
            <w:pPr>
              <w:spacing w:after="0"/>
              <w:rPr>
                <w:sz w:val="18"/>
                <w:szCs w:val="18"/>
                <w:color w:val="auto"/>
              </w:rPr>
            </w:pPr>
          </w:p>
        </w:tc>
        <w:tc>
          <w:tcPr>
            <w:tcW w:w="160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Borders>
              <w:bottom w:val="single" w:sz="8" w:color="CFF0FC"/>
            </w:tcBorders>
          </w:tcPr>
          <w:p>
            <w:pPr>
              <w:spacing w:after="0"/>
              <w:rPr>
                <w:sz w:val="18"/>
                <w:szCs w:val="18"/>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19,598,486</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19,598,486</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3020" w:type="dxa"/>
            <w:vAlign w:val="bottom"/>
            <w:gridSpan w:val="3"/>
          </w:tcPr>
          <w:p>
            <w:pPr>
              <w:jc w:val="right"/>
              <w:ind w:right="180"/>
              <w:spacing w:after="0"/>
              <w:rPr>
                <w:sz w:val="20"/>
                <w:szCs w:val="20"/>
                <w:color w:val="auto"/>
              </w:rPr>
            </w:pPr>
            <w:r>
              <w:rPr>
                <w:rFonts w:ascii="Arial" w:cs="Arial" w:eastAsia="Arial" w:hAnsi="Arial"/>
                <w:sz w:val="18"/>
                <w:szCs w:val="18"/>
                <w:color w:val="auto"/>
              </w:rPr>
              <w:t>353,459</w:t>
            </w:r>
          </w:p>
        </w:tc>
        <w:tc>
          <w:tcPr>
            <w:tcW w:w="4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353,459</w:t>
            </w: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2011 equity incentive plan</w:t>
            </w:r>
          </w:p>
        </w:tc>
        <w:tc>
          <w:tcPr>
            <w:tcW w:w="3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1,520,967</w:t>
            </w:r>
          </w:p>
        </w:tc>
        <w:tc>
          <w:tcPr>
            <w:tcW w:w="4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2,228,883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7"/>
              </w:rPr>
              <w:t>Shares available for future stock option grants</w:t>
            </w:r>
          </w:p>
        </w:tc>
        <w:tc>
          <w:tcPr>
            <w:tcW w:w="3020" w:type="dxa"/>
            <w:vAlign w:val="bottom"/>
            <w:gridSpan w:val="3"/>
          </w:tcPr>
          <w:p>
            <w:pPr>
              <w:jc w:val="right"/>
              <w:ind w:right="180"/>
              <w:spacing w:after="0"/>
              <w:rPr>
                <w:sz w:val="20"/>
                <w:szCs w:val="20"/>
                <w:color w:val="auto"/>
              </w:rPr>
            </w:pPr>
            <w:r>
              <w:rPr>
                <w:rFonts w:ascii="Arial" w:cs="Arial" w:eastAsia="Arial" w:hAnsi="Arial"/>
                <w:sz w:val="18"/>
                <w:szCs w:val="18"/>
                <w:color w:val="auto"/>
              </w:rPr>
              <w:t>1,815,245</w:t>
            </w:r>
          </w:p>
        </w:tc>
        <w:tc>
          <w:tcPr>
            <w:tcW w:w="4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799,963</w:t>
            </w:r>
          </w:p>
        </w:tc>
      </w:tr>
      <w:tr>
        <w:trPr>
          <w:trHeight w:val="210"/>
        </w:trPr>
        <w:tc>
          <w:tcPr>
            <w:tcW w:w="3580" w:type="dxa"/>
            <w:vAlign w:val="bottom"/>
            <w:tcBorders>
              <w:top w:val="single" w:sz="8" w:color="CFF0FC"/>
              <w:bottom w:val="single" w:sz="8" w:color="CFF0FC"/>
            </w:tcBorders>
            <w:shd w:val="clear" w:color="auto" w:fill="CFF0FC"/>
          </w:tcPr>
          <w:p>
            <w:pPr>
              <w:spacing w:after="0"/>
              <w:rPr>
                <w:sz w:val="18"/>
                <w:szCs w:val="18"/>
                <w:color w:val="auto"/>
              </w:rPr>
            </w:pPr>
          </w:p>
        </w:tc>
        <w:tc>
          <w:tcPr>
            <w:tcW w:w="16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23,288,157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22,980,791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0"/>
        </w:trPr>
        <w:tc>
          <w:tcPr>
            <w:tcW w:w="3580" w:type="dxa"/>
            <w:vAlign w:val="bottom"/>
          </w:tcPr>
          <w:p>
            <w:pPr>
              <w:spacing w:after="0"/>
              <w:rPr>
                <w:sz w:val="24"/>
                <w:szCs w:val="24"/>
                <w:color w:val="auto"/>
              </w:rPr>
            </w:pPr>
          </w:p>
        </w:tc>
        <w:tc>
          <w:tcPr>
            <w:tcW w:w="3480" w:type="dxa"/>
            <w:vAlign w:val="bottom"/>
            <w:gridSpan w:val="4"/>
          </w:tcPr>
          <w:p>
            <w:pPr>
              <w:ind w:left="240"/>
              <w:spacing w:after="0"/>
              <w:rPr>
                <w:sz w:val="20"/>
                <w:szCs w:val="20"/>
                <w:color w:val="auto"/>
              </w:rPr>
            </w:pPr>
            <w:r>
              <w:rPr>
                <w:rFonts w:ascii="Arial" w:cs="Arial" w:eastAsia="Arial" w:hAnsi="Arial"/>
                <w:sz w:val="18"/>
                <w:szCs w:val="18"/>
                <w:color w:val="auto"/>
              </w:rPr>
              <w:t>F-17</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34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Under the Company’s Amended and Restated Certificate of Incorporation, as amended, the Company is authorized to issue two classes of shares: preferred and common stock. The preferred stock is issuable in series, and the Company’s board of directors is authorized to determine the rights, preferences and terms of each series. As of December 31, 2012 and 2013, convertible preferred stock consisted of the following (in thousands, except share and per share amounts):</w:t>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As of December 31, 2012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5"/>
              </w:rPr>
              <w:t>Shares Issued</w:t>
            </w:r>
          </w:p>
        </w:tc>
        <w:tc>
          <w:tcPr>
            <w:tcW w:w="2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6"/>
              </w:rPr>
              <w:t>Proceeds 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of Issuance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Liquidation</w:t>
            </w:r>
          </w:p>
        </w:tc>
        <w:tc>
          <w:tcPr>
            <w:tcW w:w="0" w:type="dxa"/>
            <w:vAlign w:val="bottom"/>
          </w:tcPr>
          <w:p>
            <w:pPr>
              <w:spacing w:after="0"/>
              <w:rPr>
                <w:sz w:val="1"/>
                <w:szCs w:val="1"/>
                <w:color w:val="auto"/>
              </w:rPr>
            </w:pPr>
          </w:p>
        </w:tc>
      </w:t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Convertible Preferred Stock:</w:t>
            </w: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Authorized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Preference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35,377,556</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88"/>
              </w:rPr>
              <w:t>34,349,894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B</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8"/>
              </w:rPr>
              <w:t>27,081,680</w:t>
            </w:r>
          </w:p>
        </w:tc>
        <w:tc>
          <w:tcPr>
            <w:tcW w:w="18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8"/>
              </w:rPr>
              <w:t>27,081,680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convertible preferred stock</w:t>
            </w:r>
          </w:p>
        </w:tc>
        <w:tc>
          <w:tcPr>
            <w:tcW w:w="11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8"/>
              </w:rPr>
              <w:t>62,459,236</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88"/>
              </w:rPr>
              <w:t>61,431,574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107,552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As of December 31, 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5"/>
              </w:rPr>
              <w:t>Shares Issued</w:t>
            </w:r>
          </w:p>
        </w:tc>
        <w:tc>
          <w:tcPr>
            <w:tcW w:w="2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6"/>
              </w:rPr>
              <w:t>Proceeds 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of Issuance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Liquidation</w:t>
            </w:r>
          </w:p>
        </w:tc>
        <w:tc>
          <w:tcPr>
            <w:tcW w:w="0" w:type="dxa"/>
            <w:vAlign w:val="bottom"/>
          </w:tcPr>
          <w:p>
            <w:pPr>
              <w:spacing w:after="0"/>
              <w:rPr>
                <w:sz w:val="1"/>
                <w:szCs w:val="1"/>
                <w:color w:val="auto"/>
              </w:rPr>
            </w:pPr>
          </w:p>
        </w:tc>
      </w:t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Convertible Preferred Stock:</w:t>
            </w: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Authorized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Preference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35,377,556</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88"/>
              </w:rPr>
              <w:t>34,349,894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B</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8"/>
              </w:rPr>
              <w:t>27,081,680</w:t>
            </w:r>
          </w:p>
        </w:tc>
        <w:tc>
          <w:tcPr>
            <w:tcW w:w="18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8"/>
              </w:rPr>
              <w:t>27,081,680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convertible preferred stock</w:t>
            </w:r>
          </w:p>
        </w:tc>
        <w:tc>
          <w:tcPr>
            <w:tcW w:w="11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8"/>
              </w:rPr>
              <w:t>62,459,236</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88"/>
              </w:rPr>
              <w:t>61,431,574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107,552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liquidation preference consists of the liquidation preference on the outstanding shares of the convertible preferred stock and the dividends in arrears on such shares in the amount of $159,000 and $4.0 million as of December 31, 2012 and 2013.</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provisions of the convertible preferred stock are as follows:</w:t>
      </w:r>
    </w:p>
    <w:p>
      <w:pPr>
        <w:spacing w:after="0" w:line="50" w:lineRule="exact"/>
        <w:rPr>
          <w:sz w:val="20"/>
          <w:szCs w:val="20"/>
          <w:color w:val="auto"/>
        </w:rPr>
      </w:pPr>
    </w:p>
    <w:p>
      <w:pPr>
        <w:ind w:left="520"/>
        <w:spacing w:after="0" w:line="250"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—When and as declared by the Company’s Board of Directors, the holders of the Series A convertible preferred stock (Series A)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B convertible preferred stock (Series B), collectively referred to as “Preferred Stock,” are entitled to receive dividends, out of any assets legally available therefor, prior and in preference to the declaration or payment of any dividend on the common stock or other securities and rights convertible of the Company, at the rate of $0.062 per share per annum, payable in the form of cash or property or, upon conversion of the preferred stock to common stock, payable in cash. Prior to the issuance of the Series B in December 2012, the Company was able to pay dividends in cash or additional shares of Series A. Such dividends shall accrue on each share from the date of issuance of such share, and shall accrue from day to day, whether or not earned or declared, and whether or not there are profits, surplus, shares, or other funds legally available for the payment of such dividends. Such dividends shall be cumulative so that, except as provided below, if such dividends in respect of any previous or current annual dividend period, at the annual rate specified above, shall not have been paid, the deficiency shall first be fully paid before any dividend or other distribution shall be paid on or declared and set apart for the common stock. Any accumulation of dividends on the Preferred Stock shall not bear interest. Cumulative dividends with respect to a share of Preferred Stock that are accrued, payable, and/or in arrears shall, upon conversion of such share to common stock, be paid to the extent assets are legally available therefor, and any amounts for which assets are not legally available shall be paid promptly as assets become legally available therefor. Any partial payment shall be made ratably among the holders of Preferred Stock in proportion to the payment each such holder would receive if the full amount of such dividends were paid. After dividends have been paid to the holders of the preferred stock, any additional dividends shall be paid among the holders of the preferred stock and common stock then outstanding in proportion to the greatest whole number of shares of common stock held (assuming conversion of Preferred Stock).</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2012, $2,070,000 of preferred stock dividends were declared and paid to holders of Series A in the form of additional shares of Series A.</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Dividends in arrears as of December 31, 2012 and 2013 totaled $159,000 and $4.0 million, respectively, for both series of preferred stock.</w:t>
      </w:r>
    </w:p>
    <w:p>
      <w:pPr>
        <w:spacing w:after="0" w:line="59" w:lineRule="exact"/>
        <w:rPr>
          <w:sz w:val="20"/>
          <w:szCs w:val="20"/>
          <w:color w:val="auto"/>
        </w:rPr>
      </w:pPr>
    </w:p>
    <w:p>
      <w:pPr>
        <w:ind w:left="520" w:right="100"/>
        <w:spacing w:after="0" w:line="258"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—In the event of any liquidation, dissolution, or winding up of the Company, either voluntary or involuntary, the holders of Series A and</w:t>
      </w:r>
      <w:r>
        <w:rPr>
          <w:rFonts w:ascii="Arial" w:cs="Arial" w:eastAsia="Arial" w:hAnsi="Arial"/>
          <w:sz w:val="16"/>
          <w:szCs w:val="16"/>
          <w:i w:val="1"/>
          <w:iCs w:val="1"/>
          <w:color w:val="auto"/>
        </w:rPr>
        <w:t xml:space="preserve"> </w:t>
      </w:r>
      <w:r>
        <w:rPr>
          <w:rFonts w:ascii="Arial" w:cs="Arial" w:eastAsia="Arial" w:hAnsi="Arial"/>
          <w:sz w:val="16"/>
          <w:szCs w:val="16"/>
          <w:color w:val="auto"/>
        </w:rPr>
        <w:t>Series B shall be entitled to receive, on a pari passu basis, prior and in preference to any distribution of any of the assets of this Corporation to the holders of common stock by reason of their ownership thereof, an amount per share equal to the sum of $1.034 (the Original Series A Issue Price) for each outstanding share of Series A (subject to adjustment for recapitalizations) and $2.769 (the Original Series B Issue Price) for each outstanding share of Series B (subject to adjustment for recapitalizations) and an amount equal to all declared or accrued but unpaid dividends on such shares. If available assets are insufficient to pay the full liquidation preference, the available assets will be distributed ratably among the holders of preferred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121" w:right="2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30" w:lineRule="exact"/>
        <w:rPr>
          <w:sz w:val="20"/>
          <w:szCs w:val="20"/>
          <w:color w:val="auto"/>
        </w:rPr>
      </w:pPr>
    </w:p>
    <w:p>
      <w:pPr>
        <w:ind w:left="520" w:right="20"/>
        <w:spacing w:after="0" w:line="242" w:lineRule="auto"/>
        <w:rPr>
          <w:sz w:val="20"/>
          <w:szCs w:val="20"/>
          <w:color w:val="auto"/>
        </w:rPr>
      </w:pPr>
      <w:r>
        <w:rPr>
          <w:rFonts w:ascii="Arial" w:cs="Arial" w:eastAsia="Arial" w:hAnsi="Arial"/>
          <w:sz w:val="17"/>
          <w:szCs w:val="17"/>
          <w:color w:val="auto"/>
        </w:rPr>
        <w:t>stock. If there are excess assets to be allocated upon liquidation beyond what is described above, holders of preferred stock and common stock will share in such assets on an as-converted basis. However, the holders of Series A shall not be entitled to further participate in any distribution of the remaining assets of the corporation following the receipt of aggregate distributions equal to $3.102 per share, plus any declared or accrued but unpaid dividends, and the holders of Series B shall not be entitled to further participate in any distribution of the remaining assets of the corporation following the receipt of aggregate distributions equal to $8.308 per share, plus any declared or accrued but unpaid dividends.</w:t>
      </w:r>
    </w:p>
    <w:p>
      <w:pPr>
        <w:spacing w:after="0" w:line="54" w:lineRule="exact"/>
        <w:rPr>
          <w:sz w:val="20"/>
          <w:szCs w:val="20"/>
          <w:color w:val="auto"/>
        </w:rPr>
      </w:pPr>
    </w:p>
    <w:p>
      <w:pPr>
        <w:ind w:left="520"/>
        <w:spacing w:after="0" w:line="287"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—At any time after June 16, 2017, but within 60 days after the receipt by this Corporation of a written request from the holders of not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75% of the then outstanding shares of Series A that all shares of Series A be redeemed, the Company shall, to the extent it may lawfully do so, redeem (the payment date being referred to herein as a Series A Redemption Date) all of the then-outstanding shares of Series A by paying in cash in exchange for the shares of Series A to be redeemed a sum equal to the greater of (i) the original Series A issue price per share of Series A (subject to adjustment for any recapitalizations) plus all declared or accrued but unpaid dividends on such shares and (ii) the then-current fair market value per share of Series A plus all declared or accrued but unpaid dividends on such shares (but only if, and to the extent, such dividends are not reflected in the fair market value) as determined in good faith by the Board of Directors of the Company, and taking into account any independent third-party valuation reasonably requested by the holders of at least 75% of the Series A then outstanding; however, any holder of Series A may elect, by delivery of notice to the Company at least five days prior to the Series A redemption date, not to have such holder’s shares of Series A preferred stock redeemed. As only the passage of time is required for Series A to become redeemable, the Company is accreting the carrying value of Series A to its redemption value over the period from the date of issuance to June 16, 2017 (the earliest redemption date).</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Series B is not redeemable.</w:t>
      </w:r>
    </w:p>
    <w:p>
      <w:pPr>
        <w:spacing w:after="0" w:line="77" w:lineRule="exact"/>
        <w:rPr>
          <w:sz w:val="20"/>
          <w:szCs w:val="20"/>
          <w:color w:val="auto"/>
        </w:rPr>
      </w:pPr>
    </w:p>
    <w:p>
      <w:pPr>
        <w:ind w:left="520" w:right="40"/>
        <w:spacing w:after="0" w:line="273"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—Each holder of shares of preferred stock shall be entitled to the number of votes equal to the number of shares of common stock into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such shares of Preferred Stock could be converted and shall have voting rights and powers equal to the voting rights and powers of the common stock, and shall vote together with the common stock as a single class on an as-converted basis on all matters as to which holders of common stock have the right to vote. So long as at least 3,000,000 shares of Series A remain outstanding, the holders of Series A will be allowed to elect three directors of the Company, the holders of the common stock will be allowed to elect two directors of the Company, and any remaining directors will be elected by the holders of preferred stock and common stock, voting together as a single class.</w:t>
      </w:r>
    </w:p>
    <w:p>
      <w:pPr>
        <w:spacing w:after="0" w:line="43" w:lineRule="exact"/>
        <w:rPr>
          <w:sz w:val="20"/>
          <w:szCs w:val="20"/>
          <w:color w:val="auto"/>
        </w:rPr>
      </w:pPr>
    </w:p>
    <w:p>
      <w:pPr>
        <w:ind w:left="520" w:right="140"/>
        <w:spacing w:after="0" w:line="272"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—Each share of preferred stock, at the option of the holder, is convertible into common stock determined by dividing the Original Series</w:t>
      </w:r>
      <w:r>
        <w:rPr>
          <w:rFonts w:ascii="Arial" w:cs="Arial" w:eastAsia="Arial" w:hAnsi="Arial"/>
          <w:sz w:val="17"/>
          <w:szCs w:val="17"/>
          <w:i w:val="1"/>
          <w:iCs w:val="1"/>
          <w:color w:val="auto"/>
        </w:rPr>
        <w:t xml:space="preserve"> </w:t>
      </w:r>
      <w:r>
        <w:rPr>
          <w:rFonts w:ascii="Arial" w:cs="Arial" w:eastAsia="Arial" w:hAnsi="Arial"/>
          <w:sz w:val="17"/>
          <w:szCs w:val="17"/>
          <w:color w:val="auto"/>
        </w:rPr>
        <w:t>A issue price or Original Series B issue price, as applicable, by the conversion price applicable to such share in effect on the date the certificate is surrendered for conversion, subject to certain provisions for adjustment of the conversion price. Conversion of each share of preferred stock is automatic upon the closing of a firm commitment underwritten public offering with aggregate proceeds of not less than $30.0 million (before deduction of underwriting discounts and commissions) or the agreement or written consent of holders of at least seventy-five percent (75%) of the then-outstanding shares of preferred stock. In connection with the reverse split which was effective on January 17, 2014, all shares of preferred stock were convertible into common stock on a 3.1345-for-one basis.</w:t>
      </w:r>
    </w:p>
    <w:p>
      <w:pPr>
        <w:spacing w:after="0" w:line="228"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7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2011 Equity Incentive Plan</w:t>
      </w:r>
    </w:p>
    <w:p>
      <w:pPr>
        <w:spacing w:after="0" w:line="8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2011, the Company adopted the 2011 Equity Incentive Plan (the 2011 Plan). The 2011 Plan provides for the granting of stock-based awards to employees, directors, and consultants under terms and provisions established by the Board of Directors. Under the terms of the 2011 Plan, options may be granted at an exercise price not less than fair market value. For employees holding more than 10% of the voting rights of all classes of stock, the exercise prices for incentive and nonstatutory stock options must be at least 110% of fair market of the common stock on the grant date, as determined by the Board of Directors. The terms of options granted under the 2011 Plan may not exceed ten years.</w:t>
      </w:r>
    </w:p>
    <w:p>
      <w:pPr>
        <w:spacing w:after="0" w:line="3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Options granted generally vest over a period of four years. Typically, the vesting schedule for option grants to newly hired employees provides that 1/4 of the grant vests upon the first anniversary of the employee’s date of hire, with the remainder of the shares vesting monthly thereafter at a rate of 1/48 of the total shares subject to the option. All other options typically vest in equal monthly installments over the four-year vesting schedule.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1"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4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60" w:type="dxa"/>
            <w:vAlign w:val="bottom"/>
            <w:gridSpan w:val="7"/>
          </w:tcPr>
          <w:p>
            <w:pPr>
              <w:jc w:val="right"/>
              <w:ind w:right="620"/>
              <w:spacing w:after="0"/>
              <w:rPr>
                <w:sz w:val="20"/>
                <w:szCs w:val="20"/>
                <w:color w:val="auto"/>
              </w:rPr>
            </w:pPr>
            <w:r>
              <w:rPr>
                <w:rFonts w:ascii="Arial" w:cs="Arial" w:eastAsia="Arial" w:hAnsi="Arial"/>
                <w:sz w:val="18"/>
                <w:szCs w:val="18"/>
                <w:color w:val="auto"/>
                <w:w w:val="91"/>
              </w:rPr>
              <w:t>A summary of activity under the 2011 Plan and related information are as follows: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Options Outstanding</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Shares Available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for Grant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rPr>
              <w:t>(In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Outstanding — December 31, 2010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Shares reserved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2,378,684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(1,451,580)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1,451,580</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Outstanding — December 31, 2011</w:t>
            </w: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927,104</w:t>
            </w:r>
          </w:p>
        </w:tc>
        <w:tc>
          <w:tcPr>
            <w:tcW w:w="1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reserved</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1,377,836</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(499,278)</w:t>
            </w:r>
          </w:p>
        </w:tc>
        <w:tc>
          <w:tcPr>
            <w:tcW w:w="1040" w:type="dxa"/>
            <w:vAlign w:val="bottom"/>
          </w:tcPr>
          <w:p>
            <w:pPr>
              <w:jc w:val="right"/>
              <w:spacing w:after="0"/>
              <w:rPr>
                <w:sz w:val="20"/>
                <w:szCs w:val="20"/>
                <w:color w:val="auto"/>
              </w:rPr>
            </w:pPr>
            <w:r>
              <w:rPr>
                <w:rFonts w:ascii="Arial" w:cs="Arial" w:eastAsia="Arial" w:hAnsi="Arial"/>
                <w:sz w:val="18"/>
                <w:szCs w:val="18"/>
                <w:color w:val="auto"/>
              </w:rPr>
              <w:t>499,278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(420,308)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9,583</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2012</w:t>
            </w:r>
          </w:p>
        </w:tc>
        <w:tc>
          <w:tcPr>
            <w:tcW w:w="1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1,815,245</w:t>
            </w:r>
          </w:p>
        </w:tc>
        <w:tc>
          <w:tcPr>
            <w:tcW w:w="1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1,520,967</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3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(1,267,797)</w:t>
            </w:r>
          </w:p>
        </w:tc>
        <w:tc>
          <w:tcPr>
            <w:tcW w:w="1040" w:type="dxa"/>
            <w:vAlign w:val="bottom"/>
          </w:tcPr>
          <w:p>
            <w:pPr>
              <w:jc w:val="right"/>
              <w:spacing w:after="0"/>
              <w:rPr>
                <w:sz w:val="20"/>
                <w:szCs w:val="20"/>
                <w:color w:val="auto"/>
              </w:rPr>
            </w:pPr>
            <w:r>
              <w:rPr>
                <w:rFonts w:ascii="Arial" w:cs="Arial" w:eastAsia="Arial" w:hAnsi="Arial"/>
                <w:sz w:val="18"/>
                <w:szCs w:val="18"/>
                <w:color w:val="auto"/>
              </w:rPr>
              <w:t>1,267,797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(307,366)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252,515</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(252,515)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799,963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2,228,883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3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19,468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ind w:left="60"/>
              <w:spacing w:after="0"/>
              <w:rPr>
                <w:sz w:val="20"/>
                <w:szCs w:val="20"/>
                <w:color w:val="auto"/>
              </w:rPr>
            </w:pPr>
            <w:r>
              <w:rPr>
                <w:rFonts w:ascii="Arial" w:cs="Arial" w:eastAsia="Arial" w:hAnsi="Arial"/>
                <w:sz w:val="18"/>
                <w:szCs w:val="18"/>
                <w:color w:val="auto"/>
              </w:rPr>
              <w:t>Vested and exercisable — December 31, 2013</w:t>
            </w: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80" w:type="dxa"/>
            <w:vAlign w:val="bottom"/>
            <w:vMerge w:val="restart"/>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7.98</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4,149</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352,894</w:t>
            </w:r>
          </w:p>
        </w:tc>
        <w:tc>
          <w:tcPr>
            <w:tcW w:w="12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78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90"/>
              </w:rPr>
              <w:t>Vested and expected to vest — December 31, 2013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2,214,466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gridSpan w:val="2"/>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CFF0FC"/>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CFF0FC"/>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8.88</w:t>
            </w:r>
          </w:p>
        </w:tc>
        <w:tc>
          <w:tcPr>
            <w:tcW w:w="300" w:type="dxa"/>
            <w:vAlign w:val="bottom"/>
            <w:tcBorders>
              <w:top w:val="single" w:sz="8" w:color="CFF0FC"/>
              <w:bottom w:val="single" w:sz="8" w:color="CFF0FC"/>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19,504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aggregate intrinsic values of options outstanding, vested and exercisable, and vested and expected to vest were calculated as the difference between the exercise price of the options and the estimated fair value of the Company’s common stock as determined by the Company’s Board of Directors as of December 31, 2013. The total intrinsic value of options exercised during the years ended December 31, 2011, 2012, 2013 and for the period from April 22, 2010 (Inception) through December 31, 2013 was $0, $211,000, $1.0 million and $1.2 million respectively.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options outstanding and exercisable by exercise price as of December 31, 2013 are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4"/>
          </w:tcPr>
          <w:p>
            <w:pPr>
              <w:ind w:left="44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Numbers</w:t>
            </w:r>
          </w:p>
        </w:tc>
        <w:tc>
          <w:tcPr>
            <w:tcW w:w="16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Contractual Term</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34"/>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Years)</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60" w:type="dxa"/>
            <w:vAlign w:val="bottom"/>
          </w:tcPr>
          <w:p>
            <w:pPr>
              <w:spacing w:after="0"/>
              <w:rPr>
                <w:sz w:val="20"/>
                <w:szCs w:val="20"/>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Years)</w:t>
            </w:r>
          </w:p>
        </w:tc>
      </w:tr>
      <w:tr>
        <w:trPr>
          <w:trHeight w:val="210"/>
        </w:trPr>
        <w:tc>
          <w:tcPr>
            <w:tcW w:w="20" w:type="dxa"/>
            <w:vAlign w:val="bottom"/>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$0.31</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767,629</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$0.81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352,927</w:t>
            </w:r>
          </w:p>
        </w:tc>
        <w:tc>
          <w:tcPr>
            <w:tcW w:w="1540" w:type="dxa"/>
            <w:vAlign w:val="bottom"/>
            <w:gridSpan w:val="2"/>
          </w:tcPr>
          <w:p>
            <w:pPr>
              <w:jc w:val="right"/>
              <w:ind w:right="39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0.81</w:t>
            </w:r>
          </w:p>
        </w:tc>
        <w:tc>
          <w:tcPr>
            <w:tcW w:w="1540" w:type="dxa"/>
            <w:vAlign w:val="bottom"/>
            <w:gridSpan w:val="2"/>
          </w:tcPr>
          <w:p>
            <w:pPr>
              <w:jc w:val="right"/>
              <w:ind w:right="39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$1.82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288,761</w:t>
            </w:r>
          </w:p>
        </w:tc>
        <w:tc>
          <w:tcPr>
            <w:tcW w:w="15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9.32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$4.07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54,234</w:t>
            </w:r>
          </w:p>
        </w:tc>
        <w:tc>
          <w:tcPr>
            <w:tcW w:w="1540" w:type="dxa"/>
            <w:vAlign w:val="bottom"/>
            <w:gridSpan w:val="2"/>
          </w:tcPr>
          <w:p>
            <w:pPr>
              <w:jc w:val="right"/>
              <w:ind w:right="390"/>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$6.86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519,683</w:t>
            </w:r>
          </w:p>
        </w:tc>
        <w:tc>
          <w:tcPr>
            <w:tcW w:w="15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$11.19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245,649</w:t>
            </w:r>
          </w:p>
        </w:tc>
        <w:tc>
          <w:tcPr>
            <w:tcW w:w="1540" w:type="dxa"/>
            <w:vAlign w:val="bottom"/>
            <w:gridSpan w:val="2"/>
          </w:tcPr>
          <w:p>
            <w:pPr>
              <w:jc w:val="right"/>
              <w:ind w:right="390"/>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2,228,883</w:t>
            </w:r>
          </w:p>
        </w:tc>
        <w:tc>
          <w:tcPr>
            <w:tcW w:w="1540" w:type="dxa"/>
            <w:vAlign w:val="bottom"/>
            <w:tcBorders>
              <w:top w:val="single" w:sz="8" w:color="CCEEFF"/>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540" w:type="dxa"/>
            <w:vAlign w:val="bottom"/>
            <w:tcBorders>
              <w:top w:val="single" w:sz="8" w:color="CCEEFF"/>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5"/>
              </w:rPr>
              <w:t>7.98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8"/>
        <w:spacing w:after="0" w:line="325" w:lineRule="auto"/>
        <w:rPr>
          <w:sz w:val="20"/>
          <w:szCs w:val="20"/>
          <w:color w:val="auto"/>
        </w:rPr>
      </w:pPr>
      <w:r>
        <w:rPr>
          <w:rFonts w:ascii="Arial" w:cs="Arial" w:eastAsia="Arial" w:hAnsi="Arial"/>
          <w:sz w:val="16"/>
          <w:szCs w:val="16"/>
          <w:color w:val="auto"/>
        </w:rPr>
        <w:t>The weighted-average estimated fair value of stock options granted was $0.34, $0.47, $3.82 and $1.73 per share of the Company’s common stock during the years ended December 31, 2011, 2012, 2013 and for the period from April 22, 2010 (Inception) through December 31, 2013, respectively.</w:t>
      </w:r>
    </w:p>
    <w:p>
      <w:pPr>
        <w:spacing w:after="0" w:line="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total estimated fair value of options vested during the years ended December 31, 2011, 2012 and 2013 and for the period from April 22, 2010 (Inception) through December 31, 2013 was $6,000, $172,000, $127,000 and $305,000,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1"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Incentive Plan</w:t>
      </w:r>
    </w:p>
    <w:p>
      <w:pPr>
        <w:spacing w:after="0" w:line="9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January 2014, the Company adopted the 2014 Incentive Plan (the 2014 Plan) which became effective upon the closing of our IPO in February 2014 as detailed in Note 15 “Subsequent Events.” The 2014 Plan had 2,250,000 shares of common stock available for future issuance at the time of its inception, which included 655,038 shares available under the 2011 Plan which were transferred to the 2014 Plan upon adoption of the 2014 Plan. The 2014 Plan provides for automatic annual increases in shares available for grant, beginning on January 1, 2015 through January 1, 2024. The 2014 Plan provides for the granting of stock-based awards to employees, directors, and consultants under similar terms, conditions and provisions as the 2011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January 2014, the Company adopted the 2014 Employee Stock Purchase Plan (the ESPP) which became effective upon the closing of our IPO in February 2014 as detailed in Note 15 “Subsequent Events.” The Company reserved a total of 600,000 shares of common stock for issuance under the ESPP. Eligible employees may purchase common stock at 85% of the lesser of the fair market value of common stock on the first or last day of the purchase period. The ESPP provides for automatic annual increases in shares available for grant, beginning on January 1, 2015 through January 1, 2024. The Company has not determined the date on which the initial purchase period will commence under the ESPP.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 Stock</w:t>
      </w:r>
    </w:p>
    <w:p>
      <w:pPr>
        <w:spacing w:after="0" w:line="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connection with the Series A preferred stock financing, the Company entered into a stock repurchase agreement with the founder on June 16, 2011, whereby 2,552,241 shares of common stock previously owned by the founder were subject to repurchase by the Company at the original issuance price in the event that the founder’s employment is terminated either voluntarily or involuntarily. The repurchase rights lapsed over a period of two years from June 16, 2011. The Company calculated the estimated fair value of these restricted shares at the time the restriction was added to the shares as $1,199,000 and recorded this amount as stock-based compensation ratably over the period that the repurchase rights lapsed. Stock-based compensation expense pertaining to the founder’s stock was $218,000, $713,000, $268,000 and $1,199,000 during the years ended December 31, 2011, 2012 and 2013 and for the period from April 22, 2010 (Inception) through December 31,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recognized was as follows (in thousands):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April 22, 2010</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w w:val="89"/>
              </w:rPr>
              <w:t>Year Ended December 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r>
              <w:rPr>
                <w:rFonts w:ascii="Arial" w:cs="Arial" w:eastAsia="Arial" w:hAnsi="Arial"/>
                <w:sz w:val="18"/>
                <w:szCs w:val="18"/>
                <w:color w:val="auto"/>
                <w:w w:val="88"/>
              </w:rPr>
              <w:t>,</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226</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254</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 of December 31, 2013, the total unrecognized compensation expense related to unvested options, net of estimated forfeitures, was $4.8 million, which the Company expects to recognize over an estimated weighted-average period of 2.7 years.</w:t>
      </w:r>
    </w:p>
    <w:p>
      <w:pPr>
        <w:spacing w:after="0" w:line="2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In determining the estimated fair value of the stock-based awards, the Company uses the Black-Scholes option-pricing model and assumptions discussed below. Each of these inputs is subjective and generally requires significant judgment to determine.</w:t>
      </w:r>
    </w:p>
    <w:p>
      <w:pPr>
        <w:spacing w:after="0" w:line="22" w:lineRule="exact"/>
        <w:rPr>
          <w:sz w:val="20"/>
          <w:szCs w:val="20"/>
          <w:color w:val="auto"/>
        </w:rPr>
      </w:pPr>
    </w:p>
    <w:p>
      <w:pPr>
        <w:ind w:left="520" w:right="300"/>
        <w:spacing w:after="0" w:line="334"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Company’s expected term represents the period that the Company’s stock-based awards are expected to be outstanding and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using the simplified method (based on the mid-point between the vesting date and the end of the contractual term).</w:t>
      </w:r>
    </w:p>
    <w:p>
      <w:pPr>
        <w:spacing w:after="0" w:line="1" w:lineRule="exact"/>
        <w:rPr>
          <w:sz w:val="20"/>
          <w:szCs w:val="20"/>
          <w:color w:val="auto"/>
        </w:rPr>
      </w:pPr>
    </w:p>
    <w:p>
      <w:pPr>
        <w:ind w:left="520"/>
        <w:spacing w:after="0" w:line="271"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the Company was privately held and did not have any trading history for its common stock for all periods presented,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volatility was estimated based on the average volatility for comparable publicly traded biopharmaceutical companies over a period equal to the expected term of the stock option grants. When selecting comparable publicly traded biopharmaceutical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43" w:lineRule="exact"/>
        <w:rPr>
          <w:sz w:val="20"/>
          <w:szCs w:val="20"/>
          <w:color w:val="auto"/>
        </w:rPr>
      </w:pPr>
    </w:p>
    <w:p>
      <w:pPr>
        <w:ind w:left="520" w:right="74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3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an expected dividend yield of zero.</w:t>
      </w:r>
    </w:p>
    <w:p>
      <w:pPr>
        <w:spacing w:after="0" w:line="2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fair value of stock option awards was estimated at the date of grant using a Black-Scholes option-pricing model with the following weighted-average assumptions:</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April 22, 2010</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Through</w:t>
            </w: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460" w:type="dxa"/>
            <w:vAlign w:val="bottom"/>
            <w:gridSpan w:val="6"/>
          </w:tcPr>
          <w:p>
            <w:pPr>
              <w:ind w:left="660"/>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6.25 years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6.25 years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6.25 years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6.25 years</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center"/>
              <w:ind w:right="160"/>
              <w:spacing w:after="0" w:line="201" w:lineRule="exact"/>
              <w:rPr>
                <w:sz w:val="20"/>
                <w:szCs w:val="20"/>
                <w:color w:val="auto"/>
              </w:rPr>
            </w:pPr>
            <w:r>
              <w:rPr>
                <w:rFonts w:ascii="Arial" w:cs="Arial" w:eastAsia="Arial" w:hAnsi="Arial"/>
                <w:sz w:val="18"/>
                <w:szCs w:val="18"/>
                <w:color w:val="auto"/>
                <w:w w:val="92"/>
              </w:rPr>
              <w:t>0.71% to</w:t>
            </w: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0.61% to 1.63%</w:t>
            </w:r>
          </w:p>
        </w:tc>
      </w:tr>
    </w:tbl>
    <w:p>
      <w:pPr>
        <w:spacing w:after="0" w:line="252"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March 2013, the Company began to sponsor a 401(k) retirement plan, in which substantially all of its full-time employees are eligible to participate. Eligible participants may contribute a percentage of their annual compensation to this plan, subject to statutory limitations. The Company did not provide any contributions during the year ended December 31, 2013.</w:t>
      </w:r>
    </w:p>
    <w:p>
      <w:pPr>
        <w:spacing w:after="0" w:line="231"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did not record a provision or benefit for income taxes during the years ended December 31, 2012 and 2013. The Company has incurred net operating losses since inception. The Company has not reflected any benefit of such net operating loss carryforwards in the accompanying financial statements. The Company has established a full valuation allowance against its deferred tax assets due to the uncertainty surrounding the realization of such assets.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100"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Nondeductible permanent items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 of temporary differences that give rise to significant portions of the deferred tax assets is presented below (in thousands):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9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980" w:type="dxa"/>
            <w:vAlign w:val="bottom"/>
            <w:gridSpan w:val="2"/>
          </w:tcPr>
          <w:p>
            <w:pPr>
              <w:jc w:val="right"/>
              <w:ind w:right="8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6,186</w:t>
            </w:r>
          </w:p>
        </w:tc>
        <w:tc>
          <w:tcPr>
            <w:tcW w:w="120" w:type="dxa"/>
            <w:vAlign w:val="bottom"/>
          </w:tcPr>
          <w:p>
            <w:pPr>
              <w:spacing w:after="0"/>
              <w:rPr>
                <w:sz w:val="18"/>
                <w:szCs w:val="18"/>
                <w:color w:val="auto"/>
              </w:rPr>
            </w:pPr>
          </w:p>
        </w:tc>
        <w:tc>
          <w:tcPr>
            <w:tcW w:w="118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credits</w:t>
            </w:r>
          </w:p>
        </w:tc>
        <w:tc>
          <w:tcPr>
            <w:tcW w:w="19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9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Valuation allowance</w:t>
            </w: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(10,077)</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(25,700)</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92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80" w:type="dxa"/>
            <w:vAlign w:val="bottom"/>
            <w:gridSpan w:val="2"/>
          </w:tcPr>
          <w:p>
            <w:pPr>
              <w:jc w:val="right"/>
              <w:ind w:right="1675"/>
              <w:spacing w:after="0"/>
              <w:rPr>
                <w:sz w:val="20"/>
                <w:szCs w:val="20"/>
                <w:color w:val="auto"/>
              </w:rPr>
            </w:pPr>
            <w:r>
              <w:rPr>
                <w:rFonts w:ascii="Arial" w:cs="Arial" w:eastAsia="Arial" w:hAnsi="Arial"/>
                <w:sz w:val="18"/>
                <w:szCs w:val="18"/>
                <w:color w:val="auto"/>
              </w:rPr>
              <w:t>F-22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104" w:name="page105"/>
    <w:bookmarkEnd w:id="104"/>
    <w:p>
      <w:pPr>
        <w:jc w:val="center"/>
        <w:ind w:right="-7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76"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Additionally, the future utilization of the net operating loss carryforwards to offset future taxable income may be subject to an annual limitation, pursuant to Internal Revenue Code Section 382, as a result of ownership changes that may have occurred previously or that could occur in the future. A Section 382 analysis to determine the limitation of the net operating loss carryforwards has not been performed. Until this analysis has been performed, the deferred tax assets for net operating losses of $725,000 generated through December 31, 2013 have been removed from the deferred tax asset schedule and a corresponding decrease to the valuation allowance has been recorded. This represents the amount estimated to expire before utilization, assuming a change in ownership has occurred. The Company recorded unrecognized tax benefits for uncertainty in income taxes. Due to the existence of the valuation allowance, future changes in unrecognized tax benefits will not impact the effective tax rate. The valuation allowance increased by $7.5 million, $15.5 million and $25.7 million during the year ended December 31, 2012 and 2013 and for the period from April 22, 2010 (Inception) through December 31, 2013, respectively.</w:t>
      </w:r>
    </w:p>
    <w:p>
      <w:pPr>
        <w:spacing w:after="0" w:line="1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As of December 31, 2012 and 2013, the Company had approximately $14.9 million and $39.4 million of federal net operating loss carryforwards available to reduce future taxable income that will begin to expire in 2030 for federal tax purposes. As of December 31, 2012 and 2013, the Company had approximately $19.3 million and $50.8 million of state NOL carryforwards available to reduce future taxable income that will begin to expire in 2030 for state tax purposes.</w:t>
      </w: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of December 31, 2012 and 2013, the Company also had research and development tax credit carryforwards of approximately $152,000 and</w:t>
      </w:r>
    </w:p>
    <w:p>
      <w:pPr>
        <w:spacing w:after="0" w:line="35"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$464,000 for federal purposes and $296,000 and $586,000 for state purposes, respectively, available to offset future regular and alternative minimum taxable income. If not utilized, the federal carryforwards will expire in various amounts beginning in 2030, and the state credits can be carried forward indefinitely.</w:t>
      </w:r>
    </w:p>
    <w:p>
      <w:pPr>
        <w:spacing w:after="0" w:line="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On January 2, 2013, the American Taxpayer Relief Act of 2012 (the Act) was passed in to law. The Act included a retroactive extension of the U.S. research credit for 2012. Since the effects of the tax law changes are recognized in the first period the Company recognized $12,000 of additional research credits as a discrete item during 2013. The tax effects of the research credits will be offset by a valuation allowance and will not impact the financial statements.</w:t>
      </w:r>
    </w:p>
    <w:p>
      <w:pPr>
        <w:spacing w:after="0" w:line="3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As of December 31, 2012 and 2013, the Company had an Orphan Drug Credit of approximately $4.8 million and $11.6 million for federal tax purposes available to offset future regular and alternative minimum tax.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the Company’s unrecognized tax benefits for the years ended December 31, 2012 and 2013 is as follows (in thousands):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w w:val="99"/>
              </w:rPr>
              <w:t>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6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(reductions) for tax positions of prior years</w:t>
            </w:r>
          </w:p>
        </w:tc>
        <w:tc>
          <w:tcPr>
            <w:tcW w:w="62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620" w:type="dxa"/>
            <w:vAlign w:val="bottom"/>
          </w:tcPr>
          <w:p>
            <w:pPr>
              <w:spacing w:after="0"/>
              <w:rPr>
                <w:sz w:val="18"/>
                <w:szCs w:val="18"/>
                <w:color w:val="auto"/>
              </w:rPr>
            </w:pPr>
          </w:p>
        </w:tc>
        <w:tc>
          <w:tcPr>
            <w:tcW w:w="1140" w:type="dxa"/>
            <w:vAlign w:val="bottom"/>
            <w:tcBorders>
              <w:bottom w:val="single" w:sz="8" w:color="auto"/>
            </w:tcBorders>
          </w:tcPr>
          <w:p>
            <w:pPr>
              <w:jc w:val="right"/>
              <w:ind w:right="9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2012 and 2013,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3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files income tax returns in the U.S. federal and California tax jurisdictions. The federal and state income tax returns from inception to December 31, 2013 remain subject to examination.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40"/>
          </w:cols>
          <w:pgMar w:left="240" w:top="121"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7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computation of the basic and diluted net loss per share attributable to common stockholders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2012 and 2013 (in thousands, except share and per share data):</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(16,334)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(35,070)</w:t>
            </w: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and dividends on convertible preferred stock</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(15,219)</w:t>
            </w: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(50,289)</w:t>
            </w:r>
          </w:p>
        </w:tc>
        <w:tc>
          <w:tcPr>
            <w:tcW w:w="100" w:type="dxa"/>
            <w:vAlign w:val="bottom"/>
            <w:tcBorders>
              <w:bottom w:val="single" w:sz="8" w:color="CFF0FC"/>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3,008,880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3,118,798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3,583,522</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Less: weighted-average unvested common shares subject to</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repurchase</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(1,391,496)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(1,741,591)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(201,033)</w:t>
            </w:r>
          </w:p>
        </w:tc>
      </w:tr>
      <w:tr>
        <w:trPr>
          <w:trHeight w:val="195"/>
        </w:trPr>
        <w:tc>
          <w:tcPr>
            <w:tcW w:w="2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w w:val="99"/>
              </w:rPr>
              <w:t>Weighted-average shares used to compute net loss per share</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attributable to common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1,617,384</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1,377,207</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3,382,489</w:t>
            </w:r>
          </w:p>
        </w:tc>
        <w:tc>
          <w:tcPr>
            <w:tcW w:w="100" w:type="dxa"/>
            <w:vAlign w:val="bottom"/>
            <w:tcBorders>
              <w:bottom w:val="single" w:sz="8" w:color="CFF0FC"/>
            </w:tcBorders>
          </w:tcPr>
          <w:p>
            <w:pPr>
              <w:spacing w:after="0"/>
              <w:rPr>
                <w:sz w:val="23"/>
                <w:szCs w:val="23"/>
                <w:color w:val="auto"/>
              </w:rPr>
            </w:pPr>
          </w:p>
        </w:tc>
      </w:tr>
      <w:tr>
        <w:trPr>
          <w:trHeight w:val="182"/>
        </w:trPr>
        <w:tc>
          <w:tcPr>
            <w:tcW w:w="20" w:type="dxa"/>
            <w:vAlign w:val="bottom"/>
          </w:tcPr>
          <w:p>
            <w:pPr>
              <w:spacing w:after="0"/>
              <w:rPr>
                <w:sz w:val="15"/>
                <w:szCs w:val="15"/>
                <w:color w:val="auto"/>
              </w:rPr>
            </w:pPr>
          </w:p>
        </w:tc>
        <w:tc>
          <w:tcPr>
            <w:tcW w:w="4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92"/>
              </w:rPr>
              <w:t>Net loss per share attributable to common stockholders, basic and</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(4.62)</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(14.20)</w:t>
            </w: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(14.87)</w:t>
            </w: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6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weighted-average outstanding common stock equivalents were excluded from the computation of diluted net loss per share attributable to common stockholders for the periods presented because including them would have been antidilutive:</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84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0"/>
              </w:rPr>
              <w:t>Year Ended 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3,124,211</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8,354,772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19,598,486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177,503</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1,563,217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1,666,036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repurchase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1,391,496</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1,741,591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201,033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preferred stock warrants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294,120</w:t>
            </w:r>
          </w:p>
        </w:tc>
        <w:tc>
          <w:tcPr>
            <w:tcW w:w="2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353,459</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353,459</w:t>
            </w:r>
          </w:p>
        </w:tc>
        <w:tc>
          <w:tcPr>
            <w:tcW w:w="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4,987,330</w:t>
            </w: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12,013,039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21,819,014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9460" w:firstLine="8"/>
        <w:spacing w:after="0" w:line="406" w:lineRule="auto"/>
        <w:tabs>
          <w:tab w:leader="none" w:pos="495"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Initial Public Offering</w:t>
      </w:r>
    </w:p>
    <w:p>
      <w:pPr>
        <w:spacing w:after="0" w:line="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January 30, 2014, the Company’s registration statements on Form S-1 (File Nos. 333-192244 and 333-193675) relating to the IPO of its common stock was declared effective by the Securities and Exchange Commission (SEC). The shares began trading on The NASDAQ Select Global Market on January 31, 2014. The public offering price of the shares sold in the offering was $21.00 per share. The IPO closed on February 5, 2014 and included 6,624,423 shares of common stock, which included 864,054 shares of common stock issued pursuant to the over-allotment option granted to the underwriters. The Company received total proceeds from the offering of $129.4 million, net of underwriting discounts and commissions of $9.7 million. After deducting offering expenses of approximately $3.3 million and a cash dividend of $4.3 million which was paid to the preferred stockholders on the closing date, net proceeds were approximately $121.7 million. Upon the closing of the IPO, all shares of Preferred Stock then outstanding converted into 19,598,486 shares of common stock.</w:t>
      </w:r>
    </w:p>
    <w:p>
      <w:pPr>
        <w:spacing w:after="0" w:line="44"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connection with the closing of the IPO, the Preferred Stock warrants were converted into warrants to purchase common stock. The estimated fair value of the preferred stock warrants at the time of close was $6.7 million, which was determined using a Black-Scholes option pricing model. The increase of $3.3 million from the value of the warrants from December 31, 2013 will be recognized as a component of interest and other expense at the time of close of the IPO. Thereafter, the warrants will no longer be subject to remeasurement and will be reclassified from a liability to permanent equity. In addition, the Series A value was adjusted to $55.4 million as a result of $4.4 million of additional accretion to redemption value at the time of closing. The $3.3 million increase in warrant value and $4.4 million in additional accretion on the Series A will be included in the net loss per share calculations attributable to common stockholders in 2014.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Amendment</w:t>
      </w:r>
    </w:p>
    <w:p>
      <w:pPr>
        <w:spacing w:after="0" w:line="9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Effective February 12, 2014, the Company entered into an amendment to its existing lease to obtain additional office and warehouse space. The amendment also provides for an additional tenant improvement allowance of up to $369,000. The amendment to this noncancelable lease commences on May 1, 2014 and extends the term of the entire lease five years from the amendment commencement date. At the end of the amended lease term, the Company has the option to extend the entire lease for two additional consecutive terms of five years. As specified in the amendment, the Company also increased the existing irrevocable letter of credit required by the lease by $293,000 for a total of $594,000. Provided there has been no default on the lease, the Company may reduce the amount of the letter of credit by $75,000 on each anniversary of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32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June 30, 2010, issued to Emil D. Kakkis, M.D., Ph.D.</w:t>
            </w: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February 15, 2011, issued to the John and Cynthia Klock</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Charitable Trust</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February 23, 2011, issued to William E. Aliski</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June 14, 2011, issued to Emil D. Kakkis, M.D., Ph.D.</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June 14, 2011, issued to Emil D. Kakkis, M.D., Ph.D.</w:t>
            </w: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1"/>
              </w:rPr>
              <w:t>Amended and Restated Investors’ Rights Agreement, dated as of December 18, 2012,</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among the Registrant and the investors named therein</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6320" w:type="dxa"/>
            <w:vAlign w:val="bottom"/>
          </w:tcPr>
          <w:p>
            <w:pPr>
              <w:spacing w:after="0"/>
              <w:rPr>
                <w:sz w:val="20"/>
                <w:szCs w:val="20"/>
                <w:color w:val="auto"/>
              </w:rPr>
            </w:pPr>
            <w:r>
              <w:rPr>
                <w:rFonts w:ascii="Arial" w:cs="Arial" w:eastAsia="Arial" w:hAnsi="Arial"/>
                <w:sz w:val="18"/>
                <w:szCs w:val="18"/>
                <w:color w:val="auto"/>
                <w:w w:val="97"/>
              </w:rPr>
              <w:t>Collaboration and License Agreement, dated as of August 29, 2013, between the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Registrant and Kyowa Hakko Kirin Co., Ltd.</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10.2†</w:t>
            </w:r>
          </w:p>
        </w:tc>
        <w:tc>
          <w:tcPr>
            <w:tcW w:w="6320" w:type="dxa"/>
            <w:vAlign w:val="bottom"/>
          </w:tcPr>
          <w:p>
            <w:pPr>
              <w:spacing w:after="0"/>
              <w:rPr>
                <w:sz w:val="20"/>
                <w:szCs w:val="20"/>
                <w:color w:val="auto"/>
              </w:rPr>
            </w:pPr>
            <w:r>
              <w:rPr>
                <w:rFonts w:ascii="Arial" w:cs="Arial" w:eastAsia="Arial" w:hAnsi="Arial"/>
                <w:sz w:val="18"/>
                <w:szCs w:val="18"/>
                <w:color w:val="auto"/>
              </w:rPr>
              <w:t>License Agreement, dated as of March 1, 2011, between the Registrant and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AAIPharma Services Corp.</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10.3†</w:t>
            </w:r>
          </w:p>
        </w:tc>
        <w:tc>
          <w:tcPr>
            <w:tcW w:w="6320" w:type="dxa"/>
            <w:vAlign w:val="bottom"/>
          </w:tcPr>
          <w:p>
            <w:pPr>
              <w:spacing w:after="0"/>
              <w:rPr>
                <w:sz w:val="20"/>
                <w:szCs w:val="20"/>
                <w:color w:val="auto"/>
              </w:rPr>
            </w:pPr>
            <w:r>
              <w:rPr>
                <w:rFonts w:ascii="Arial" w:cs="Arial" w:eastAsia="Arial" w:hAnsi="Arial"/>
                <w:sz w:val="18"/>
                <w:szCs w:val="18"/>
                <w:color w:val="auto"/>
                <w:w w:val="96"/>
              </w:rPr>
              <w:t>License Agreement, dated as of September 20, 2012, between the Registrant and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Baylor Research Institute</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10.4†</w:t>
            </w:r>
          </w:p>
        </w:tc>
        <w:tc>
          <w:tcPr>
            <w:tcW w:w="6320" w:type="dxa"/>
            <w:vAlign w:val="bottom"/>
          </w:tcPr>
          <w:p>
            <w:pPr>
              <w:spacing w:after="0"/>
              <w:rPr>
                <w:sz w:val="20"/>
                <w:szCs w:val="20"/>
                <w:color w:val="auto"/>
              </w:rPr>
            </w:pPr>
            <w:r>
              <w:rPr>
                <w:rFonts w:ascii="Arial" w:cs="Arial" w:eastAsia="Arial" w:hAnsi="Arial"/>
                <w:sz w:val="18"/>
                <w:szCs w:val="18"/>
                <w:color w:val="auto"/>
                <w:w w:val="97"/>
              </w:rPr>
              <w:t>Amendment to the License Agreement, dated as of March 22, 2013, between the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Registrant and Baylor Research Institute</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10.5†</w:t>
            </w:r>
          </w:p>
        </w:tc>
        <w:tc>
          <w:tcPr>
            <w:tcW w:w="6320" w:type="dxa"/>
            <w:vAlign w:val="bottom"/>
          </w:tcPr>
          <w:p>
            <w:pPr>
              <w:spacing w:after="0"/>
              <w:rPr>
                <w:sz w:val="20"/>
                <w:szCs w:val="20"/>
                <w:color w:val="auto"/>
              </w:rPr>
            </w:pPr>
            <w:r>
              <w:rPr>
                <w:rFonts w:ascii="Arial" w:cs="Arial" w:eastAsia="Arial" w:hAnsi="Arial"/>
                <w:sz w:val="18"/>
                <w:szCs w:val="18"/>
                <w:color w:val="auto"/>
                <w:w w:val="92"/>
              </w:rPr>
              <w:t>Exclusive License Agreement, dated as of April 23, 2012, between the Registrant and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HIBM Research Group</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10.6†</w:t>
            </w:r>
          </w:p>
        </w:tc>
        <w:tc>
          <w:tcPr>
            <w:tcW w:w="6320" w:type="dxa"/>
            <w:vAlign w:val="bottom"/>
          </w:tcPr>
          <w:p>
            <w:pPr>
              <w:spacing w:after="0"/>
              <w:rPr>
                <w:sz w:val="20"/>
                <w:szCs w:val="20"/>
                <w:color w:val="auto"/>
              </w:rPr>
            </w:pPr>
            <w:r>
              <w:rPr>
                <w:rFonts w:ascii="Arial" w:cs="Arial" w:eastAsia="Arial" w:hAnsi="Arial"/>
                <w:sz w:val="18"/>
                <w:szCs w:val="18"/>
                <w:color w:val="auto"/>
                <w:w w:val="93"/>
              </w:rPr>
              <w:t>Collaboration and License Agreement, dated as of September 30, 2010, between the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Registrant and Nobelpharma Co., Ltd.</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10.7†</w:t>
            </w:r>
          </w:p>
        </w:tc>
        <w:tc>
          <w:tcPr>
            <w:tcW w:w="6320" w:type="dxa"/>
            <w:vAlign w:val="bottom"/>
          </w:tcPr>
          <w:p>
            <w:pPr>
              <w:spacing w:after="0"/>
              <w:rPr>
                <w:sz w:val="20"/>
                <w:szCs w:val="20"/>
                <w:color w:val="auto"/>
              </w:rPr>
            </w:pPr>
            <w:r>
              <w:rPr>
                <w:rFonts w:ascii="Arial" w:cs="Arial" w:eastAsia="Arial" w:hAnsi="Arial"/>
                <w:sz w:val="18"/>
                <w:szCs w:val="18"/>
                <w:color w:val="auto"/>
                <w:w w:val="94"/>
              </w:rPr>
              <w:t>License Agreement, dated as of September 1, 2012, between the Registrant and St.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Jude Children’s Research Hospital</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10.8†</w:t>
            </w:r>
          </w:p>
        </w:tc>
        <w:tc>
          <w:tcPr>
            <w:tcW w:w="6320" w:type="dxa"/>
            <w:vAlign w:val="bottom"/>
          </w:tcPr>
          <w:p>
            <w:pPr>
              <w:spacing w:after="0"/>
              <w:rPr>
                <w:sz w:val="20"/>
                <w:szCs w:val="20"/>
                <w:color w:val="auto"/>
              </w:rPr>
            </w:pPr>
            <w:r>
              <w:rPr>
                <w:rFonts w:ascii="Arial" w:cs="Arial" w:eastAsia="Arial" w:hAnsi="Arial"/>
                <w:sz w:val="18"/>
                <w:szCs w:val="18"/>
                <w:color w:val="auto"/>
                <w:w w:val="90"/>
              </w:rPr>
              <w:t>Exclusive License Agreement, dated as of November 22, 2010, between the Registrant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and Saint Louis University</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10.9†</w:t>
            </w:r>
          </w:p>
        </w:tc>
        <w:tc>
          <w:tcPr>
            <w:tcW w:w="6320" w:type="dxa"/>
            <w:vAlign w:val="bottom"/>
          </w:tcPr>
          <w:p>
            <w:pPr>
              <w:spacing w:after="0"/>
              <w:rPr>
                <w:sz w:val="20"/>
                <w:szCs w:val="20"/>
                <w:color w:val="auto"/>
              </w:rPr>
            </w:pPr>
            <w:r>
              <w:rPr>
                <w:rFonts w:ascii="Arial" w:cs="Arial" w:eastAsia="Arial" w:hAnsi="Arial"/>
                <w:sz w:val="18"/>
                <w:szCs w:val="18"/>
                <w:color w:val="auto"/>
                <w:w w:val="98"/>
              </w:rPr>
              <w:t>Supply Agreement, dated as of November 19, 2012, between the Registrant and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CREMER OLEO GmbH &amp; Co KG</w:t>
            </w: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10.10†</w:t>
            </w:r>
          </w:p>
        </w:tc>
        <w:tc>
          <w:tcPr>
            <w:tcW w:w="6320" w:type="dxa"/>
            <w:vAlign w:val="bottom"/>
          </w:tcPr>
          <w:p>
            <w:pPr>
              <w:spacing w:after="0"/>
              <w:rPr>
                <w:sz w:val="20"/>
                <w:szCs w:val="20"/>
                <w:color w:val="auto"/>
              </w:rPr>
            </w:pPr>
            <w:r>
              <w:rPr>
                <w:rFonts w:ascii="Arial" w:cs="Arial" w:eastAsia="Arial" w:hAnsi="Arial"/>
                <w:sz w:val="18"/>
                <w:szCs w:val="18"/>
                <w:color w:val="auto"/>
                <w:w w:val="93"/>
              </w:rPr>
              <w:t>Development and Clinical Supply Agreement, dated as of August 31, 2012, between</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the Registrant and Rentschler Biotechnologie GmbH</w:t>
            </w: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4"/>
              </w:rPr>
              <w:t>2011 Equity Incentive Plan (including forms of Stock Option Grant Notice and Stock</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Option Agreement thereunder)</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Amendment to the 2011 Equity Incentive Plan</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2014 Incentive Plan</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Incentive Stock Option Agreement</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Non Statutory Stock Option Agreement (Employees)</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Non-Statutory Stock Option Agreement (Directors)</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Restricted Stock Unit Agreement (Employees)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16"/>
        </w:trPr>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vMerge w:val="restart"/>
          </w:tcPr>
          <w:p>
            <w:pPr>
              <w:spacing w:after="0"/>
              <w:rPr>
                <w:sz w:val="10"/>
                <w:szCs w:val="10"/>
                <w:color w:val="auto"/>
              </w:rPr>
            </w:pPr>
          </w:p>
        </w:tc>
        <w:tc>
          <w:tcPr>
            <w:tcW w:w="1740" w:type="dxa"/>
            <w:vAlign w:val="bottom"/>
            <w:tcBorders>
              <w:top w:val="single" w:sz="8" w:color="auto"/>
            </w:tcBorders>
            <w:vMerge w:val="restart"/>
          </w:tcPr>
          <w:p>
            <w:pPr>
              <w:ind w:left="72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200"/>
              <w:spacing w:after="0" w:line="116"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5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   Herewith</w:t>
            </w:r>
          </w:p>
        </w:tc>
        <w:tc>
          <w:tcPr>
            <w:tcW w:w="0" w:type="dxa"/>
            <w:vAlign w:val="bottom"/>
          </w:tcPr>
          <w:p>
            <w:pPr>
              <w:spacing w:after="0"/>
              <w:rPr>
                <w:sz w:val="1"/>
                <w:szCs w:val="1"/>
                <w:color w:val="auto"/>
              </w:rPr>
            </w:pPr>
          </w:p>
        </w:tc>
      </w:tr>
      <w:tr>
        <w:trPr>
          <w:trHeight w:val="291"/>
        </w:trPr>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2/5/2014</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2/5/2014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420" w:space="100"/>
            <w:col w:w="3920"/>
          </w:cols>
          <w:pgMar w:left="240" w:top="202" w:right="21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5"/>
              </w:rPr>
              <w:t>Incorporated by Reference</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1100" w:type="dxa"/>
            <w:vAlign w:val="bottom"/>
            <w:gridSpan w:val="2"/>
            <w:vMerge w:val="continue"/>
          </w:tcPr>
          <w:p>
            <w:pPr>
              <w:spacing w:after="0"/>
              <w:rPr>
                <w:sz w:val="9"/>
                <w:szCs w:val="9"/>
                <w:color w:val="auto"/>
              </w:rPr>
            </w:pPr>
          </w:p>
        </w:tc>
        <w:tc>
          <w:tcPr>
            <w:tcW w:w="632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3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   Herewith</w:t>
            </w: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6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Restricted Stock Unit Agreement (Directors)</w:t>
            </w:r>
          </w:p>
        </w:tc>
        <w:tc>
          <w:tcPr>
            <w:tcW w:w="100" w:type="dxa"/>
            <w:vAlign w:val="bottom"/>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2014 Employee Stock Purchase Plan</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2"/>
              </w:rPr>
              <w:t>Executive Employment Agreement, dated as of June 15, 2011, between the Registrant</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and Emil D. Kakkis, M.D., Ph.D.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Offer Letter, dated as of October 31, 2011, between the Registrant and Thomas</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Kassberg</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6"/>
              </w:rPr>
              <w:t>Offer Letter, dated as of March 12, 2012, between the Registrant and Shalini Sharp</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Form of Indemnification Agreement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Standard Lease, dated as of July 5, 2011, between the Registrant and Condiotti</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Enterprises, Inc.</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License and Services Agreement, dated as of September 24, 2010, between the</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Registrant and The Buck Institute for Age Research</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1"/>
              </w:rPr>
              <w:t>Amendment No. 1 to License and Services Agreement, dated as of September 4, 2012,</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11/8/2013</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between the Registrant and The Buck Institute for Research on Aging</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Corporate Bonus Plan</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1/17/2014</w:t>
            </w: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of the Registrant, as required by Rule 13a-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9"/>
              </w:rPr>
              <w:t>14(a) or Rule 15d-14(a) of the Securities Exchange Act of 1934, as amended, as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3"/>
              </w:rPr>
              <w:t>Certification of Chief Financial Officer of the Registrant, as required by Rule 13a-14(a)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6"/>
              </w:rPr>
              <w:t>or Rule 15d-14(a) of the Securities Exchange Act of 1934, as amended, as adopted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4"/>
              </w:rPr>
              <w:t>Certification by the Chief Executive Officer and Chief Financial Officer, as required by</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7"/>
              </w:rPr>
              <w:t>Rule 13a-14(b) or Rule 15d-14(b) and Section 1350 of Chapter 36 of Title 18 of the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United States Code (18 U.S.C. §1350)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right="540" w:hanging="532"/>
        <w:spacing w:after="0" w:line="27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(indicated by asterisks)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60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jc w:val="both"/>
        <w:ind w:left="540" w:right="100" w:hanging="532"/>
        <w:spacing w:after="0" w:line="312"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that accompany this Annual Report on Form 10-K are not deemed filed with the SEC and are not to be incorporated by reference into any filing of Registrant under the Securities Act of 1933, as amended, or the Securities Exchange Act of 1934, as amended, whether made before or after the date of this Form 10-K, irrespective of any general incorporation language contained in such filing.</w:t>
      </w:r>
    </w:p>
    <w:p>
      <w:pPr>
        <w:sectPr>
          <w:pgSz w:w="11900" w:h="16838" w:orient="portrait"/>
          <w:cols w:equalWidth="0" w:num="1">
            <w:col w:w="11440"/>
          </w:cols>
          <w:pgMar w:left="240" w:top="265" w:right="2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FORM OF INDEMNIFICATION AGREEMENT</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12"/>
        </w:trPr>
        <w:tc>
          <w:tcPr>
            <w:tcW w:w="6520" w:type="dxa"/>
            <w:vAlign w:val="bottom"/>
            <w:gridSpan w:val="9"/>
          </w:tcPr>
          <w:p>
            <w:pPr>
              <w:ind w:left="520"/>
              <w:spacing w:after="0"/>
              <w:rPr>
                <w:sz w:val="20"/>
                <w:szCs w:val="20"/>
                <w:color w:val="auto"/>
              </w:rPr>
            </w:pPr>
            <w:r>
              <w:rPr>
                <w:rFonts w:ascii="Arial" w:cs="Arial" w:eastAsia="Arial" w:hAnsi="Arial"/>
                <w:sz w:val="18"/>
                <w:szCs w:val="18"/>
                <w:color w:val="auto"/>
              </w:rPr>
              <w:t>THIS INDEMNIFICATION AGREEMENT (this “Agreement”) is made as of [</w:t>
            </w:r>
          </w:p>
        </w:tc>
        <w:tc>
          <w:tcPr>
            <w:tcW w:w="4780" w:type="dxa"/>
            <w:vAlign w:val="bottom"/>
            <w:gridSpan w:val="2"/>
          </w:tcPr>
          <w:p>
            <w:pPr>
              <w:ind w:left="260"/>
              <w:spacing w:after="0"/>
              <w:rPr>
                <w:sz w:val="20"/>
                <w:szCs w:val="20"/>
                <w:color w:val="auto"/>
              </w:rPr>
            </w:pPr>
            <w:r>
              <w:rPr>
                <w:rFonts w:ascii="Arial" w:cs="Arial" w:eastAsia="Arial" w:hAnsi="Arial"/>
                <w:sz w:val="18"/>
                <w:szCs w:val="18"/>
                <w:color w:val="auto"/>
                <w:w w:val="90"/>
              </w:rPr>
              <w:t>], by and between Ultragenyx Pharmaceutical Inc., a Delaware</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2800" w:type="dxa"/>
            <w:vAlign w:val="bottom"/>
            <w:gridSpan w:val="3"/>
          </w:tcPr>
          <w:p>
            <w:pPr>
              <w:spacing w:after="0" w:line="196" w:lineRule="exact"/>
              <w:rPr>
                <w:sz w:val="20"/>
                <w:szCs w:val="20"/>
                <w:color w:val="auto"/>
              </w:rPr>
            </w:pPr>
            <w:r>
              <w:rPr>
                <w:rFonts w:ascii="Arial" w:cs="Arial" w:eastAsia="Arial" w:hAnsi="Arial"/>
                <w:sz w:val="18"/>
                <w:szCs w:val="18"/>
                <w:color w:val="auto"/>
              </w:rPr>
              <w:t>corporation (the “Company”) and [</w:t>
            </w:r>
          </w:p>
        </w:tc>
        <w:tc>
          <w:tcPr>
            <w:tcW w:w="3720" w:type="dxa"/>
            <w:vAlign w:val="bottom"/>
            <w:gridSpan w:val="6"/>
          </w:tcPr>
          <w:p>
            <w:pPr>
              <w:ind w:left="280"/>
              <w:spacing w:after="0" w:line="196" w:lineRule="exact"/>
              <w:rPr>
                <w:sz w:val="20"/>
                <w:szCs w:val="20"/>
                <w:color w:val="auto"/>
              </w:rPr>
            </w:pPr>
            <w:r>
              <w:rPr>
                <w:rFonts w:ascii="Arial" w:cs="Arial" w:eastAsia="Arial" w:hAnsi="Arial"/>
                <w:sz w:val="18"/>
                <w:szCs w:val="18"/>
                <w:color w:val="auto"/>
              </w:rPr>
              <w:t>] (“Indemnitee”).</w:t>
            </w:r>
          </w:p>
        </w:tc>
        <w:tc>
          <w:tcPr>
            <w:tcW w:w="9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WHEREAS, although the Certificate of Incorporation and the Bylaws of the Company provide for indemnification of the officers and directors of the Company and Indemnitee may also be entitled to indemnification pursuant to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 the DGCL expressly contemplates that contracts may be entered into between the Company and its directors and officers with respect to indemnification of such directors and officers;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WHEREAS, Indemnitee’s continued service to the Company substantially benefits the Company;</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it is in the best interest of the Company and that it is reasonably prudent and necessary for the Company to contractually obligate itself to indemnify, and to advance expenses on behalf of, Indemnitee to the fullest extent permitted by applicable law in order to induce Indemnitee to serve or continue to serve the Company free from undue concern that Indemnitee will not be so indemnified or that any indemnification obligation will not be met;</w:t>
      </w:r>
    </w:p>
    <w:p>
      <w:pPr>
        <w:spacing w:after="0" w:line="18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WHEREAS, this Agreement is a supplement to and in furtherance of (a) the Certificate of Incorporation and Bylaws of the Company and (b) the certificate of incorporation, bylaws, partnership agreement or other organizational document, as the case may be, of any Enterprise (as defined below) and (c) any resolutions adopted pursuant thereto, and shall not be deemed a substitute therefor, nor to diminish or abrogate any rights of Indemnitee thereunder;</w:t>
      </w:r>
    </w:p>
    <w:p>
      <w:pPr>
        <w:spacing w:after="0" w:line="14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WHEREAS, Indemnitee does not regard the protection available under the Company’s Certificate of Incorporation, Bylaws and insurance or any other Enterprise’s certificate of incorporation, bylaws, partnership agreement or other organizational document, as the case may be, and insurance, as adequate in the present circumstances, and may not be willing to serve as a director or officer without adequate protection, and the Company desires Indemnitee to serve in such capacity; and</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WHEREAS, Indemnitee is willing to serve, continue to serve and to take on additional service for or on behalf of the Company and certain other Enterprises on the condition that Indemnitee be so indemnified.</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NOW, THEREFORE, in consideration of the promises and the covenants contained herein, the Company and Indemnitee do hereby covenant and agree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Services to the Company and Certain Other Enterprises</w:t>
      </w:r>
      <w:r>
        <w:rPr>
          <w:rFonts w:ascii="Arial" w:cs="Arial" w:eastAsia="Arial" w:hAnsi="Arial"/>
          <w:sz w:val="16"/>
          <w:szCs w:val="16"/>
          <w:color w:val="auto"/>
        </w:rPr>
        <w:t>. Indemnitee will serve or continue to serve as a director and/or officer of the Company and/or other Enterprises for so long as Indemnitee is duly elected or appointed or until Indemnitee tenders a resignation from such position(s).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117" w:lineRule="exact"/>
        <w:rPr>
          <w:sz w:val="20"/>
          <w:szCs w:val="20"/>
          <w:color w:val="auto"/>
        </w:rPr>
      </w:pPr>
    </w:p>
    <w:p>
      <w:pPr>
        <w:ind w:left="1280" w:hanging="238"/>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117" w:lineRule="exact"/>
        <w:rPr>
          <w:rFonts w:ascii="Arial" w:cs="Arial" w:eastAsia="Arial" w:hAnsi="Arial"/>
          <w:sz w:val="18"/>
          <w:szCs w:val="18"/>
          <w:color w:val="auto"/>
        </w:rPr>
      </w:pPr>
    </w:p>
    <w:p>
      <w:pPr>
        <w:ind w:right="80" w:firstLine="1301"/>
        <w:spacing w:after="0" w:line="257" w:lineRule="auto"/>
        <w:tabs>
          <w:tab w:leader="none" w:pos="154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under the Exchange Act), directly or indirectly, of securities of the Company representing more than fifty percent (50%) of the total voting power represented by the Company’s then outstanding voting securities (excluding for this purpose any such voting securities held by the Company, any parent or subsidiary of the Company or any employee benefit plan of the Company or any parent or subsidiary of the Company) pursuant to a transaction or a series of transactions which the Board does not approve;</w:t>
      </w:r>
    </w:p>
    <w:p>
      <w:pPr>
        <w:spacing w:after="0" w:line="80" w:lineRule="exact"/>
        <w:rPr>
          <w:rFonts w:ascii="Arial" w:cs="Arial" w:eastAsia="Arial" w:hAnsi="Arial"/>
          <w:sz w:val="18"/>
          <w:szCs w:val="18"/>
          <w:color w:val="auto"/>
        </w:rPr>
      </w:pPr>
    </w:p>
    <w:p>
      <w:pPr>
        <w:ind w:right="40" w:firstLine="1301"/>
        <w:spacing w:after="0" w:line="259" w:lineRule="auto"/>
        <w:tabs>
          <w:tab w:leader="none" w:pos="154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merger or consolidation of the Company, whether or not approved by the Board, which results in the holders of voting securities of the Company outstanding immediately prior thereto failing to continue to represent (either by remaining outstanding or by being converted into voting securities of the surviving entity) at least fifty percent (50%) of the combined voting power of the voting securities of the Company or such surviving entity outstanding immediately after such merger or consolidation;</w:t>
      </w:r>
    </w:p>
    <w:p>
      <w:pPr>
        <w:spacing w:after="0" w:line="78" w:lineRule="exact"/>
        <w:rPr>
          <w:rFonts w:ascii="Arial" w:cs="Arial" w:eastAsia="Arial" w:hAnsi="Arial"/>
          <w:sz w:val="18"/>
          <w:szCs w:val="18"/>
          <w:color w:val="auto"/>
        </w:rPr>
      </w:pPr>
    </w:p>
    <w:p>
      <w:pPr>
        <w:ind w:right="160" w:firstLine="1301"/>
        <w:spacing w:after="0" w:line="277" w:lineRule="auto"/>
        <w:tabs>
          <w:tab w:leader="none" w:pos="1548"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(or the consummation of any transaction having similar effect) provided that such sale or disposition is of more than two-thirds (2/3) of the assets of the Company;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24" w:right="239" w:bottom="1440" w:gutter="0" w:footer="0" w:header="0"/>
        </w:sectPr>
      </w:pPr>
    </w:p>
    <w:bookmarkStart w:id="110" w:name="page111"/>
    <w:bookmarkEnd w:id="110"/>
    <w:p>
      <w:pPr>
        <w:ind w:right="600" w:firstLine="1301"/>
        <w:spacing w:after="0" w:line="277" w:lineRule="auto"/>
        <w:tabs>
          <w:tab w:leader="none" w:pos="154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date a majority of members of the Board is replaced during any twelve (12) month period by directors whose appointment or election is not endorsed by a majority of the members of the Board before the date of such appointment or election.</w:t>
      </w:r>
    </w:p>
    <w:p>
      <w:pPr>
        <w:spacing w:after="0" w:line="62" w:lineRule="exact"/>
        <w:rPr>
          <w:rFonts w:ascii="Arial" w:cs="Arial" w:eastAsia="Arial" w:hAnsi="Arial"/>
          <w:sz w:val="18"/>
          <w:szCs w:val="18"/>
          <w:color w:val="auto"/>
        </w:rPr>
      </w:pPr>
    </w:p>
    <w:p>
      <w:pPr>
        <w:ind w:right="100" w:firstLine="1301"/>
        <w:spacing w:after="0" w:line="264" w:lineRule="auto"/>
        <w:tabs>
          <w:tab w:leader="none" w:pos="1548"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any case, a Change of Control under this Section 2(a) must also meet the requirements of a change in ownership or effective control, or a sale of a substantial portion of the Company’s assets in accordance with Section 409A(a)(2)(A)(v) of the Internal Revenue Code of 1986, as amended, and the applicable provisions of Treasury Regulation § 1.409A-3.</w:t>
      </w:r>
    </w:p>
    <w:p>
      <w:pPr>
        <w:spacing w:after="0" w:line="73" w:lineRule="exact"/>
        <w:rPr>
          <w:rFonts w:ascii="Arial" w:cs="Arial" w:eastAsia="Arial" w:hAnsi="Arial"/>
          <w:sz w:val="18"/>
          <w:szCs w:val="18"/>
          <w:color w:val="auto"/>
        </w:rPr>
      </w:pPr>
    </w:p>
    <w:p>
      <w:pPr>
        <w:ind w:left="1300" w:hanging="258"/>
        <w:spacing w:after="0"/>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who is or was a director, officer, employee, agent or fiduciary of the Company or of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Enterprise.</w:t>
      </w:r>
    </w:p>
    <w:p>
      <w:pPr>
        <w:spacing w:after="0" w:line="102" w:lineRule="exact"/>
        <w:rPr>
          <w:rFonts w:ascii="Arial" w:cs="Arial" w:eastAsia="Arial" w:hAnsi="Arial"/>
          <w:sz w:val="16"/>
          <w:szCs w:val="16"/>
          <w:color w:val="auto"/>
        </w:rPr>
      </w:pPr>
    </w:p>
    <w:p>
      <w:pPr>
        <w:ind w:right="960" w:firstLine="1042"/>
        <w:spacing w:after="0" w:line="277" w:lineRule="auto"/>
        <w:tabs>
          <w:tab w:leader="none" w:pos="12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62" w:lineRule="exact"/>
        <w:rPr>
          <w:rFonts w:ascii="Arial" w:cs="Arial" w:eastAsia="Arial" w:hAnsi="Arial"/>
          <w:sz w:val="18"/>
          <w:szCs w:val="18"/>
          <w:color w:val="auto"/>
        </w:rPr>
      </w:pPr>
    </w:p>
    <w:p>
      <w:pPr>
        <w:jc w:val="both"/>
        <w:ind w:right="40" w:firstLine="1042"/>
        <w:spacing w:after="0" w:line="279" w:lineRule="auto"/>
        <w:tabs>
          <w:tab w:leader="none" w:pos="1289" w:val="left"/>
        </w:tabs>
        <w:numPr>
          <w:ilvl w:val="0"/>
          <w:numId w:val="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Enterprise</w:t>
      </w:r>
      <w:r>
        <w:rPr>
          <w:rFonts w:ascii="Arial" w:cs="Arial" w:eastAsia="Arial" w:hAnsi="Arial"/>
          <w:sz w:val="17"/>
          <w:szCs w:val="17"/>
          <w:color w:val="auto"/>
        </w:rPr>
        <w:t>” means (i) the Company, (ii) any other corporation, partnership, limited liability company, joint venture, trust, employee benefit plan or other enterprise which is an affiliate or wholly or partially owned subsidiary of the Company and of which Indemnitee is or was serving as a director, trustee, general partner, managing member, officer, employee, agent or fiduciary and (iii) any other corporation, partnership, limited liability company, joint venture, trust, employee benefit plan or other enterprise of which Indemnitee is or was serving at the request of the Company.</w:t>
      </w:r>
    </w:p>
    <w:p>
      <w:pPr>
        <w:spacing w:after="0" w:line="63" w:lineRule="exact"/>
        <w:rPr>
          <w:rFonts w:ascii="Arial" w:cs="Arial" w:eastAsia="Arial" w:hAnsi="Arial"/>
          <w:sz w:val="17"/>
          <w:szCs w:val="17"/>
          <w:color w:val="auto"/>
        </w:rPr>
      </w:pPr>
    </w:p>
    <w:p>
      <w:pPr>
        <w:ind w:left="1280" w:hanging="238"/>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right="120" w:firstLine="1042"/>
        <w:spacing w:after="0" w:line="293" w:lineRule="auto"/>
        <w:tabs>
          <w:tab w:leader="none" w:pos="1259"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includes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shall include such fees and expenses, and costs incurred in connection with any appeal resulting from any Proceeding,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56" w:lineRule="exact"/>
        <w:rPr>
          <w:rFonts w:ascii="Arial" w:cs="Arial" w:eastAsia="Arial" w:hAnsi="Arial"/>
          <w:sz w:val="16"/>
          <w:szCs w:val="16"/>
          <w:color w:val="auto"/>
        </w:rPr>
      </w:pPr>
    </w:p>
    <w:p>
      <w:pPr>
        <w:ind w:right="20" w:firstLine="1042"/>
        <w:spacing w:after="0" w:line="290" w:lineRule="auto"/>
        <w:tabs>
          <w:tab w:leader="none" w:pos="12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at any time, any law firm, or a member of a law firm, that (i) is experienced in matters of corporation law and (ii) is not, at such time, or has not been in the five years prior to such time, retained to represent: (1) the Company, any Enterprise or Indemnitee in any matter material to either such party (other than with respect to matters concerning Indemnitee under this Agreement, or of other indemnities under similar indemnification agreements), or (2)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such Independent Counsel and to fully indemnify such counsel against any and all Expenses, claims, liabilities and damages arising out of or relating to this Agreement or its engagement pursuant hereto and to be jointly and severally liable therefor.</w:t>
      </w:r>
    </w:p>
    <w:p>
      <w:pPr>
        <w:spacing w:after="0" w:line="58" w:lineRule="exact"/>
        <w:rPr>
          <w:rFonts w:ascii="Arial" w:cs="Arial" w:eastAsia="Arial" w:hAnsi="Arial"/>
          <w:sz w:val="16"/>
          <w:szCs w:val="16"/>
          <w:color w:val="auto"/>
        </w:rPr>
      </w:pPr>
    </w:p>
    <w:p>
      <w:pPr>
        <w:ind w:firstLine="1042"/>
        <w:spacing w:after="0" w:line="271" w:lineRule="auto"/>
        <w:tabs>
          <w:tab w:leader="none" w:pos="1289" w:val="left"/>
        </w:tabs>
        <w:numPr>
          <w:ilvl w:val="0"/>
          <w:numId w:val="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includes any threatened, pending or completed action, suit, arbitration, mediation, alternate dispute resolution mechanism, investigation, inquiry, administrative hearing or any other actual, threatened or completed proceeding, whether brought by or in the right of the Company or otherwise and whether of a civil, criminal, administrative or investigative nature, including without limitation any such proceeding pending as of the date of this Agreement, in which Indemnitee was, is or will be involved as a party or otherwise by reason of the fact that Indemnitee is or was an officer or director of the Company, by reason of any action taken by Indemnitee or of any action on Indemnitee’s part while acting as director or officer of the Company, or by reason of the fact that Indemnitee is or was serving as a director, trustee, general partner, managing member, officer, employee, agent or fiduciary of any other Enterprise, in each case whether or not serving in such capacity at the time any Expense, judgment, fine or amount paid in settlement is incurred for which indemnification, reimbursement or advancement of Expenses can be provided under this Agreement.</w:t>
      </w:r>
    </w:p>
    <w:p>
      <w:pPr>
        <w:spacing w:after="0" w:line="179"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xml:space="preserve">. The Company shall indemnify Indemnitee in accordance with the provisions of this Section 3 if Indemnitee was, is, or is threatened to be made, a party to or a participant (as a witness or otherwise) in any Proceeding, other than a Proceeding by or in the right of the Company to procure a judgment in its favor. Pursuant to this Section 3, Indemnitee shall be indemnified against all Expenses, judgments, fines and amounts paid in settlement actually and reasonably incurred by Indemnitee or on Indemnitee’s behalf in connection with such Proceeding or any claim, issue or matter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the events giving rise to such Proceeding,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9" w:right="259" w:bottom="1440" w:gutter="0" w:footer="0" w:header="0"/>
        </w:sectPr>
      </w:pPr>
    </w:p>
    <w:bookmarkStart w:id="111" w:name="page112"/>
    <w:bookmarkEnd w:id="111"/>
    <w:p>
      <w:pPr>
        <w:ind w:right="80" w:firstLine="518"/>
        <w:spacing w:after="0" w:line="25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Indemnity in Proceedings by or in the Right of the Company</w:t>
      </w:r>
      <w:r>
        <w:rPr>
          <w:rFonts w:ascii="Arial" w:cs="Arial" w:eastAsia="Arial" w:hAnsi="Arial"/>
          <w:sz w:val="18"/>
          <w:szCs w:val="18"/>
          <w:color w:val="auto"/>
        </w:rPr>
        <w:t xml:space="preserve">. The Company shall indemnify Indemnitee in accordance with the provisions of this Section 4 if Indemnitee was, is, or is threatened to be made, a party to or a participant (as a witness or otherwise) in any Proceeding by or in the right of the Company to procure a judgment in its favor. Pursuant to this Section 4, Indemnitee shall be indemnified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indemnification for Expenses shall be made under this Section 4 in respect of any claim, issue or matter as to which Indemnitee shall have been finally adjudged by a court of competent jurisdiction to be liable to the Company, unless and only to the extent that any such court in which the Proceeding was brought shall determine upon application that, despite the adjudication of liability but in view of all the circumstances of the case, Indemnitee is fairly and reasonably entitled to indemnification.</w:t>
      </w:r>
    </w:p>
    <w:p>
      <w:pPr>
        <w:spacing w:after="0" w:line="19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to the extent that Indemnitee is a party to (or a participant in) and is successful, on the merits or otherwise, in any Proceeding, the Company shall be liable to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be liable to indemnify Indemnitee against all Expenses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6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to the extent that Indemnitee is, by reason of Indemnitee’s Corporate Status, a witness in any Proceeding to which Indemnitee is not a party, the Company shall be liable to indemnify Indemnitee against all Expenses actually and reasonably incurred by Indemnitee or on Indemnitee’s behalf in connection therewith.</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1042"/>
        <w:spacing w:after="0" w:line="255" w:lineRule="auto"/>
        <w:tabs>
          <w:tab w:leader="none" w:pos="1279"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Notwithstanding any limitation in Sections 3, 4, or 5, the Company shall be liable to indemnify Indemnitee to the fullest extent permitted by law if Indemnitee is a party to, or threatened to be made a party to, any Proceeding (including a Proceeding by or in the right of the Company to procure a judgment in its favor) against all Expenses, judgments, fines and amounts paid in settlement actually and reasonably incurred by Indemnitee in connection with the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indemnity shall be made under this Section 7(a) on account of Indemnitee’s conduct which has been adjudicated (under the procedures and subject to the presumptions set forth in Sections 11 and 12 hereof) to constitute a breach of Indemnitee’s duty of loyalty to the Company or its shareholders or to constitute an act or omission not in good faith or involving intentional misconduct or a knowing violation of the law.</w:t>
      </w:r>
    </w:p>
    <w:p>
      <w:pPr>
        <w:spacing w:after="0" w:line="81" w:lineRule="exact"/>
        <w:rPr>
          <w:rFonts w:ascii="Arial" w:cs="Arial" w:eastAsia="Arial" w:hAnsi="Arial"/>
          <w:sz w:val="18"/>
          <w:szCs w:val="18"/>
          <w:color w:val="auto"/>
        </w:rPr>
      </w:pPr>
    </w:p>
    <w:p>
      <w:pPr>
        <w:ind w:left="1300" w:hanging="258"/>
        <w:spacing w:after="0"/>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purposes of Section 7(a), the meaning of the phrase “to the fullest extent permitted by law” shall include, but not be limited to:</w:t>
      </w:r>
    </w:p>
    <w:p>
      <w:pPr>
        <w:spacing w:after="0" w:line="128" w:lineRule="exact"/>
        <w:rPr>
          <w:rFonts w:ascii="Arial" w:cs="Arial" w:eastAsia="Arial" w:hAnsi="Arial"/>
          <w:sz w:val="17"/>
          <w:szCs w:val="17"/>
          <w:color w:val="auto"/>
        </w:rPr>
      </w:pPr>
    </w:p>
    <w:p>
      <w:pPr>
        <w:ind w:right="200" w:firstLine="1301"/>
        <w:spacing w:after="0" w:line="277" w:lineRule="auto"/>
        <w:tabs>
          <w:tab w:leader="none" w:pos="154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the fullest extent permitted by any provision of the DGCL that authorizes or contemplates additional indemnification by agreement, or the corresponding provision of any amendment to or replacement of the DGCL; and</w:t>
      </w:r>
    </w:p>
    <w:p>
      <w:pPr>
        <w:spacing w:after="0" w:line="62" w:lineRule="exact"/>
        <w:rPr>
          <w:rFonts w:ascii="Arial" w:cs="Arial" w:eastAsia="Arial" w:hAnsi="Arial"/>
          <w:sz w:val="18"/>
          <w:szCs w:val="18"/>
          <w:color w:val="auto"/>
        </w:rPr>
      </w:pPr>
    </w:p>
    <w:p>
      <w:pPr>
        <w:ind w:right="800" w:firstLine="1301"/>
        <w:spacing w:after="0" w:line="277" w:lineRule="auto"/>
        <w:tabs>
          <w:tab w:leader="none" w:pos="154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70"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provision in this Agreement, the Company shall not be obligated under this Agreement to make any indemnity payment, or to advance any expenses, in connection with any claim made against Indemnitee:</w:t>
      </w:r>
    </w:p>
    <w:p>
      <w:pPr>
        <w:spacing w:after="0" w:line="62" w:lineRule="exact"/>
        <w:rPr>
          <w:sz w:val="20"/>
          <w:szCs w:val="20"/>
          <w:color w:val="auto"/>
        </w:rPr>
      </w:pPr>
    </w:p>
    <w:p>
      <w:pPr>
        <w:jc w:val="both"/>
        <w:ind w:right="500" w:firstLine="1042"/>
        <w:spacing w:after="0" w:line="264" w:lineRule="auto"/>
        <w:tabs>
          <w:tab w:leader="none" w:pos="1279"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provision, except with respect to any excess beyond the amount actually received under any insurance policy or other indemnity provision [, except as provided in Section 14(e)];</w:t>
      </w:r>
    </w:p>
    <w:p>
      <w:pPr>
        <w:spacing w:after="0" w:line="73" w:lineRule="exact"/>
        <w:rPr>
          <w:rFonts w:ascii="Arial" w:cs="Arial" w:eastAsia="Arial" w:hAnsi="Arial"/>
          <w:sz w:val="18"/>
          <w:szCs w:val="18"/>
          <w:color w:val="auto"/>
        </w:rPr>
      </w:pPr>
    </w:p>
    <w:p>
      <w:pPr>
        <w:ind w:right="80" w:firstLine="1042"/>
        <w:spacing w:after="0" w:line="297" w:lineRule="auto"/>
        <w:tabs>
          <w:tab w:leader="none" w:pos="12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for an accounting of profits made from the purchase and sale (or sale and purchase) by Indemnitee of securities of the Company within the meaning of Section 16(b) of the Exchange Act or similar provisions of state statutory law or common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 limitation on the Company’s obligation to provide indemnification set forth in this Section 8(b) or elsewhere, Indemnitee shall be entitled to receive advancement of Expenses hereunder with respect to any such claim unless and until a court having jurisdiction over the claim shall have made a final judicial determination (as to which all rights of appeal therefrom have been exhausted or lapsed) that Indemnitee has violated said statute;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112" w:name="page113"/>
    <w:bookmarkEnd w:id="112"/>
    <w:p>
      <w:pPr>
        <w:ind w:left="-8" w:right="200" w:firstLine="1042"/>
        <w:spacing w:after="0" w:line="257" w:lineRule="auto"/>
        <w:tabs>
          <w:tab w:leader="none" w:pos="12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such indemnification is expressly required to be made by applicable law, (ii) the Proceeding was authorized by the Board, (iii) such indemnification is provided by the Company, in its sole discretion, pursuant to the powers vested in the Company under the DGCL, or (iv) such indemnification is required to be made pursuant to Sections 9(b) or 13 of this Agreement.</w:t>
      </w:r>
    </w:p>
    <w:p>
      <w:pPr>
        <w:spacing w:after="0" w:line="188" w:lineRule="exact"/>
        <w:rPr>
          <w:sz w:val="20"/>
          <w:szCs w:val="20"/>
          <w:color w:val="auto"/>
        </w:rPr>
      </w:pPr>
    </w:p>
    <w:p>
      <w:pPr>
        <w:ind w:left="512"/>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Advancement of Expenses; Defense of Claim</w:t>
      </w:r>
      <w:r>
        <w:rPr>
          <w:rFonts w:ascii="Arial" w:cs="Arial" w:eastAsia="Arial" w:hAnsi="Arial"/>
          <w:sz w:val="18"/>
          <w:szCs w:val="18"/>
          <w:color w:val="auto"/>
        </w:rPr>
        <w:t>.</w:t>
      </w:r>
    </w:p>
    <w:p>
      <w:pPr>
        <w:spacing w:after="0" w:line="117" w:lineRule="exact"/>
        <w:rPr>
          <w:sz w:val="20"/>
          <w:szCs w:val="20"/>
          <w:color w:val="auto"/>
        </w:rPr>
      </w:pPr>
    </w:p>
    <w:p>
      <w:pPr>
        <w:ind w:left="-8" w:right="40" w:firstLine="1042"/>
        <w:spacing w:after="0" w:line="285" w:lineRule="auto"/>
        <w:tabs>
          <w:tab w:leader="none" w:pos="1271" w:val="left"/>
        </w:tabs>
        <w:numPr>
          <w:ilvl w:val="1"/>
          <w:numId w:val="83"/>
        </w:numPr>
        <w:rPr>
          <w:rFonts w:ascii="Arial" w:cs="Arial" w:eastAsia="Arial" w:hAnsi="Arial"/>
          <w:sz w:val="16"/>
          <w:szCs w:val="16"/>
          <w:color w:val="auto"/>
        </w:rPr>
      </w:pPr>
      <w:r>
        <w:rPr>
          <w:rFonts w:ascii="Arial" w:cs="Arial" w:eastAsia="Arial" w:hAnsi="Arial"/>
          <w:sz w:val="16"/>
          <w:szCs w:val="16"/>
          <w:color w:val="auto"/>
        </w:rPr>
        <w:t>Except as otherwise provided herein, the Company shall advance any and all Expenses incurred by Indemnitee in connection with any Proceeding within thirty (30) days after the receipt by the Company of a statement or statements requesting such advances from time to time, whether prior to or after final disposition of any Proceeding. Such statement or statements shall reasonably evidence the Expenses incurred by Indemnitee and, only to the extent required by applicable law which cannot be waived, shall include or be preceded by a written undertaking by or on behalf of Indemnitee to repay any Expenses advanced to the extent and only to the extent that (i) it is ultimately determined that Indemnitee is not entitled to be indemnified by the Company or</w:t>
      </w:r>
    </w:p>
    <w:p>
      <w:pPr>
        <w:spacing w:after="0" w:line="2" w:lineRule="exact"/>
        <w:rPr>
          <w:rFonts w:ascii="Arial" w:cs="Arial" w:eastAsia="Arial" w:hAnsi="Arial"/>
          <w:sz w:val="16"/>
          <w:szCs w:val="16"/>
          <w:color w:val="auto"/>
        </w:rPr>
      </w:pPr>
    </w:p>
    <w:p>
      <w:pPr>
        <w:ind w:left="272" w:hanging="272"/>
        <w:spacing w:after="0"/>
        <w:tabs>
          <w:tab w:leader="none" w:pos="27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Expenses advanced pursuant to this Section 9 exceed the Expenses actually incurred in connection with such Proceeding.</w:t>
      </w:r>
    </w:p>
    <w:p>
      <w:pPr>
        <w:spacing w:after="0" w:line="102" w:lineRule="exact"/>
        <w:rPr>
          <w:rFonts w:ascii="Arial" w:cs="Arial" w:eastAsia="Arial" w:hAnsi="Arial"/>
          <w:sz w:val="18"/>
          <w:szCs w:val="18"/>
          <w:color w:val="auto"/>
        </w:rPr>
      </w:pPr>
    </w:p>
    <w:p>
      <w:pPr>
        <w:ind w:left="-8" w:right="240" w:firstLine="1042"/>
        <w:spacing w:after="0" w:line="259" w:lineRule="auto"/>
        <w:tabs>
          <w:tab w:leader="none" w:pos="128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advances (i) shall be unsecured and interest free; (ii) shall be made without regard to Indemnitee’s ability to repay the advances and without regard to Indemnitee’s ultimate entitlement to indemnification under the other provisions of this Agreement; and (iii) shall include any and all reasonable Expenses incurred pursuing an action to enforce this right of advancement, including Expenses incurred preparing and forwarding statements to the Company to support the advances claimed.</w:t>
      </w:r>
    </w:p>
    <w:p>
      <w:pPr>
        <w:spacing w:after="0" w:line="78" w:lineRule="exact"/>
        <w:rPr>
          <w:rFonts w:ascii="Arial" w:cs="Arial" w:eastAsia="Arial" w:hAnsi="Arial"/>
          <w:sz w:val="18"/>
          <w:szCs w:val="18"/>
          <w:color w:val="auto"/>
        </w:rPr>
      </w:pPr>
    </w:p>
    <w:p>
      <w:pPr>
        <w:ind w:left="1272" w:hanging="238"/>
        <w:spacing w:after="0"/>
        <w:tabs>
          <w:tab w:leader="none" w:pos="12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will be entitled to participate reasonably in the Proceeding at its own expense.</w:t>
      </w:r>
    </w:p>
    <w:p>
      <w:pPr>
        <w:spacing w:after="0" w:line="22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for Notification and Requests for Advancement and Indemnification</w:t>
      </w:r>
      <w:r>
        <w:rPr>
          <w:rFonts w:ascii="Arial" w:cs="Arial" w:eastAsia="Arial" w:hAnsi="Arial"/>
          <w:sz w:val="18"/>
          <w:szCs w:val="18"/>
          <w:color w:val="auto"/>
        </w:rPr>
        <w:t>.</w:t>
      </w:r>
    </w:p>
    <w:p>
      <w:pPr>
        <w:spacing w:after="0" w:line="117" w:lineRule="exact"/>
        <w:rPr>
          <w:sz w:val="20"/>
          <w:szCs w:val="20"/>
          <w:color w:val="auto"/>
        </w:rPr>
      </w:pPr>
    </w:p>
    <w:p>
      <w:pPr>
        <w:ind w:left="1272" w:hanging="238"/>
        <w:spacing w:after="0"/>
        <w:tabs>
          <w:tab w:leader="none" w:pos="1272"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Notification</w:t>
      </w:r>
      <w:r>
        <w:rPr>
          <w:rFonts w:ascii="Arial" w:cs="Arial" w:eastAsia="Arial" w:hAnsi="Arial"/>
          <w:sz w:val="17"/>
          <w:szCs w:val="17"/>
          <w:color w:val="auto"/>
        </w:rPr>
        <w:t>. To obtain advancement of Expenses and/or indemnification under this Agreement, Indemnitee shall, not later than thirty</w:t>
      </w:r>
    </w:p>
    <w:p>
      <w:pPr>
        <w:spacing w:after="0" w:line="34" w:lineRule="exact"/>
        <w:rPr>
          <w:rFonts w:ascii="Arial" w:cs="Arial" w:eastAsia="Arial" w:hAnsi="Arial"/>
          <w:sz w:val="17"/>
          <w:szCs w:val="17"/>
          <w:color w:val="auto"/>
        </w:rPr>
      </w:pPr>
    </w:p>
    <w:p>
      <w:pPr>
        <w:ind w:left="-8" w:right="140" w:firstLine="8"/>
        <w:spacing w:after="0" w:line="288" w:lineRule="auto"/>
        <w:tabs>
          <w:tab w:leader="none" w:pos="337" w:val="left"/>
        </w:tabs>
        <w:numPr>
          <w:ilvl w:val="0"/>
          <w:numId w:val="86"/>
        </w:numPr>
        <w:rPr>
          <w:rFonts w:ascii="Arial" w:cs="Arial" w:eastAsia="Arial" w:hAnsi="Arial"/>
          <w:sz w:val="16"/>
          <w:szCs w:val="16"/>
          <w:color w:val="auto"/>
        </w:rPr>
      </w:pPr>
      <w:r>
        <w:rPr>
          <w:rFonts w:ascii="Arial" w:cs="Arial" w:eastAsia="Arial" w:hAnsi="Arial"/>
          <w:sz w:val="16"/>
          <w:szCs w:val="16"/>
          <w:color w:val="auto"/>
        </w:rPr>
        <w:t>days after receipt by Indemnitee of notice of the commencement of any Proceeding, except for Proceedings pending as of the date of this Agreement, submit to the Company written notification of the Proceeding; with regard to Proceedings pending as of the date of this Agreement, Indemnitee shall submit to the Company written notification not later than thirty (30) days after the date of this Agreement. The omission to notify the Company will relieve the Company of its advancement or indemnification obligations under this Agreement only to the extent the Company can establish that such omission to notify resulted in actual prejudice to it, and the omission to notify the Company will, in any event, not relieve the Company from any liability which it may have to indemnify Indemnitee otherwise than under this Agreement. The Secretary of the Company shall, promptly upon receipt of notification from Indemnitee pursuant to this Section 10(a), advise the Board in writing that Indemnitee has provided such notification.</w:t>
      </w:r>
    </w:p>
    <w:p>
      <w:pPr>
        <w:spacing w:after="0" w:line="60" w:lineRule="exact"/>
        <w:rPr>
          <w:rFonts w:ascii="Arial" w:cs="Arial" w:eastAsia="Arial" w:hAnsi="Arial"/>
          <w:sz w:val="16"/>
          <w:szCs w:val="16"/>
          <w:color w:val="auto"/>
        </w:rPr>
      </w:pPr>
    </w:p>
    <w:p>
      <w:pPr>
        <w:ind w:left="-8" w:right="100" w:firstLine="1042"/>
        <w:spacing w:after="0" w:line="271" w:lineRule="auto"/>
        <w:tabs>
          <w:tab w:leader="none" w:pos="1281"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Expense Request</w:t>
      </w:r>
      <w:r>
        <w:rPr>
          <w:rFonts w:ascii="Arial" w:cs="Arial" w:eastAsia="Arial" w:hAnsi="Arial"/>
          <w:sz w:val="17"/>
          <w:szCs w:val="17"/>
          <w:color w:val="auto"/>
        </w:rPr>
        <w:t>. Subject to Section 9, to obtain advancement of Expenses under this Agreement, Indemnitee shall submit to the Company a written request therefor, together with such invoices or other supporting information as may be reasonably requested by the Company and reasonably available to Indemnitee, and, only to the extent required by applicable law which cannot be waived, an unsecured written undertaking to repay amounts advanced. The Company shall make advance payment of Expenses to Indemnitee no later than thirty (30) days after receipt of the written request for advancement (and each subsequent request for advancement) by Indemnitee. If, at the time of receipt of any such written request for advancement of Expenses, the Company has director and officer insurance policies in effect, the Company will promptly notify the relevant insurers in accordance with the procedures and requirements of such policies. The Company shall thereafter keep such director and officer insurers informed of the status of the Proceeding or other claim, as appropriate to secure insurance coverage of Indemnitee for such claim.</w:t>
      </w:r>
    </w:p>
    <w:p>
      <w:pPr>
        <w:spacing w:after="0" w:line="70" w:lineRule="exact"/>
        <w:rPr>
          <w:rFonts w:ascii="Arial" w:cs="Arial" w:eastAsia="Arial" w:hAnsi="Arial"/>
          <w:sz w:val="17"/>
          <w:szCs w:val="17"/>
          <w:color w:val="auto"/>
        </w:rPr>
      </w:pPr>
    </w:p>
    <w:p>
      <w:pPr>
        <w:ind w:left="-8" w:firstLine="1042"/>
        <w:spacing w:after="0" w:line="269" w:lineRule="auto"/>
        <w:tabs>
          <w:tab w:leader="none" w:pos="127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Indemnification Request</w:t>
      </w:r>
      <w:r>
        <w:rPr>
          <w:rFonts w:ascii="Arial" w:cs="Arial" w:eastAsia="Arial" w:hAnsi="Arial"/>
          <w:sz w:val="17"/>
          <w:szCs w:val="17"/>
          <w:color w:val="auto"/>
        </w:rPr>
        <w:t>. In order to obtain indemnification under this Agreement, Indemnitee shall, anytime at Indemnitee’s discretion following notification by Indemnitee of the commencement of any Proceeding pursuant to Section 10(a) of this Agreement and consistent with the time period for the duration of this Agreement as set forth in Section 15 of this Agreement, submit to the Company a written request for indemnification pursuant to this Section 10(c), including therein or therewith such documentation and information as is reasonably available to Indemnitee and is reasonably necessary to determine whether and to what extent Indemnitee is entitled to indemnification. No determination of Indemnitee’s entitlement to indemnification shall be made until such written request for a determination is submitted by Indemnitee to the Company pursuant to this Section 10(c). The failure to submit a written request to the Company will relieve the Company of its indemnification obligations under this Agreement only to the extent the Company can establish that such failure to make a written request resulted in actual prejudice to it, and the failure to make a written request will not relieve the Company from any liability which it may have to indemnify Indemnitee otherwise than under this Agreement. The Secretary of the Company shall, promptly upon receipt of such a request for indemnification, advise the Board in writing that Indemnitee has requested indemnification. Upon submission of a written request for indemnification by Indemnitee pursuant to this Section 10(c), Indemnitee’s entitlement to indemnification shall be determined according to Section 11 of this Agreement.</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449" w:right="239" w:bottom="1440" w:gutter="0" w:footer="0" w:header="0"/>
        </w:sectPr>
      </w:pPr>
    </w:p>
    <w:bookmarkStart w:id="113" w:name="page114"/>
    <w:bookmarkEnd w:id="113"/>
    <w:p>
      <w:pPr>
        <w:ind w:left="5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1042"/>
        <w:spacing w:after="0" w:line="286" w:lineRule="auto"/>
        <w:tabs>
          <w:tab w:leader="none" w:pos="1279"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receipt of Indemnitee’s written request for indemnification pursuant to Section 10(c) of this Agreement, a determination with respect thereto shall be made in the specific case by one of the following four methods, which shall be at the election of the Board in its sole discretion: (i) by a majority vote of the Disinterested Directors,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in a written opinion to the Board, a copy of which shall be delivered to Indemnitee or (iv) by a majority vote of the stockholders of the Company. Notwithstanding the above, if a determination with respect to Indemnitee’s right to indemnification is to be made following a Change of Control, such determination shall be made in the specific case by Independent Counsel in a written opinion to the Board, a copy of which shall be delivered to Indemnitee.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Disinterested Directors or Independent Counsel, as the case may be, making such determination shall be advanced and borne by the Company (irrespective of the determination as to Indemnitee’s entitlement to indemnification) and the Company is liable to indemnify and hold Indemnitee harmless therefrom.</w:t>
      </w:r>
    </w:p>
    <w:p>
      <w:pPr>
        <w:spacing w:after="0" w:line="63" w:lineRule="exact"/>
        <w:rPr>
          <w:rFonts w:ascii="Arial" w:cs="Arial" w:eastAsia="Arial" w:hAnsi="Arial"/>
          <w:sz w:val="16"/>
          <w:szCs w:val="16"/>
          <w:color w:val="auto"/>
        </w:rPr>
      </w:pPr>
    </w:p>
    <w:p>
      <w:pPr>
        <w:ind w:firstLine="1042"/>
        <w:spacing w:after="0" w:line="285" w:lineRule="auto"/>
        <w:tabs>
          <w:tab w:leader="none" w:pos="128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11(a) hereof, the Independent Counsel shall be selected as provided in this Section 11(b). The Independent Counsel shall be selected by the Board and the Board shall provide written notice to the Indemnitee of the identity of the Independent Counsel so selected. Indemnitee may, within ten (10) days after such written notice of selection shall have been received, deliver to the Company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a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10(c) hereof, no Independent Counsel shall have been selected and not objected to, either the Company or Indemnitee may petition a court of competent jurisdiction for resolution of any objection which shall have been made by the Indemnitee to the Company’s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11(a) hereof. Upon the due commencement of any judicial proceeding or arbitration pursuant to Section 13(a) of this Agreement, Independent Counsel shall be discharged and relieved of any further responsibility in such capacity (subject to the applicable standards of professional conduct then prevailing). The Company shall pay all reasonable fees and expenses, including all reasonable fees and expenses of Independent Counsel, incident to the procedures of this Section 11(b), regardless of the manner in which such Independent Counsel was selected or appointed.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117" w:lineRule="exact"/>
        <w:rPr>
          <w:sz w:val="20"/>
          <w:szCs w:val="20"/>
          <w:color w:val="auto"/>
        </w:rPr>
      </w:pPr>
    </w:p>
    <w:p>
      <w:pPr>
        <w:ind w:firstLine="1042"/>
        <w:spacing w:after="0" w:line="255" w:lineRule="auto"/>
        <w:tabs>
          <w:tab w:leader="none" w:pos="127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a preponderance of the evidence. Neither the failure of the Company (including by the Board) or of Independent Counsel to have made a determination prior to the commencement of any judicial proceeding or arbitration pursuant to this Agreement that indemnification is proper in the circumstances because Indemnitee has met the applicable standard of conduct, nor an actual determination by the Company (including by the Board) or by Independent Counsel that Indemnitee has not met such applicable standard of conduct, shall be a defense to the action or create a presumption that Indemnitee has not met the applicable standard of conduct.</w:t>
      </w:r>
    </w:p>
    <w:p>
      <w:pPr>
        <w:spacing w:after="0" w:line="81" w:lineRule="exact"/>
        <w:rPr>
          <w:rFonts w:ascii="Arial" w:cs="Arial" w:eastAsia="Arial" w:hAnsi="Arial"/>
          <w:sz w:val="18"/>
          <w:szCs w:val="18"/>
          <w:color w:val="auto"/>
        </w:rPr>
      </w:pPr>
    </w:p>
    <w:p>
      <w:pPr>
        <w:ind w:right="60" w:firstLine="1042"/>
        <w:spacing w:after="0" w:line="271" w:lineRule="auto"/>
        <w:tabs>
          <w:tab w:leader="none" w:pos="1289"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Section 11 of this Agreement to determine whether Indemnitee is entitled to indemnification shall not have made a determination within sixty (60) days after receipt by the Company of Indemnitee’s written request for indemnification pursuant to Section 10(c) of this Agreement,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114" w:name="page115"/>
    <w:bookmarkEnd w:id="114"/>
    <w:p>
      <w:pPr>
        <w:ind w:right="200" w:firstLine="1042"/>
        <w:spacing w:after="0" w:line="257" w:lineRule="auto"/>
        <w:tabs>
          <w:tab w:leader="none" w:pos="12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i w:val="1"/>
          <w:iCs w:val="1"/>
          <w:color w:val="auto"/>
        </w:rPr>
        <w:t xml:space="preserve">nolo contendere </w:t>
      </w:r>
      <w:r>
        <w:rPr>
          <w:rFonts w:ascii="Arial" w:cs="Arial" w:eastAsia="Arial" w:hAnsi="Arial"/>
          <w:sz w:val="18"/>
          <w:szCs w:val="18"/>
          <w:color w:val="auto"/>
        </w:rPr>
        <w:t>or its equivalent, shall not (except as otherwise expressly provided in this Agreement) of itself adversely affect the right of Indemnitee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80" w:lineRule="exact"/>
        <w:rPr>
          <w:rFonts w:ascii="Arial" w:cs="Arial" w:eastAsia="Arial" w:hAnsi="Arial"/>
          <w:sz w:val="18"/>
          <w:szCs w:val="18"/>
          <w:color w:val="auto"/>
        </w:rPr>
      </w:pPr>
    </w:p>
    <w:p>
      <w:pPr>
        <w:ind w:right="140" w:firstLine="1042"/>
        <w:spacing w:after="0" w:line="273" w:lineRule="auto"/>
        <w:tabs>
          <w:tab w:leader="none" w:pos="1289"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Reliance as Safe Harbor</w:t>
      </w:r>
      <w:r>
        <w:rPr>
          <w:rFonts w:ascii="Arial" w:cs="Arial" w:eastAsia="Arial" w:hAnsi="Arial"/>
          <w:sz w:val="17"/>
          <w:szCs w:val="17"/>
          <w:color w:val="auto"/>
        </w:rPr>
        <w:t>. For purposes of any determination of good faith, Indemnitee shall be deemed to have acted in good faith if Indemnitee’s action or failure to act is based on the records or books of account of any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by the Enterprise. The provisions of this Section 12(d) shall not be deemed to be exclusive or to limit in any way the other circumstances in which Indemnitee may be deemed or found to have met the applicable standard of conduct set forth in this Agreement.</w:t>
      </w:r>
    </w:p>
    <w:p>
      <w:pPr>
        <w:spacing w:after="0" w:line="70" w:lineRule="exact"/>
        <w:rPr>
          <w:rFonts w:ascii="Arial" w:cs="Arial" w:eastAsia="Arial" w:hAnsi="Arial"/>
          <w:sz w:val="17"/>
          <w:szCs w:val="17"/>
          <w:color w:val="auto"/>
        </w:rPr>
      </w:pPr>
    </w:p>
    <w:p>
      <w:pPr>
        <w:ind w:right="660" w:firstLine="1042"/>
        <w:spacing w:after="0" w:line="264" w:lineRule="auto"/>
        <w:tabs>
          <w:tab w:leader="none" w:pos="127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Actions of Others</w:t>
      </w:r>
      <w:r>
        <w:rPr>
          <w:rFonts w:ascii="Arial" w:cs="Arial" w:eastAsia="Arial" w:hAnsi="Arial"/>
          <w:sz w:val="18"/>
          <w:szCs w:val="18"/>
          <w:color w:val="auto"/>
        </w:rPr>
        <w:t>. The knowledge and/or actions, or failure to act, of any other director, partner, managing member, officer, agent, employee or trustee of the Enterprise shall not be imputed to Indemnitee for purposes of determining Indemnitee’s right to indemnification under this Agreement.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7" w:lineRule="exact"/>
        <w:rPr>
          <w:sz w:val="20"/>
          <w:szCs w:val="20"/>
          <w:color w:val="auto"/>
        </w:rPr>
      </w:pPr>
    </w:p>
    <w:p>
      <w:pPr>
        <w:ind w:right="140" w:firstLine="1042"/>
        <w:spacing w:after="0" w:line="271" w:lineRule="auto"/>
        <w:tabs>
          <w:tab w:leader="none" w:pos="1279"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11 of this Agreement that Indemnitee is not entitled to indemnification under this Agreement, (ii) advancement of Expenses is not timely made pursuant to Section 9 or 10(b) of this Agreement, (iii) payment of indemnification is not made pursuant to Section 5, 6, 7 or the last sentence of Section 11(a) of this Agreement within ten (10) days after receipt by the Company of a written request therefor, or (iv) payment of indemnification pursuant to Section 3 or 4 of this Agreement is not made within ten (10) days after a determination has been made that Indemnitee is entitled to indemnification, Indemnitee shall be entitled to seek an adjudication by a court of competent jurisdiction as to Indemnitee’s entitlement to such indemnification or advancement of Expenses. Alternatively, Indemnitee, at Indemnitee’s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spacing w:after="0" w:line="70" w:lineRule="exact"/>
        <w:rPr>
          <w:rFonts w:ascii="Arial" w:cs="Arial" w:eastAsia="Arial" w:hAnsi="Arial"/>
          <w:sz w:val="17"/>
          <w:szCs w:val="17"/>
          <w:color w:val="auto"/>
        </w:rPr>
      </w:pPr>
    </w:p>
    <w:p>
      <w:pPr>
        <w:ind w:firstLine="1042"/>
        <w:spacing w:after="0" w:line="254" w:lineRule="auto"/>
        <w:tabs>
          <w:tab w:leader="none" w:pos="12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11(a) of this Agreement that Indemnitee is not entitled to indemnification, any judicial proceeding or arbitration, commenced pursuant to this Section 13, shall be conducted in all respects as a de novo trial or arbitration, on the merits, and Indemnitee shall not be prejudiced by reason of that adverse determination. In any judicial proceeding or arbitration commenced pursuant to this Section 13, in the event that the person, persons or entity empowered or selected under Section 11 of this Agreement to determine whether Indemnitee is entitled to indemnification has not made such a determination within the time period provided for under Section 12(b) of this Agreement, the Company shall stipulate and may not contest that Indemnitee acted in good faith and in a manner Indemnitee reasonably believed to be in or not opposed to the best interests of the Company, and, with respect to any criminal action or Proceeding, had no reasonable cause to believe Indemnitee’s conduct was unlawful.</w:t>
      </w:r>
    </w:p>
    <w:p>
      <w:pPr>
        <w:spacing w:after="0" w:line="84" w:lineRule="exact"/>
        <w:rPr>
          <w:rFonts w:ascii="Arial" w:cs="Arial" w:eastAsia="Arial" w:hAnsi="Arial"/>
          <w:sz w:val="18"/>
          <w:szCs w:val="18"/>
          <w:color w:val="auto"/>
        </w:rPr>
      </w:pPr>
    </w:p>
    <w:p>
      <w:pPr>
        <w:ind w:right="80" w:firstLine="1042"/>
        <w:spacing w:after="0" w:line="279" w:lineRule="auto"/>
        <w:tabs>
          <w:tab w:leader="none" w:pos="1279"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11(a) of this Agreement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63" w:lineRule="exact"/>
        <w:rPr>
          <w:rFonts w:ascii="Arial" w:cs="Arial" w:eastAsia="Arial" w:hAnsi="Arial"/>
          <w:sz w:val="17"/>
          <w:szCs w:val="17"/>
          <w:color w:val="auto"/>
        </w:rPr>
      </w:pPr>
    </w:p>
    <w:p>
      <w:pPr>
        <w:ind w:firstLine="1042"/>
        <w:spacing w:after="0" w:line="273" w:lineRule="auto"/>
        <w:tabs>
          <w:tab w:leader="none" w:pos="1289"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the event that Indemnitee is a party to a judicial proceeding or arbitration pursuant to this Section 13 concerning Indemnitee’s rights under, or to recover damages for breach of, this Agreement, Indemnitee shall be entitled to recover from the Company, and shall be indemnified by the Company against, any and all Expenses actually and reasonably incurred by him in such judicial adjudication or arbitration. If it shall be determined in said judicial adjudication or arbitration that Indemnitee is entitled to receive part but not all of the indemnification or advancement of Expenses sought, Indemnitee shall be entitled to recover from the Company (who shall be liable therefor), and shall be indemnified by the Company against, any and all Expenses reasonably incurred by Indemnitee in connection with such judicial adjudication or arbitration.</w:t>
      </w:r>
    </w:p>
    <w:p>
      <w:pPr>
        <w:spacing w:after="0" w:line="70" w:lineRule="exact"/>
        <w:rPr>
          <w:rFonts w:ascii="Arial" w:cs="Arial" w:eastAsia="Arial" w:hAnsi="Arial"/>
          <w:sz w:val="17"/>
          <w:szCs w:val="17"/>
          <w:color w:val="auto"/>
        </w:rPr>
      </w:pPr>
    </w:p>
    <w:p>
      <w:pPr>
        <w:ind w:firstLine="1042"/>
        <w:spacing w:after="0" w:line="291" w:lineRule="auto"/>
        <w:tabs>
          <w:tab w:leader="none" w:pos="127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shall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 The Company shall be liable to indemnify Indemnitee against any and all Expenses and, if requested by Indemnitee, shall (within ten (10) days after receipt by the Company of a written request therefor) advance such Expenses to Indemnitee that are incurred by Indemnitee in connection with any judicial adjudication or arbitration involving Indemnitee for indemnification or advancement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9" w:right="239" w:bottom="1440" w:gutter="0" w:footer="0" w:header="0"/>
        </w:sectPr>
      </w:pPr>
    </w:p>
    <w:bookmarkStart w:id="115" w:name="page116"/>
    <w:bookmarkEnd w:id="115"/>
    <w:p>
      <w:pPr>
        <w:ind w:left="50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Non-Exclusivity; Survival of Rights; Insurance</w:t>
      </w:r>
      <w:r>
        <w:rPr>
          <w:rFonts w:ascii="Arial" w:cs="Arial" w:eastAsia="Arial" w:hAnsi="Arial"/>
          <w:sz w:val="18"/>
          <w:szCs w:val="18"/>
          <w:color w:val="auto"/>
        </w:rPr>
        <w:t>.</w:t>
      </w:r>
    </w:p>
    <w:p>
      <w:pPr>
        <w:spacing w:after="0" w:line="117" w:lineRule="exact"/>
        <w:rPr>
          <w:sz w:val="20"/>
          <w:szCs w:val="20"/>
          <w:color w:val="auto"/>
        </w:rPr>
      </w:pPr>
    </w:p>
    <w:p>
      <w:pPr>
        <w:ind w:left="-20" w:firstLine="1042"/>
        <w:spacing w:after="0" w:line="269" w:lineRule="auto"/>
        <w:tabs>
          <w:tab w:leader="none" w:pos="1259"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Company’s or any other Enterprise’s Certificate of Incorporation, Bylaws or similar organizational documents, any agreement, a vote of stockholders or a resolution of directors or otherwise. No amendment, alteration or repeal of this Agreement or of any provision hereof shall limit or restrict any right of Indemnitee under this Agreement in respect to any action taken or omitted by such Indemnitee in Indemnitee’s Corporate Status prior to such amendment, alteration or repeal. To the extent that a change in Delaware law, whether by statute or judicial decision, permits greater indemnification or advancement of Expenses than would be afforded currently under the Company’s or any other Enterprise’s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74" w:lineRule="exact"/>
        <w:rPr>
          <w:rFonts w:ascii="Arial" w:cs="Arial" w:eastAsia="Arial" w:hAnsi="Arial"/>
          <w:sz w:val="17"/>
          <w:szCs w:val="17"/>
          <w:color w:val="auto"/>
        </w:rPr>
      </w:pPr>
    </w:p>
    <w:p>
      <w:pPr>
        <w:ind w:left="-20" w:right="60" w:firstLine="1042"/>
        <w:spacing w:after="0" w:line="272" w:lineRule="auto"/>
        <w:tabs>
          <w:tab w:leader="none" w:pos="1269" w:val="left"/>
        </w:tabs>
        <w:numPr>
          <w:ilvl w:val="1"/>
          <w:numId w:val="91"/>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partners, managing members, officers, employees, agents or trustees of the Company or of any other Enterprise, Indemnitee shall be covered by such policy or policies in accordance with its or their terms to the maximum extent of the coverage available for any such director, partner, managing member, officer, employee, agent or trustee under such policy or policies. If, at the time of the receipt of a notice of a claim pursuant to Section 10(a)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69" w:lineRule="exact"/>
        <w:rPr>
          <w:rFonts w:ascii="Arial" w:cs="Arial" w:eastAsia="Arial" w:hAnsi="Arial"/>
          <w:sz w:val="17"/>
          <w:szCs w:val="17"/>
          <w:color w:val="auto"/>
        </w:rPr>
      </w:pPr>
    </w:p>
    <w:p>
      <w:pPr>
        <w:jc w:val="both"/>
        <w:ind w:left="-20" w:right="180" w:firstLine="1042"/>
        <w:spacing w:after="0" w:line="264" w:lineRule="auto"/>
        <w:tabs>
          <w:tab w:leader="none" w:pos="1259"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[Except as provided in Section 14(e),] The Company shall not be liable under this Agreement to make any payment of amounts otherwise indemnifiable (or for which advancement is provided hereunder) hereunder only to the extent that Indemnitee has otherwise actually received such payment under any insurance policy, contract, agreement or otherwise.</w:t>
      </w:r>
    </w:p>
    <w:p>
      <w:pPr>
        <w:spacing w:after="0" w:line="73" w:lineRule="exact"/>
        <w:rPr>
          <w:rFonts w:ascii="Arial" w:cs="Arial" w:eastAsia="Arial" w:hAnsi="Arial"/>
          <w:sz w:val="18"/>
          <w:szCs w:val="18"/>
          <w:color w:val="auto"/>
        </w:rPr>
      </w:pPr>
    </w:p>
    <w:p>
      <w:pPr>
        <w:ind w:left="-20" w:right="120" w:firstLine="1042"/>
        <w:spacing w:after="0" w:line="290" w:lineRule="auto"/>
        <w:tabs>
          <w:tab w:leader="none" w:pos="1269" w:val="left"/>
        </w:tabs>
        <w:numPr>
          <w:ilvl w:val="1"/>
          <w:numId w:val="91"/>
        </w:numPr>
        <w:rPr>
          <w:rFonts w:ascii="Arial" w:cs="Arial" w:eastAsia="Arial" w:hAnsi="Arial"/>
          <w:sz w:val="17"/>
          <w:szCs w:val="17"/>
          <w:color w:val="auto"/>
        </w:rPr>
      </w:pPr>
      <w:r>
        <w:rPr>
          <w:rFonts w:ascii="Arial" w:cs="Arial" w:eastAsia="Arial" w:hAnsi="Arial"/>
          <w:sz w:val="17"/>
          <w:szCs w:val="17"/>
          <w:color w:val="auto"/>
        </w:rPr>
        <w:t>[Except as provided in Section 14(e),] The Company’s obligation hereunder to indemnify, or advance Expenses to, Indemnitee who was, is or will be serving as a director, partner, managing member, officer, employee, agent or trustee of any other Enterprise shall be reduced by any amount Indemnitee has actually received as indemnification or advancement of Expenses from such other Enterprise.</w:t>
      </w:r>
      <w:r>
        <w:rPr>
          <w:rFonts w:ascii="Arial" w:cs="Arial" w:eastAsia="Arial" w:hAnsi="Arial"/>
          <w:sz w:val="25"/>
          <w:szCs w:val="25"/>
          <w:color w:val="auto"/>
          <w:vertAlign w:val="superscript"/>
        </w:rPr>
        <w:t>1</w:t>
      </w:r>
    </w:p>
    <w:p>
      <w:pPr>
        <w:spacing w:after="0" w:line="4" w:lineRule="exact"/>
        <w:rPr>
          <w:rFonts w:ascii="Arial" w:cs="Arial" w:eastAsia="Arial" w:hAnsi="Arial"/>
          <w:sz w:val="17"/>
          <w:szCs w:val="17"/>
          <w:color w:val="auto"/>
        </w:rPr>
      </w:pPr>
    </w:p>
    <w:p>
      <w:pPr>
        <w:ind w:left="520" w:right="20" w:hanging="527"/>
        <w:spacing w:after="0" w:line="286" w:lineRule="auto"/>
        <w:rPr>
          <w:rFonts w:ascii="Arial" w:cs="Arial" w:eastAsia="Arial" w:hAnsi="Arial"/>
          <w:sz w:val="17"/>
          <w:szCs w:val="17"/>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[INSERT TO THE EXTENT APPLICABLE] [(e) Notwithstanding the foregoing, the Company hereby acknowledges that Indemnitee has certain rights to indemnification, advancement of expenses and/or insurance provided by [Name of Fund/Sponsor] and certain of [its][their] affiliates (collectively, the “Fund Indemnitors”).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third party beneficiaries of the terms of this Section 14(e).]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-1842770</wp:posOffset>
            </wp:positionV>
            <wp:extent cx="2418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557" w:right="239" w:bottom="1440" w:gutter="0" w:footer="0" w:header="0"/>
        </w:sectPr>
      </w:pPr>
    </w:p>
    <w:bookmarkStart w:id="116" w:name="page117"/>
    <w:bookmarkEnd w:id="116"/>
    <w:p>
      <w:pPr>
        <w:ind w:right="160" w:firstLine="518"/>
        <w:spacing w:after="0" w:line="273"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This Agreement shall continue until and terminate upon the later of: (a) ten (10) years after the date that Indemnitee shall have ceased to serve as a director or officer of the Company or as a director, general partner, managing member, officer, employee, agent, fiduciary or trustee of any other Enterprise; or (b) one (1) year after the final termination (i) of any Proceeding (including any rights of appeal) then pending in respect of which Indemnitee requests indemnification or advancement of Expenses hereunder and (ii) of any judicial proceeding or arbitration pursuant to Section 13 of this Agreement (including any rights of appeal) involving Indemnitee. This Agreement shall be binding upon the Company and its successors and assigns and shall inure to the benefit of Indemnitee and Indemnitee’s heirs, executors and administrators.</w:t>
      </w:r>
    </w:p>
    <w:p>
      <w:pPr>
        <w:spacing w:after="0" w:line="178"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ind w:right="160" w:firstLine="1042"/>
        <w:spacing w:after="0" w:line="264" w:lineRule="auto"/>
        <w:tabs>
          <w:tab w:leader="none" w:pos="127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continue to serve as a director or officer of the Company, and the Company acknowledges that Indemnitee is relying upon this Agreement in serving as a director or officer of the Company.</w:t>
      </w:r>
    </w:p>
    <w:p>
      <w:pPr>
        <w:spacing w:after="0" w:line="73" w:lineRule="exact"/>
        <w:rPr>
          <w:rFonts w:ascii="Arial" w:cs="Arial" w:eastAsia="Arial" w:hAnsi="Arial"/>
          <w:sz w:val="18"/>
          <w:szCs w:val="18"/>
          <w:color w:val="auto"/>
        </w:rPr>
      </w:pPr>
    </w:p>
    <w:p>
      <w:pPr>
        <w:ind w:right="300" w:firstLine="1042"/>
        <w:spacing w:after="0" w:line="308" w:lineRule="auto"/>
        <w:tabs>
          <w:tab w:leader="none" w:pos="1289"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hereto with respect to the subject hereof and supersedes any and all prior agreements and understandings, oral, written and implied, between the parties hereto with respect to the subject matter hereof.</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parties hereto. No waiver of any of the provisions of this Agreement shall be deemed or shall constitute a wavier of any other provisions of this Agreement nor shall any waiver constitute a continuing waiver.</w:t>
      </w:r>
    </w:p>
    <w:p>
      <w:pPr>
        <w:spacing w:after="0" w:line="18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w:t>
      </w:r>
    </w:p>
    <w:p>
      <w:pPr>
        <w:spacing w:after="0" w:line="18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 given (a) if delivered by hand and receipted for by the party to whom said notice or other communication shall have been directed, (b) when sent by confirmed electronic mail or facsimile if sent during normal business hours of the recipient, and if not so confirmed, then on the next business day, (c) if mailed by certified or registered mail with postage prepaid, on the third business day after the date on which it is so mailed, or (d) one (1) day after deposit with a nationally recognized overnight courier, specifying next day delivery, with written verification:</w:t>
      </w:r>
    </w:p>
    <w:p>
      <w:pPr>
        <w:spacing w:after="0" w:line="64" w:lineRule="exact"/>
        <w:rPr>
          <w:sz w:val="20"/>
          <w:szCs w:val="20"/>
          <w:color w:val="auto"/>
        </w:rPr>
      </w:pPr>
    </w:p>
    <w:p>
      <w:pPr>
        <w:ind w:right="440" w:firstLine="1042"/>
        <w:spacing w:after="0" w:line="277" w:lineRule="auto"/>
        <w:tabs>
          <w:tab w:leader="none" w:pos="12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62" w:lineRule="exact"/>
        <w:rPr>
          <w:rFonts w:ascii="Arial" w:cs="Arial" w:eastAsia="Arial" w:hAnsi="Arial"/>
          <w:sz w:val="18"/>
          <w:szCs w:val="18"/>
          <w:color w:val="auto"/>
        </w:rPr>
      </w:pPr>
    </w:p>
    <w:p>
      <w:pPr>
        <w:ind w:left="1300" w:hanging="258"/>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60 Leveroni Court</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Novato, CA 94949</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Fax: 415.483.8810</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E-Mail: SSharp@ultragenyx.com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Contribution</w:t>
      </w:r>
      <w:r>
        <w:rPr>
          <w:rFonts w:ascii="Arial" w:cs="Arial" w:eastAsia="Arial" w:hAnsi="Arial"/>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in order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7" w:right="239" w:bottom="1440" w:gutter="0" w:footer="0" w:header="0"/>
        </w:sectPr>
      </w:pPr>
    </w:p>
    <w:bookmarkStart w:id="117" w:name="page118"/>
    <w:bookmarkEnd w:id="117"/>
    <w:p>
      <w:pPr>
        <w:ind w:right="240"/>
        <w:spacing w:after="0" w:line="264" w:lineRule="auto"/>
        <w:rPr>
          <w:sz w:val="20"/>
          <w:szCs w:val="20"/>
          <w:color w:val="auto"/>
        </w:rPr>
      </w:pPr>
      <w:r>
        <w:rPr>
          <w:rFonts w:ascii="Arial" w:cs="Arial" w:eastAsia="Arial" w:hAnsi="Arial"/>
          <w:sz w:val="18"/>
          <w:szCs w:val="18"/>
          <w:color w:val="auto"/>
        </w:rPr>
        <w:t>to reflect (i) the relative benefits received by the Company and Indemnitee as a result of the event(s) and/or transaction(s) giving cause to such Proceeding; and/or (ii) the relative fault of the Company (and its directors, officer, employees and agents) and Indemnitee in connection with such event(s) and/or transaction(s).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enforced in accordance with, the laws of the State of Delaware, without regard to its conflict of laws rules. Except with respect to any arbitration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commenced by Indemnitee pursuant to Section 13(a) of this Agreement, the Company and Indemnitee hereby irrevocably and unconditionally (i) agree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action or proceeding arising out of or in connection with this Agreement shall be brought only in the Chancery Court of the State of Delaware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Delaware Court</w:t>
      </w:r>
      <w:r>
        <w:rPr>
          <w:rFonts w:ascii="Arial" w:cs="Arial" w:eastAsia="Arial" w:hAnsi="Arial"/>
          <w:sz w:val="16"/>
          <w:szCs w:val="16"/>
          <w:color w:val="auto"/>
        </w:rPr>
        <w:t>”), and not in any other state or federal court in the United States of America or any court in any other country (ii) consent to submit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exclusive jurisdiction of the Delaware Court for purposes of any action or proceeding arising out of or in connection with this Agreement, (iii) consent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service of process at the address set forth in Section 20 of this Agreement with the same legal force and validity as if served upon such party personally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State of Delaware, (iv) waive any objection to the laying of venue of any such action or proceeding in the Delaware Court, and (v) waive, and agree not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plead or to make, any claim that any such action or proceeding brought in the Delaware Court has been brought in an improper or inconvenient forum.</w:t>
      </w:r>
    </w:p>
    <w:p>
      <w:pPr>
        <w:spacing w:after="0" w:line="222"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for all purposes be deemed to be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25"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ULTRAGENYX PHARMACEUTICAL INC.</w:t>
      </w:r>
    </w:p>
    <w:p>
      <w:pPr>
        <w:spacing w:after="0" w:line="225" w:lineRule="exact"/>
        <w:rPr>
          <w:sz w:val="20"/>
          <w:szCs w:val="20"/>
          <w:color w:val="auto"/>
        </w:rPr>
      </w:pPr>
    </w:p>
    <w:tbl>
      <w:tblPr>
        <w:tblLayout w:type="fixed"/>
        <w:tblInd w:w="6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100"/>
              <w:spacing w:after="0" w:line="195" w:lineRule="exact"/>
              <w:rPr>
                <w:sz w:val="20"/>
                <w:szCs w:val="20"/>
                <w:color w:val="auto"/>
              </w:rPr>
            </w:pPr>
            <w:r>
              <w:rPr>
                <w:rFonts w:ascii="Arial" w:cs="Arial" w:eastAsia="Arial" w:hAnsi="Arial"/>
                <w:sz w:val="18"/>
                <w:szCs w:val="18"/>
                <w:color w:val="auto"/>
              </w:rPr>
              <w:t>Emil D. Kakkis, M.D., Ph.D.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289560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14605</wp:posOffset>
            </wp:positionV>
            <wp:extent cx="2349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598170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452120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306705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160655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14605</wp:posOffset>
            </wp:positionV>
            <wp:extent cx="2349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14605</wp:posOffset>
            </wp:positionV>
            <wp:extent cx="2349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60" w:top="34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 D. Kakkis, certify that:</w:t>
      </w:r>
    </w:p>
    <w:p>
      <w:pPr>
        <w:spacing w:after="0" w:line="117" w:lineRule="exact"/>
        <w:rPr>
          <w:sz w:val="20"/>
          <w:szCs w:val="20"/>
          <w:color w:val="auto"/>
        </w:rPr>
      </w:pPr>
    </w:p>
    <w:p>
      <w:pPr>
        <w:ind w:left="540" w:hanging="532"/>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Ultragenyx Pharmaceutical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400" w:hanging="532"/>
        <w:spacing w:after="0" w:line="264"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left="540" w:right="300" w:hanging="532"/>
        <w:spacing w:after="0" w:line="308" w:lineRule="auto"/>
        <w:tabs>
          <w:tab w:leader="none" w:pos="5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00" w:type="dxa"/>
            <w:vAlign w:val="bottom"/>
          </w:tcPr>
          <w:p>
            <w:pPr>
              <w:spacing w:after="0"/>
              <w:rPr>
                <w:sz w:val="20"/>
                <w:szCs w:val="20"/>
                <w:color w:val="auto"/>
              </w:rPr>
            </w:pPr>
            <w:r>
              <w:rPr>
                <w:rFonts w:ascii="Arial" w:cs="Arial" w:eastAsia="Arial" w:hAnsi="Arial"/>
                <w:sz w:val="18"/>
                <w:szCs w:val="18"/>
                <w:color w:val="auto"/>
              </w:rPr>
              <w:t>Dated: March 24, 2014</w:t>
            </w:r>
          </w:p>
        </w:tc>
        <w:tc>
          <w:tcPr>
            <w:tcW w:w="4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Emil D. Kakkis</w:t>
            </w:r>
          </w:p>
        </w:tc>
      </w:tr>
      <w:tr>
        <w:trPr>
          <w:trHeight w:val="195"/>
        </w:trPr>
        <w:tc>
          <w:tcPr>
            <w:tcW w:w="70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70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0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Shalini Sharp, certify that:</w:t>
      </w:r>
    </w:p>
    <w:p>
      <w:pPr>
        <w:spacing w:after="0" w:line="117" w:lineRule="exact"/>
        <w:rPr>
          <w:sz w:val="20"/>
          <w:szCs w:val="20"/>
          <w:color w:val="auto"/>
        </w:rPr>
      </w:pPr>
    </w:p>
    <w:p>
      <w:pPr>
        <w:ind w:left="540" w:hanging="532"/>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Ultragenyx Pharmaceutical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400" w:hanging="532"/>
        <w:spacing w:after="0" w:line="264"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left="540" w:right="300" w:hanging="532"/>
        <w:spacing w:after="0" w:line="30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00" w:type="dxa"/>
            <w:vAlign w:val="bottom"/>
          </w:tcPr>
          <w:p>
            <w:pPr>
              <w:spacing w:after="0"/>
              <w:rPr>
                <w:sz w:val="20"/>
                <w:szCs w:val="20"/>
                <w:color w:val="auto"/>
              </w:rPr>
            </w:pPr>
            <w:r>
              <w:rPr>
                <w:rFonts w:ascii="Arial" w:cs="Arial" w:eastAsia="Arial" w:hAnsi="Arial"/>
                <w:sz w:val="18"/>
                <w:szCs w:val="18"/>
                <w:color w:val="auto"/>
              </w:rPr>
              <w:t>Dated: March 24, 2014</w:t>
            </w:r>
          </w:p>
        </w:tc>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Shalini Sharp</w:t>
            </w:r>
          </w:p>
        </w:tc>
      </w:tr>
      <w:tr>
        <w:trPr>
          <w:trHeight w:val="195"/>
        </w:trPr>
        <w:tc>
          <w:tcPr>
            <w:tcW w:w="70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70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30"/>
        </w:trPr>
        <w:tc>
          <w:tcPr>
            <w:tcW w:w="70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(18 U.S.C. SECTION 1350)</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connection with the accompanying Annual Report of Ultragenyx Pharmaceutical Inc. (the “Company”) on Form 10-K for the fiscal year ended December 31, 2013 (the “Report”), I, Emil D. Kakkis, M.D., Ph.D., as President and Chief Executive Officer of the Company, and Shalini Sharp, as Chief Financial Officer and Senior Vice President of the Company, certify, pursuant to 18 U.S.C. Section 1350, as adopted pursuant to Section 906 of the Sarbanes-Oxley Act of 2002, that:</w:t>
      </w:r>
    </w:p>
    <w:p>
      <w:pPr>
        <w:spacing w:after="0" w:line="79" w:lineRule="exact"/>
        <w:rPr>
          <w:sz w:val="20"/>
          <w:szCs w:val="20"/>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080" w:type="dxa"/>
            <w:vAlign w:val="bottom"/>
          </w:tcPr>
          <w:p>
            <w:pPr>
              <w:spacing w:after="0"/>
              <w:rPr>
                <w:sz w:val="20"/>
                <w:szCs w:val="20"/>
                <w:color w:val="auto"/>
              </w:rPr>
            </w:pPr>
            <w:r>
              <w:rPr>
                <w:rFonts w:ascii="Arial" w:cs="Arial" w:eastAsia="Arial" w:hAnsi="Arial"/>
                <w:sz w:val="18"/>
                <w:szCs w:val="18"/>
                <w:color w:val="auto"/>
              </w:rPr>
              <w:t>Dated: March 24, 2014</w:t>
            </w:r>
          </w:p>
        </w:tc>
        <w:tc>
          <w:tcPr>
            <w:tcW w:w="4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Emil D. Kakkis</w:t>
            </w:r>
          </w:p>
        </w:tc>
      </w:tr>
      <w:tr>
        <w:trPr>
          <w:trHeight w:val="195"/>
        </w:trPr>
        <w:tc>
          <w:tcPr>
            <w:tcW w:w="708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70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0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86"/>
        </w:trPr>
        <w:tc>
          <w:tcPr>
            <w:tcW w:w="7080" w:type="dxa"/>
            <w:vAlign w:val="bottom"/>
          </w:tcPr>
          <w:p>
            <w:pPr>
              <w:spacing w:after="0"/>
              <w:rPr>
                <w:sz w:val="20"/>
                <w:szCs w:val="20"/>
                <w:color w:val="auto"/>
              </w:rPr>
            </w:pPr>
            <w:r>
              <w:rPr>
                <w:rFonts w:ascii="Arial" w:cs="Arial" w:eastAsia="Arial" w:hAnsi="Arial"/>
                <w:sz w:val="18"/>
                <w:szCs w:val="18"/>
                <w:color w:val="auto"/>
              </w:rPr>
              <w:t>Dated: March 24, 2014</w:t>
            </w:r>
          </w:p>
        </w:tc>
        <w:tc>
          <w:tcPr>
            <w:tcW w:w="4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Shalini Sharp</w:t>
            </w:r>
          </w:p>
        </w:tc>
      </w:tr>
      <w:tr>
        <w:trPr>
          <w:trHeight w:val="195"/>
        </w:trPr>
        <w:tc>
          <w:tcPr>
            <w:tcW w:w="708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70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30"/>
        </w:trPr>
        <w:tc>
          <w:tcPr>
            <w:tcW w:w="70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R"/>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emdash "/>
      <w:numFmt w:val="bullet"/>
      <w:start w:val="1"/>
    </w:lvl>
  </w:abstractNum>
  <w:abstractNum w:abstractNumId="3">
    <w:nsid w:val="70C6A529"/>
    <w:multiLevelType w:val="hybridMultilevel"/>
    <w:lvl w:ilvl="0">
      <w:lvlJc w:val="left"/>
      <w:lvlText w:val="\emdash "/>
      <w:numFmt w:val="bullet"/>
      <w:start w:val="1"/>
    </w:lvl>
  </w:abstractNum>
  <w:abstractNum w:abstractNumId="4">
    <w:nsid w:val="520EEDD1"/>
    <w:multiLevelType w:val="hybridMultilevel"/>
    <w:lvl w:ilvl="0">
      <w:lvlJc w:val="left"/>
      <w:lvlText w:val="\emdash "/>
      <w:numFmt w:val="bullet"/>
      <w:start w:val="1"/>
    </w:lvl>
  </w:abstractNum>
  <w:abstractNum w:abstractNumId="5">
    <w:nsid w:val="374A3FE6"/>
    <w:multiLevelType w:val="hybridMultilevel"/>
    <w:lvl w:ilvl="0">
      <w:lvlJc w:val="left"/>
      <w:lvlText w:val="\emdash "/>
      <w:numFmt w:val="bullet"/>
      <w:start w:val="1"/>
    </w:lvl>
  </w:abstractNum>
  <w:abstractNum w:abstractNumId="6">
    <w:nsid w:val="4F4EF005"/>
    <w:multiLevelType w:val="hybridMultilevel"/>
    <w:lvl w:ilvl="0">
      <w:lvlJc w:val="left"/>
      <w:lvlText w:val="\emdash "/>
      <w:numFmt w:val="bullet"/>
      <w:start w:val="1"/>
    </w:lvl>
  </w:abstractNum>
  <w:abstractNum w:abstractNumId="7">
    <w:nsid w:val="23F9C13C"/>
    <w:multiLevelType w:val="hybridMultilevel"/>
    <w:lvl w:ilvl="0">
      <w:lvlJc w:val="left"/>
      <w:lvlText w:val="\emdash "/>
      <w:numFmt w:val="bullet"/>
      <w:start w:val="1"/>
    </w:lvl>
  </w:abstractNum>
  <w:abstractNum w:abstractNumId="8">
    <w:nsid w:val="649BB77C"/>
    <w:multiLevelType w:val="hybridMultilevel"/>
    <w:lvl w:ilvl="0">
      <w:lvlJc w:val="left"/>
      <w:lvlText w:val="\emdash "/>
      <w:numFmt w:val="bullet"/>
      <w:start w:val="1"/>
    </w:lvl>
    <w:lvl w:ilvl="1">
      <w:lvlJc w:val="left"/>
      <w:lvlText w:val="\emdash "/>
      <w:numFmt w:val="bullet"/>
      <w:start w:val="1"/>
    </w:lvl>
  </w:abstractNum>
  <w:abstractNum w:abstractNumId="9">
    <w:nsid w:val="275AC794"/>
    <w:multiLevelType w:val="hybridMultilevel"/>
    <w:lvl w:ilvl="0">
      <w:lvlJc w:val="left"/>
      <w:lvlText w:val="\emdash "/>
      <w:numFmt w:val="bullet"/>
      <w:start w:val="1"/>
    </w:lvl>
  </w:abstractNum>
  <w:abstractNum w:abstractNumId="10">
    <w:nsid w:val="39386575"/>
    <w:multiLevelType w:val="hybridMultilevel"/>
    <w:lvl w:ilvl="0">
      <w:lvlJc w:val="left"/>
      <w:lvlText w:val="\emdash "/>
      <w:numFmt w:val="bullet"/>
      <w:start w:val="1"/>
    </w:lvl>
  </w:abstractNum>
  <w:abstractNum w:abstractNumId="11">
    <w:nsid w:val="1CF10FD8"/>
    <w:multiLevelType w:val="hybridMultilevel"/>
    <w:lvl w:ilvl="0">
      <w:lvlJc w:val="left"/>
      <w:lvlText w:val="\emdash "/>
      <w:numFmt w:val="bullet"/>
      <w:start w:val="1"/>
    </w:lvl>
  </w:abstractNum>
  <w:abstractNum w:abstractNumId="12">
    <w:nsid w:val="180115BE"/>
    <w:multiLevelType w:val="hybridMultilevel"/>
    <w:lvl w:ilvl="0">
      <w:lvlJc w:val="left"/>
      <w:lvlText w:val="\emdash "/>
      <w:numFmt w:val="bullet"/>
      <w:start w:val="1"/>
    </w:lvl>
  </w:abstractNum>
  <w:abstractNum w:abstractNumId="13">
    <w:nsid w:val="235BA861"/>
    <w:multiLevelType w:val="hybridMultilevel"/>
    <w:lvl w:ilvl="0">
      <w:lvlJc w:val="left"/>
      <w:lvlText w:val="\emdash "/>
      <w:numFmt w:val="bullet"/>
      <w:start w:val="1"/>
    </w:lvl>
  </w:abstractNum>
  <w:abstractNum w:abstractNumId="14">
    <w:nsid w:val="47398C89"/>
    <w:multiLevelType w:val="hybridMultilevel"/>
    <w:lvl w:ilvl="0">
      <w:lvlJc w:val="left"/>
      <w:lvlText w:val="\emdash "/>
      <w:numFmt w:val="bullet"/>
      <w:start w:val="1"/>
    </w:lvl>
  </w:abstractNum>
  <w:abstractNum w:abstractNumId="15">
    <w:nsid w:val="354FE9F9"/>
    <w:multiLevelType w:val="hybridMultilevel"/>
    <w:lvl w:ilvl="0">
      <w:lvlJc w:val="left"/>
      <w:lvlText w:val="\emdash "/>
      <w:numFmt w:val="bullet"/>
      <w:start w:val="1"/>
    </w:lvl>
  </w:abstractNum>
  <w:abstractNum w:abstractNumId="16">
    <w:nsid w:val="15B5AF5C"/>
    <w:multiLevelType w:val="hybridMultilevel"/>
    <w:lvl w:ilvl="0">
      <w:lvlJc w:val="left"/>
      <w:lvlText w:val="\emdash "/>
      <w:numFmt w:val="bullet"/>
      <w:start w:val="1"/>
    </w:lvl>
  </w:abstractNum>
  <w:abstractNum w:abstractNumId="17">
    <w:nsid w:val="741226BB"/>
    <w:multiLevelType w:val="hybridMultilevel"/>
    <w:lvl w:ilvl="0">
      <w:lvlJc w:val="left"/>
      <w:lvlText w:val="\emdash "/>
      <w:numFmt w:val="bullet"/>
      <w:start w:val="1"/>
    </w:lvl>
  </w:abstractNum>
  <w:abstractNum w:abstractNumId="18">
    <w:nsid w:val="D34B6A8"/>
    <w:multiLevelType w:val="hybridMultilevel"/>
    <w:lvl w:ilvl="0">
      <w:lvlJc w:val="left"/>
      <w:lvlText w:val="\emdash "/>
      <w:numFmt w:val="bullet"/>
      <w:start w:val="1"/>
    </w:lvl>
  </w:abstractNum>
  <w:abstractNum w:abstractNumId="19">
    <w:nsid w:val="10233C99"/>
    <w:multiLevelType w:val="hybridMultilevel"/>
    <w:lvl w:ilvl="0">
      <w:lvlJc w:val="left"/>
      <w:lvlText w:val="\emdash "/>
      <w:numFmt w:val="bullet"/>
      <w:start w:val="1"/>
    </w:lvl>
  </w:abstractNum>
  <w:abstractNum w:abstractNumId="20">
    <w:nsid w:val="3F6AB60F"/>
    <w:multiLevelType w:val="hybridMultilevel"/>
    <w:lvl w:ilvl="0">
      <w:lvlJc w:val="left"/>
      <w:lvlText w:val="\emdash "/>
      <w:numFmt w:val="bullet"/>
      <w:start w:val="1"/>
    </w:lvl>
  </w:abstractNum>
  <w:abstractNum w:abstractNumId="21">
    <w:nsid w:val="61574095"/>
    <w:multiLevelType w:val="hybridMultilevel"/>
    <w:lvl w:ilvl="0">
      <w:lvlJc w:val="left"/>
      <w:lvlText w:val="\emdash "/>
      <w:numFmt w:val="bullet"/>
      <w:start w:val="1"/>
    </w:lvl>
  </w:abstractNum>
  <w:abstractNum w:abstractNumId="22">
    <w:nsid w:val="7E0C57B1"/>
    <w:multiLevelType w:val="hybridMultilevel"/>
    <w:lvl w:ilvl="0">
      <w:lvlJc w:val="left"/>
      <w:lvlText w:val="\emdash "/>
      <w:numFmt w:val="bullet"/>
      <w:start w:val="1"/>
    </w:lvl>
  </w:abstractNum>
  <w:abstractNum w:abstractNumId="23">
    <w:nsid w:val="77AE35EB"/>
    <w:multiLevelType w:val="hybridMultilevel"/>
    <w:lvl w:ilvl="0">
      <w:lvlJc w:val="left"/>
      <w:lvlText w:val="\emdash "/>
      <w:numFmt w:val="bullet"/>
      <w:start w:val="1"/>
    </w:lvl>
  </w:abstractNum>
  <w:abstractNum w:abstractNumId="24">
    <w:nsid w:val="579BE4F1"/>
    <w:multiLevelType w:val="hybridMultilevel"/>
    <w:lvl w:ilvl="0">
      <w:lvlJc w:val="left"/>
      <w:lvlText w:val="\emdash "/>
      <w:numFmt w:val="bullet"/>
      <w:start w:val="1"/>
    </w:lvl>
  </w:abstractNum>
  <w:abstractNum w:abstractNumId="25">
    <w:nsid w:val="310C50B3"/>
    <w:multiLevelType w:val="hybridMultilevel"/>
    <w:lvl w:ilvl="0">
      <w:lvlJc w:val="left"/>
      <w:lvlText w:val="\emdash "/>
      <w:numFmt w:val="bullet"/>
      <w:start w:val="1"/>
    </w:lvl>
  </w:abstractNum>
  <w:abstractNum w:abstractNumId="26">
    <w:nsid w:val="5FF87E05"/>
    <w:multiLevelType w:val="hybridMultilevel"/>
    <w:lvl w:ilvl="0">
      <w:lvlJc w:val="left"/>
      <w:lvlText w:val="\emdash "/>
      <w:numFmt w:val="bullet"/>
      <w:start w:val="1"/>
    </w:lvl>
  </w:abstractNum>
  <w:abstractNum w:abstractNumId="27">
    <w:nsid w:val="2F305DEF"/>
    <w:multiLevelType w:val="hybridMultilevel"/>
    <w:lvl w:ilvl="0">
      <w:lvlJc w:val="left"/>
      <w:lvlText w:val="\emdash "/>
      <w:numFmt w:val="bullet"/>
      <w:start w:val="1"/>
    </w:lvl>
  </w:abstractNum>
  <w:abstractNum w:abstractNumId="28">
    <w:nsid w:val="25A70BF7"/>
    <w:multiLevelType w:val="hybridMultilevel"/>
    <w:lvl w:ilvl="0">
      <w:lvlJc w:val="left"/>
      <w:lvlText w:val="\emdash "/>
      <w:numFmt w:val="bullet"/>
      <w:start w:val="1"/>
    </w:lvl>
  </w:abstractNum>
  <w:abstractNum w:abstractNumId="29">
    <w:nsid w:val="1DBABF00"/>
    <w:multiLevelType w:val="hybridMultilevel"/>
    <w:lvl w:ilvl="0">
      <w:lvlJc w:val="left"/>
      <w:lvlText w:val="\emdash "/>
      <w:numFmt w:val="bullet"/>
      <w:start w:val="1"/>
    </w:lvl>
  </w:abstractNum>
  <w:abstractNum w:abstractNumId="30">
    <w:nsid w:val="4AD084E9"/>
    <w:multiLevelType w:val="hybridMultilevel"/>
    <w:lvl w:ilvl="0">
      <w:lvlJc w:val="left"/>
      <w:lvlText w:val="\emdash "/>
      <w:numFmt w:val="bullet"/>
      <w:start w:val="1"/>
    </w:lvl>
  </w:abstractNum>
  <w:abstractNum w:abstractNumId="31">
    <w:nsid w:val="1F48EAA1"/>
    <w:multiLevelType w:val="hybridMultilevel"/>
    <w:lvl w:ilvl="0">
      <w:lvlJc w:val="left"/>
      <w:lvlText w:val="\emdash "/>
      <w:numFmt w:val="bullet"/>
      <w:start w:val="1"/>
    </w:lvl>
  </w:abstractNum>
  <w:abstractNum w:abstractNumId="32">
    <w:nsid w:val="1381823A"/>
    <w:multiLevelType w:val="hybridMultilevel"/>
    <w:lvl w:ilvl="0">
      <w:lvlJc w:val="left"/>
      <w:lvlText w:val="\emdash "/>
      <w:numFmt w:val="bullet"/>
      <w:start w:val="1"/>
    </w:lvl>
  </w:abstractNum>
  <w:abstractNum w:abstractNumId="33">
    <w:nsid w:val="5DB70AE5"/>
    <w:multiLevelType w:val="hybridMultilevel"/>
    <w:lvl w:ilvl="0">
      <w:lvlJc w:val="left"/>
      <w:lvlText w:val="(%1)"/>
      <w:numFmt w:val="decimal"/>
      <w:start w:val="2"/>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emdash "/>
      <w:numFmt w:val="bullet"/>
      <w:start w:val="1"/>
    </w:lvl>
  </w:abstractNum>
  <w:abstractNum w:abstractNumId="36">
    <w:nsid w:val="15014ACB"/>
    <w:multiLevelType w:val="hybridMultilevel"/>
    <w:lvl w:ilvl="0">
      <w:lvlJc w:val="left"/>
      <w:lvlText w:val="\emdash "/>
      <w:numFmt w:val="bullet"/>
      <w:start w:val="1"/>
    </w:lvl>
  </w:abstractNum>
  <w:abstractNum w:abstractNumId="37">
    <w:nsid w:val="5F5E7FD0"/>
    <w:multiLevelType w:val="hybridMultilevel"/>
    <w:lvl w:ilvl="0">
      <w:lvlJc w:val="left"/>
      <w:lvlText w:val="\emdash "/>
      <w:numFmt w:val="bullet"/>
      <w:start w:val="1"/>
    </w:lvl>
  </w:abstractNum>
  <w:abstractNum w:abstractNumId="38">
    <w:nsid w:val="98A3148"/>
    <w:multiLevelType w:val="hybridMultilevel"/>
    <w:lvl w:ilvl="0">
      <w:lvlJc w:val="left"/>
      <w:lvlText w:val="\emdash "/>
      <w:numFmt w:val="bullet"/>
      <w:start w:val="1"/>
    </w:lvl>
  </w:abstractNum>
  <w:abstractNum w:abstractNumId="39">
    <w:nsid w:val="799D0247"/>
    <w:multiLevelType w:val="hybridMultilevel"/>
    <w:lvl w:ilvl="0">
      <w:lvlJc w:val="left"/>
      <w:lvlText w:val="\emdash "/>
      <w:numFmt w:val="bullet"/>
      <w:start w:val="1"/>
    </w:lvl>
  </w:abstractNum>
  <w:abstractNum w:abstractNumId="40">
    <w:nsid w:val="6B94764"/>
    <w:multiLevelType w:val="hybridMultilevel"/>
    <w:lvl w:ilvl="0">
      <w:lvlJc w:val="left"/>
      <w:lvlText w:val="\emdash "/>
      <w:numFmt w:val="bullet"/>
      <w:start w:val="1"/>
    </w:lvl>
  </w:abstractNum>
  <w:abstractNum w:abstractNumId="41">
    <w:nsid w:val="42C296BD"/>
    <w:multiLevelType w:val="hybridMultilevel"/>
    <w:lvl w:ilvl="0">
      <w:lvlJc w:val="left"/>
      <w:lvlText w:val="\emdash "/>
      <w:numFmt w:val="bullet"/>
      <w:start w:val="1"/>
    </w:lvl>
  </w:abstractNum>
  <w:abstractNum w:abstractNumId="42">
    <w:nsid w:val="168E121F"/>
    <w:multiLevelType w:val="hybridMultilevel"/>
    <w:lvl w:ilvl="0">
      <w:lvlJc w:val="left"/>
      <w:lvlText w:val="\emdash "/>
      <w:numFmt w:val="bullet"/>
      <w:start w:val="1"/>
    </w:lvl>
  </w:abstractNum>
  <w:abstractNum w:abstractNumId="43">
    <w:nsid w:val="1EBA5D23"/>
    <w:multiLevelType w:val="hybridMultilevel"/>
    <w:lvl w:ilvl="0">
      <w:lvlJc w:val="left"/>
      <w:lvlText w:val="\emdash "/>
      <w:numFmt w:val="bullet"/>
      <w:start w:val="1"/>
    </w:lvl>
  </w:abstractNum>
  <w:abstractNum w:abstractNumId="44">
    <w:nsid w:val="661E3F1E"/>
    <w:multiLevelType w:val="hybridMultilevel"/>
    <w:lvl w:ilvl="0">
      <w:lvlJc w:val="left"/>
      <w:lvlText w:val="\emdash "/>
      <w:numFmt w:val="bullet"/>
      <w:start w:val="1"/>
    </w:lvl>
  </w:abstractNum>
  <w:abstractNum w:abstractNumId="45">
    <w:nsid w:val="5DC79EA8"/>
    <w:multiLevelType w:val="hybridMultilevel"/>
    <w:lvl w:ilvl="0">
      <w:lvlJc w:val="left"/>
      <w:lvlText w:val="(%1)"/>
      <w:numFmt w:val="decimal"/>
      <w:start w:val="1"/>
    </w:lvl>
  </w:abstractNum>
  <w:abstractNum w:abstractNumId="46">
    <w:nsid w:val="540A471C"/>
    <w:multiLevelType w:val="hybridMultilevel"/>
    <w:lvl w:ilvl="0">
      <w:lvlJc w:val="left"/>
      <w:lvlText w:val="\emdash "/>
      <w:numFmt w:val="bullet"/>
      <w:start w:val="1"/>
    </w:lvl>
  </w:abstractNum>
  <w:abstractNum w:abstractNumId="47">
    <w:nsid w:val="7BD3EE7B"/>
    <w:multiLevelType w:val="hybridMultilevel"/>
    <w:lvl w:ilvl="0">
      <w:lvlJc w:val="left"/>
      <w:lvlText w:val="\emdash "/>
      <w:numFmt w:val="bullet"/>
      <w:start w:val="1"/>
    </w:lvl>
  </w:abstractNum>
  <w:abstractNum w:abstractNumId="48">
    <w:nsid w:val="51D9C564"/>
    <w:multiLevelType w:val="hybridMultilevel"/>
    <w:lvl w:ilvl="0">
      <w:lvlJc w:val="left"/>
      <w:lvlText w:val="\emdash "/>
      <w:numFmt w:val="bullet"/>
      <w:start w:val="1"/>
    </w:lvl>
  </w:abstractNum>
  <w:abstractNum w:abstractNumId="49">
    <w:nsid w:val="613EFDC5"/>
    <w:multiLevelType w:val="hybridMultilevel"/>
    <w:lvl w:ilvl="0">
      <w:lvlJc w:val="left"/>
      <w:lvlText w:val="\emdash "/>
      <w:numFmt w:val="bullet"/>
      <w:start w:val="1"/>
    </w:lvl>
  </w:abstractNum>
  <w:abstractNum w:abstractNumId="50">
    <w:nsid w:val="BF72B14"/>
    <w:multiLevelType w:val="hybridMultilevel"/>
    <w:lvl w:ilvl="0">
      <w:lvlJc w:val="left"/>
      <w:lvlText w:val="\emdash "/>
      <w:numFmt w:val="bullet"/>
      <w:start w:val="1"/>
    </w:lvl>
  </w:abstractNum>
  <w:abstractNum w:abstractNumId="51">
    <w:nsid w:val="11447B73"/>
    <w:multiLevelType w:val="hybridMultilevel"/>
    <w:lvl w:ilvl="0">
      <w:lvlJc w:val="left"/>
      <w:lvlText w:val="(%1)"/>
      <w:numFmt w:val="lowerRoman"/>
      <w:start w:val="3"/>
    </w:lvl>
    <w:lvl w:ilvl="1">
      <w:lvlJc w:val="left"/>
      <w:lvlText w:val="\emdash "/>
      <w:numFmt w:val="bullet"/>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emdash "/>
      <w:numFmt w:val="bullet"/>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7"/>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lowerLetter"/>
      <w:start w:val="1"/>
    </w:lvl>
    <w:lvl w:ilvl="1">
      <w:lvlJc w:val="left"/>
      <w:lvlText w:val="(%2)"/>
      <w:numFmt w:val="decimal"/>
      <w:start w:val="1"/>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decimal"/>
      <w:start w:val="2"/>
    </w:lvl>
  </w:abstractNum>
  <w:abstractNum w:abstractNumId="60">
    <w:nsid w:val="6A5EE64"/>
    <w:multiLevelType w:val="hybridMultilevel"/>
    <w:lvl w:ilvl="0">
      <w:lvlJc w:val="left"/>
      <w:lvlText w:val="%1."/>
      <w:numFmt w:val="decimal"/>
      <w:start w:val="3"/>
    </w:lvl>
  </w:abstractNum>
  <w:abstractNum w:abstractNumId="61">
    <w:nsid w:val="14330624"/>
    <w:multiLevelType w:val="hybridMultilevel"/>
    <w:lvl w:ilvl="0">
      <w:lvlJc w:val="left"/>
      <w:lvlText w:val="%1."/>
      <w:numFmt w:val="decimal"/>
      <w:start w:val="4"/>
    </w:lvl>
  </w:abstractNum>
  <w:abstractNum w:abstractNumId="62">
    <w:nsid w:val="7FFFCA11"/>
    <w:multiLevelType w:val="hybridMultilevel"/>
    <w:lvl w:ilvl="0">
      <w:lvlJc w:val="left"/>
      <w:lvlText w:val="%1."/>
      <w:numFmt w:val="decimal"/>
      <w:start w:val="5"/>
    </w:lvl>
  </w:abstractNum>
  <w:abstractNum w:abstractNumId="63">
    <w:nsid w:val="1A27709E"/>
    <w:multiLevelType w:val="hybridMultilevel"/>
    <w:lvl w:ilvl="0">
      <w:lvlJc w:val="left"/>
      <w:lvlText w:val="%1."/>
      <w:numFmt w:val="decimal"/>
      <w:start w:val="6"/>
    </w:lvl>
  </w:abstractNum>
  <w:abstractNum w:abstractNumId="64">
    <w:nsid w:val="71EA1109"/>
    <w:multiLevelType w:val="hybridMultilevel"/>
    <w:lvl w:ilvl="0">
      <w:lvlJc w:val="left"/>
      <w:lvlText w:val="%1."/>
      <w:numFmt w:val="decimal"/>
      <w:start w:val="7"/>
    </w:lvl>
  </w:abstractNum>
  <w:abstractNum w:abstractNumId="65">
    <w:nsid w:val="100F59DC"/>
    <w:multiLevelType w:val="hybridMultilevel"/>
    <w:lvl w:ilvl="0">
      <w:lvlJc w:val="left"/>
      <w:lvlText w:val="%1."/>
      <w:numFmt w:val="decimal"/>
      <w:start w:val="8"/>
    </w:lvl>
  </w:abstractNum>
  <w:abstractNum w:abstractNumId="66">
    <w:nsid w:val="7FB7E0AA"/>
    <w:multiLevelType w:val="hybridMultilevel"/>
    <w:lvl w:ilvl="0">
      <w:lvlJc w:val="left"/>
      <w:lvlText w:val="%1."/>
      <w:numFmt w:val="decimal"/>
      <w:start w:val="9"/>
    </w:lvl>
  </w:abstractNum>
  <w:abstractNum w:abstractNumId="67">
    <w:nsid w:val="6EB5BD4"/>
    <w:multiLevelType w:val="hybridMultilevel"/>
    <w:lvl w:ilvl="0">
      <w:lvlJc w:val="left"/>
      <w:lvlText w:val="%1."/>
      <w:numFmt w:val="decimal"/>
      <w:start w:val="10"/>
    </w:lvl>
  </w:abstractNum>
  <w:abstractNum w:abstractNumId="68">
    <w:nsid w:val="6F6DD9AC"/>
    <w:multiLevelType w:val="hybridMultilevel"/>
    <w:lvl w:ilvl="0">
      <w:lvlJc w:val="left"/>
      <w:lvlText w:val="%1."/>
      <w:numFmt w:val="decimal"/>
      <w:start w:val="11"/>
    </w:lvl>
  </w:abstractNum>
  <w:abstractNum w:abstractNumId="69">
    <w:nsid w:val="94211F2"/>
    <w:multiLevelType w:val="hybridMultilevel"/>
    <w:lvl w:ilvl="0">
      <w:lvlJc w:val="left"/>
      <w:lvlText w:val="%1."/>
      <w:numFmt w:val="decimal"/>
      <w:start w:val="12"/>
    </w:lvl>
  </w:abstractNum>
  <w:abstractNum w:abstractNumId="70">
    <w:nsid w:val="885E1B"/>
    <w:multiLevelType w:val="hybridMultilevel"/>
    <w:lvl w:ilvl="0">
      <w:lvlJc w:val="left"/>
      <w:lvlText w:val="%1."/>
      <w:numFmt w:val="decimal"/>
      <w:start w:val="13"/>
    </w:lvl>
  </w:abstractNum>
  <w:abstractNum w:abstractNumId="71">
    <w:nsid w:val="76272110"/>
    <w:multiLevelType w:val="hybridMultilevel"/>
    <w:lvl w:ilvl="0">
      <w:lvlJc w:val="left"/>
      <w:lvlText w:val="%1."/>
      <w:numFmt w:val="decimal"/>
      <w:start w:val="14"/>
    </w:lvl>
  </w:abstractNum>
  <w:abstractNum w:abstractNumId="72">
    <w:nsid w:val="4C04A8AF"/>
    <w:multiLevelType w:val="hybridMultilevel"/>
    <w:lvl w:ilvl="0">
      <w:lvlJc w:val="left"/>
      <w:lvlText w:val="%1."/>
      <w:numFmt w:val="decimal"/>
      <w:start w:val="15"/>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lowerLetter"/>
      <w:start w:val="1"/>
    </w:lvl>
    <w:lvl w:ilvl="1">
      <w:lvlJc w:val="left"/>
      <w:lvlText w:val="(%2)"/>
      <w:numFmt w:val="decimal"/>
      <w:start w:val="1"/>
    </w:lvl>
  </w:abstractNum>
  <w:abstractNum w:abstractNumId="77">
    <w:nsid w:val="68EBC550"/>
    <w:multiLevelType w:val="hybridMultilevel"/>
    <w:lvl w:ilvl="0">
      <w:lvlJc w:val="left"/>
      <w:lvlText w:val="%1"/>
      <w:numFmt w:val="lowerLetter"/>
      <w:start w:val="1"/>
    </w:lvl>
    <w:lvl w:ilvl="1">
      <w:lvlJc w:val="left"/>
      <w:lvlText w:val="(%2)"/>
      <w:numFmt w:val="decimal"/>
      <w:start w:val="4"/>
    </w:lvl>
  </w:abstractNum>
  <w:abstractNum w:abstractNumId="78">
    <w:nsid w:val="2DF6D648"/>
    <w:multiLevelType w:val="hybridMultilevel"/>
    <w:lvl w:ilvl="0">
      <w:lvlJc w:val="left"/>
      <w:lvlText w:val="(%1)"/>
      <w:numFmt w:val="lowerLetter"/>
      <w:start w:val="2"/>
    </w:lvl>
    <w:lvl w:ilvl="1">
      <w:lvlJc w:val="left"/>
      <w:lvlText w:val="%2"/>
      <w:numFmt w:val="decimal"/>
      <w:start w:val="1"/>
    </w:lvl>
  </w:abstractNum>
  <w:abstractNum w:abstractNumId="79">
    <w:nsid w:val="46B7D447"/>
    <w:multiLevelType w:val="hybridMultilevel"/>
    <w:lvl w:ilvl="0">
      <w:lvlJc w:val="left"/>
      <w:lvlText w:val="(%1)"/>
      <w:numFmt w:val="lowerLetter"/>
      <w:start w:val="1"/>
    </w:lvl>
    <w:lvl w:ilvl="1">
      <w:lvlJc w:val="left"/>
      <w:lvlText w:val="(%2)"/>
      <w:numFmt w:val="decimal"/>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lowerLetter"/>
      <w:start w:val="3"/>
    </w:lvl>
  </w:abstractNum>
  <w:abstractNum w:abstractNumId="82">
    <w:nsid w:val="57FC4FBB"/>
    <w:multiLevelType w:val="hybridMultilevel"/>
    <w:lvl w:ilvl="0">
      <w:lvlJc w:val="left"/>
      <w:lvlText w:val="%1"/>
      <w:numFmt w:val="lowerLetter"/>
      <w:start w:val="1"/>
    </w:lvl>
    <w:lvl w:ilvl="1">
      <w:lvlJc w:val="left"/>
      <w:lvlText w:val="(%2)"/>
      <w:numFmt w:val="lowerLetter"/>
      <w:start w:val="1"/>
    </w:lvl>
  </w:abstractNum>
  <w:abstractNum w:abstractNumId="83">
    <w:nsid w:val="CC1016F"/>
    <w:multiLevelType w:val="hybridMultilevel"/>
    <w:lvl w:ilvl="0">
      <w:lvlJc w:val="left"/>
      <w:lvlText w:val="(%1)"/>
      <w:numFmt w:val="lowerLetter"/>
      <w:start w:val="35"/>
    </w:lvl>
    <w:lvl w:ilvl="1">
      <w:lvlJc w:val="left"/>
      <w:lvlText w:val="(%2)"/>
      <w:numFmt w:val="lowerLetter"/>
      <w:start w:val="2"/>
    </w:lvl>
  </w:abstractNum>
  <w:abstractNum w:abstractNumId="84">
    <w:nsid w:val="43F18422"/>
    <w:multiLevelType w:val="hybridMultilevel"/>
    <w:lvl w:ilvl="0">
      <w:lvlJc w:val="left"/>
      <w:lvlText w:val="%1"/>
      <w:numFmt w:val="decimal"/>
      <w:start w:val="1"/>
    </w:lvl>
    <w:lvl w:ilvl="1">
      <w:lvlJc w:val="left"/>
      <w:lvlText w:val="(%2)"/>
      <w:numFmt w:val="lowerLetter"/>
      <w:start w:val="1"/>
    </w:lvl>
  </w:abstractNum>
  <w:abstractNum w:abstractNumId="85">
    <w:nsid w:val="60EF0119"/>
    <w:multiLevelType w:val="hybridMultilevel"/>
    <w:lvl w:ilvl="0">
      <w:lvlJc w:val="left"/>
      <w:lvlText w:val="(%1)"/>
      <w:numFmt w:val="decimal"/>
      <w:start w:val="30"/>
    </w:lvl>
    <w:lvl w:ilvl="1">
      <w:lvlJc w:val="left"/>
      <w:lvlText w:val="(%2)"/>
      <w:numFmt w:val="lowerLetter"/>
      <w:start w:val="2"/>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3"/>
    </w:lvl>
  </w:abstractNum>
  <w:abstractNum w:abstractNumId="89">
    <w:nsid w:val="7055A5F5"/>
    <w:multiLevelType w:val="hybridMultilevel"/>
    <w:lvl w:ilvl="0">
      <w:lvlJc w:val="left"/>
      <w:lvlText w:val="(%1)"/>
      <w:numFmt w:val="lowerLetter"/>
      <w:start w:val="1"/>
    </w:lvl>
  </w:abstractNum>
  <w:abstractNum w:abstractNumId="90">
    <w:nsid w:val="5FB8370B"/>
    <w:multiLevelType w:val="hybridMultilevel"/>
    <w:lvl w:ilvl="0">
      <w:lvlJc w:val="left"/>
      <w:lvlText w:val="%1"/>
      <w:numFmt w:val="decimal"/>
      <w:start w:val="1"/>
    </w:lvl>
    <w:lvl w:ilvl="1">
      <w:lvlJc w:val="left"/>
      <w:lvlText w:val="(%2)"/>
      <w:numFmt w:val="lowerLetter"/>
      <w:start w:val="1"/>
    </w:lvl>
  </w:abstractNum>
  <w:abstractNum w:abstractNumId="91">
    <w:nsid w:val="50801EE1"/>
    <w:multiLevelType w:val="hybridMultilevel"/>
    <w:lvl w:ilvl="0">
      <w:lvlJc w:val="left"/>
      <w:lvlText w:val="(%1)"/>
      <w:numFmt w:val="lowerLetter"/>
      <w:start w:val="1"/>
    </w:lvl>
  </w:abstractNum>
  <w:abstractNum w:abstractNumId="92">
    <w:nsid w:val="488AC1A"/>
    <w:multiLevelType w:val="hybridMultilevel"/>
    <w:lvl w:ilvl="0">
      <w:lvlJc w:val="left"/>
      <w:lvlText w:val="(%1)"/>
      <w:numFmt w:val="lowerLetter"/>
      <w:start w:val="1"/>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decimal"/>
      <w:start w:val="5"/>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decimal"/>
      <w:start w:val="1"/>
    </w:lvl>
  </w:abstractNum>
  <w:abstractNum w:abstractNumId="98">
    <w:nsid w:val="7D5E18F8"/>
    <w:multiLevelType w:val="hybridMultilevel"/>
    <w:lvl w:ilvl="0">
      <w:lvlJc w:val="left"/>
      <w:lvlText w:val="%1)"/>
      <w:numFmt w:val="lowerLetter"/>
      <w:start w:val="1"/>
    </w:lvl>
  </w:abstractNum>
  <w:abstractNum w:abstractNumId="99">
    <w:nsid w:val="5F3534A4"/>
    <w:multiLevelType w:val="hybridMultilevel"/>
    <w:lvl w:ilvl="0">
      <w:lvlJc w:val="left"/>
      <w:lvlText w:val="%1."/>
      <w:numFmt w:val="decimal"/>
      <w:start w:val="5"/>
    </w:lvl>
  </w:abstractNum>
  <w:abstractNum w:abstractNumId="100">
    <w:nsid w:val="73A1821B"/>
    <w:multiLevelType w:val="hybridMultilevel"/>
    <w:lvl w:ilvl="0">
      <w:lvlJc w:val="left"/>
      <w:lvlText w:val="%1)"/>
      <w:numFmt w:val="low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2019-12-08T01:09:48Z</dcterms:created>
  <dcterms:modified xsi:type="dcterms:W3CDTF">2019-12-08T01:09:48Z</dcterms:modified>
</cp:coreProperties>
</file>