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106045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3660" w:right="1520" w:hanging="3652"/>
        <w:spacing w:after="0" w:line="399" w:lineRule="auto"/>
        <w:tabs>
          <w:tab w:leader="none" w:pos="445"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77"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7" w:lineRule="exact"/>
        <w:rPr>
          <w:sz w:val="24"/>
          <w:szCs w:val="24"/>
          <w:color w:val="auto"/>
        </w:rPr>
      </w:pPr>
    </w:p>
    <w:tbl>
      <w:tblPr>
        <w:tblLayout w:type="fixed"/>
        <w:tblInd w:w="3360" w:type="dxa"/>
        <w:tblCellMar>
          <w:top w:w="0" w:type="dxa"/>
          <w:left w:w="0" w:type="dxa"/>
          <w:bottom w:w="0" w:type="dxa"/>
          <w:right w:w="0" w:type="dxa"/>
        </w:tblCellMar>
      </w:tblPr>
      <w:tr>
        <w:trPr>
          <w:trHeight w:val="207"/>
        </w:trPr>
        <w:tc>
          <w:tcPr>
            <w:tcW w:w="2340" w:type="dxa"/>
            <w:vAlign w:val="bottom"/>
          </w:tcPr>
          <w:p>
            <w:pPr>
              <w:jc w:val="right"/>
              <w:spacing w:after="0"/>
              <w:rPr>
                <w:sz w:val="20"/>
                <w:szCs w:val="20"/>
                <w:color w:val="auto"/>
              </w:rPr>
            </w:pPr>
            <w:r>
              <w:rPr>
                <w:rFonts w:ascii="Arial" w:cs="Arial" w:eastAsia="Arial" w:hAnsi="Arial"/>
                <w:sz w:val="18"/>
                <w:szCs w:val="18"/>
                <w:b w:val="1"/>
                <w:bCs w:val="1"/>
                <w:color w:val="auto"/>
                <w:w w:val="90"/>
              </w:rPr>
              <w:t>For the transition period from</w:t>
            </w:r>
          </w:p>
        </w:tc>
        <w:tc>
          <w:tcPr>
            <w:tcW w:w="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to</w:t>
            </w:r>
          </w:p>
        </w:tc>
        <w:tc>
          <w:tcPr>
            <w:tcW w:w="9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345"/>
        </w:trPr>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Commission File</w:t>
            </w: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No. 001-36276</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76835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ULTRAGENYX PHARMACEUTICAL INC.</w:t>
      </w:r>
    </w:p>
    <w:p>
      <w:pPr>
        <w:spacing w:after="0" w:line="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9" w:lineRule="exact"/>
        <w:rPr>
          <w:sz w:val="24"/>
          <w:szCs w:val="24"/>
          <w:color w:val="auto"/>
        </w:rPr>
      </w:pPr>
    </w:p>
    <w:tbl>
      <w:tblPr>
        <w:tblLayout w:type="fixed"/>
        <w:tblInd w:w="1100" w:type="dxa"/>
        <w:tblCellMar>
          <w:top w:w="0" w:type="dxa"/>
          <w:left w:w="0" w:type="dxa"/>
          <w:bottom w:w="0" w:type="dxa"/>
          <w:right w:w="0" w:type="dxa"/>
        </w:tblCellMar>
      </w:tblPr>
      <w:tr>
        <w:trPr>
          <w:trHeight w:val="207"/>
        </w:trPr>
        <w:tc>
          <w:tcPr>
            <w:tcW w:w="6220" w:type="dxa"/>
            <w:vAlign w:val="bottom"/>
            <w:gridSpan w:val="3"/>
          </w:tcPr>
          <w:p>
            <w:pPr>
              <w:jc w:val="center"/>
              <w:ind w:right="2780"/>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jc w:val="right"/>
              <w:ind w:right="539"/>
              <w:spacing w:after="0"/>
              <w:rPr>
                <w:sz w:val="20"/>
                <w:szCs w:val="20"/>
                <w:color w:val="auto"/>
              </w:rPr>
            </w:pPr>
            <w:r>
              <w:rPr>
                <w:rFonts w:ascii="Arial" w:cs="Arial" w:eastAsia="Arial" w:hAnsi="Arial"/>
                <w:sz w:val="18"/>
                <w:szCs w:val="18"/>
                <w:b w:val="1"/>
                <w:bCs w:val="1"/>
                <w:color w:val="auto"/>
              </w:rPr>
              <w:t>27-2546083</w:t>
            </w:r>
          </w:p>
        </w:tc>
      </w:tr>
      <w:tr>
        <w:trPr>
          <w:trHeight w:val="182"/>
        </w:trPr>
        <w:tc>
          <w:tcPr>
            <w:tcW w:w="6220" w:type="dxa"/>
            <w:vAlign w:val="bottom"/>
            <w:gridSpan w:val="3"/>
          </w:tcPr>
          <w:p>
            <w:pPr>
              <w:jc w:val="center"/>
              <w:ind w:right="278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280" w:type="dxa"/>
            <w:vAlign w:val="bottom"/>
          </w:tcPr>
          <w:p>
            <w:pPr>
              <w:jc w:val="center"/>
              <w:ind w:left="99"/>
              <w:spacing w:after="0"/>
              <w:rPr>
                <w:sz w:val="20"/>
                <w:szCs w:val="20"/>
                <w:color w:val="auto"/>
              </w:rPr>
            </w:pPr>
            <w:r>
              <w:rPr>
                <w:rFonts w:ascii="Arial" w:cs="Arial" w:eastAsia="Arial" w:hAnsi="Arial"/>
                <w:sz w:val="14"/>
                <w:szCs w:val="14"/>
                <w:color w:val="auto"/>
                <w:w w:val="97"/>
              </w:rPr>
              <w:t>(I.R.S. Employer Identification No.)</w:t>
            </w:r>
          </w:p>
        </w:tc>
      </w:tr>
      <w:tr>
        <w:trPr>
          <w:trHeight w:val="466"/>
        </w:trPr>
        <w:tc>
          <w:tcPr>
            <w:tcW w:w="6220" w:type="dxa"/>
            <w:vAlign w:val="bottom"/>
            <w:gridSpan w:val="3"/>
          </w:tcPr>
          <w:p>
            <w:pPr>
              <w:jc w:val="center"/>
              <w:ind w:right="2720"/>
              <w:spacing w:after="0"/>
              <w:rPr>
                <w:sz w:val="20"/>
                <w:szCs w:val="20"/>
                <w:color w:val="auto"/>
              </w:rPr>
            </w:pPr>
            <w:r>
              <w:rPr>
                <w:rFonts w:ascii="Arial" w:cs="Arial" w:eastAsia="Arial" w:hAnsi="Arial"/>
                <w:sz w:val="18"/>
                <w:szCs w:val="18"/>
                <w:b w:val="1"/>
                <w:bCs w:val="1"/>
                <w:color w:val="auto"/>
                <w:w w:val="92"/>
              </w:rPr>
              <w:t>60 Leveroni Court</w:t>
            </w:r>
          </w:p>
        </w:tc>
        <w:tc>
          <w:tcPr>
            <w:tcW w:w="2280" w:type="dxa"/>
            <w:vAlign w:val="bottom"/>
          </w:tcPr>
          <w:p>
            <w:pPr>
              <w:spacing w:after="0"/>
              <w:rPr>
                <w:sz w:val="24"/>
                <w:szCs w:val="24"/>
                <w:color w:val="auto"/>
              </w:rPr>
            </w:pPr>
          </w:p>
        </w:tc>
      </w:tr>
      <w:tr>
        <w:trPr>
          <w:trHeight w:val="234"/>
        </w:trPr>
        <w:tc>
          <w:tcPr>
            <w:tcW w:w="6220" w:type="dxa"/>
            <w:vAlign w:val="bottom"/>
            <w:gridSpan w:val="3"/>
          </w:tcPr>
          <w:p>
            <w:pPr>
              <w:jc w:val="center"/>
              <w:ind w:right="2720"/>
              <w:spacing w:after="0"/>
              <w:rPr>
                <w:sz w:val="20"/>
                <w:szCs w:val="20"/>
                <w:color w:val="auto"/>
              </w:rPr>
            </w:pPr>
            <w:r>
              <w:rPr>
                <w:rFonts w:ascii="Arial" w:cs="Arial" w:eastAsia="Arial" w:hAnsi="Arial"/>
                <w:sz w:val="18"/>
                <w:szCs w:val="18"/>
                <w:b w:val="1"/>
                <w:bCs w:val="1"/>
                <w:color w:val="auto"/>
                <w:w w:val="92"/>
              </w:rPr>
              <w:t>Novato, California</w:t>
            </w:r>
          </w:p>
        </w:tc>
        <w:tc>
          <w:tcPr>
            <w:tcW w:w="2280" w:type="dxa"/>
            <w:vAlign w:val="bottom"/>
          </w:tcPr>
          <w:p>
            <w:pPr>
              <w:jc w:val="right"/>
              <w:ind w:right="779"/>
              <w:spacing w:after="0"/>
              <w:rPr>
                <w:sz w:val="20"/>
                <w:szCs w:val="20"/>
                <w:color w:val="auto"/>
              </w:rPr>
            </w:pPr>
            <w:r>
              <w:rPr>
                <w:rFonts w:ascii="Arial" w:cs="Arial" w:eastAsia="Arial" w:hAnsi="Arial"/>
                <w:sz w:val="18"/>
                <w:szCs w:val="18"/>
                <w:b w:val="1"/>
                <w:bCs w:val="1"/>
                <w:color w:val="auto"/>
              </w:rPr>
              <w:t>94949</w:t>
            </w:r>
          </w:p>
        </w:tc>
      </w:tr>
      <w:tr>
        <w:trPr>
          <w:trHeight w:val="190"/>
        </w:trPr>
        <w:tc>
          <w:tcPr>
            <w:tcW w:w="6220" w:type="dxa"/>
            <w:vAlign w:val="bottom"/>
            <w:gridSpan w:val="3"/>
          </w:tcPr>
          <w:p>
            <w:pPr>
              <w:jc w:val="center"/>
              <w:ind w:right="2720"/>
              <w:spacing w:after="0"/>
              <w:rPr>
                <w:sz w:val="20"/>
                <w:szCs w:val="20"/>
                <w:color w:val="auto"/>
              </w:rPr>
            </w:pPr>
            <w:r>
              <w:rPr>
                <w:rFonts w:ascii="Arial" w:cs="Arial" w:eastAsia="Arial" w:hAnsi="Arial"/>
                <w:sz w:val="14"/>
                <w:szCs w:val="14"/>
                <w:color w:val="auto"/>
                <w:w w:val="95"/>
              </w:rPr>
              <w:t>(Address of principal executive offices)</w:t>
            </w:r>
          </w:p>
        </w:tc>
        <w:tc>
          <w:tcPr>
            <w:tcW w:w="2280" w:type="dxa"/>
            <w:vAlign w:val="bottom"/>
          </w:tcPr>
          <w:p>
            <w:pPr>
              <w:jc w:val="center"/>
              <w:ind w:left="39"/>
              <w:spacing w:after="0"/>
              <w:rPr>
                <w:sz w:val="20"/>
                <w:szCs w:val="20"/>
                <w:color w:val="auto"/>
              </w:rPr>
            </w:pPr>
            <w:r>
              <w:rPr>
                <w:rFonts w:ascii="Arial" w:cs="Arial" w:eastAsia="Arial" w:hAnsi="Arial"/>
                <w:sz w:val="14"/>
                <w:szCs w:val="14"/>
                <w:i w:val="1"/>
                <w:iCs w:val="1"/>
                <w:color w:val="auto"/>
                <w:w w:val="96"/>
              </w:rPr>
              <w:t>(Zip Code)</w:t>
            </w:r>
          </w:p>
        </w:tc>
      </w:tr>
      <w:tr>
        <w:trPr>
          <w:trHeight w:val="565"/>
        </w:trPr>
        <w:tc>
          <w:tcPr>
            <w:tcW w:w="5080" w:type="dxa"/>
            <w:vAlign w:val="bottom"/>
            <w:gridSpan w:val="2"/>
          </w:tcPr>
          <w:p>
            <w:pPr>
              <w:jc w:val="center"/>
              <w:spacing w:after="0"/>
              <w:rPr>
                <w:sz w:val="20"/>
                <w:szCs w:val="20"/>
                <w:color w:val="auto"/>
              </w:rPr>
            </w:pPr>
            <w:r>
              <w:rPr>
                <w:rFonts w:ascii="Arial" w:cs="Arial" w:eastAsia="Arial" w:hAnsi="Arial"/>
                <w:sz w:val="18"/>
                <w:szCs w:val="18"/>
                <w:b w:val="1"/>
                <w:bCs w:val="1"/>
                <w:u w:val="single" w:color="auto"/>
                <w:color w:val="auto"/>
              </w:rPr>
              <w:t>(415)</w:t>
            </w:r>
            <w:r>
              <w:rPr>
                <w:rFonts w:ascii="Arial" w:cs="Arial" w:eastAsia="Arial" w:hAnsi="Arial"/>
                <w:sz w:val="18"/>
                <w:szCs w:val="18"/>
                <w:b w:val="1"/>
                <w:bCs w:val="1"/>
                <w:color w:val="auto"/>
              </w:rPr>
              <w:t xml:space="preserve"> 483-8800</w:t>
            </w:r>
          </w:p>
        </w:tc>
        <w:tc>
          <w:tcPr>
            <w:tcW w:w="11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8"/>
        </w:trPr>
        <w:tc>
          <w:tcPr>
            <w:tcW w:w="6220" w:type="dxa"/>
            <w:vAlign w:val="bottom"/>
            <w:gridSpan w:val="3"/>
          </w:tcPr>
          <w:p>
            <w:pPr>
              <w:jc w:val="center"/>
              <w:ind w:left="2738"/>
              <w:spacing w:after="0"/>
              <w:rPr>
                <w:sz w:val="20"/>
                <w:szCs w:val="20"/>
                <w:color w:val="auto"/>
              </w:rPr>
            </w:pPr>
            <w:r>
              <w:rPr>
                <w:rFonts w:ascii="Arial" w:cs="Arial" w:eastAsia="Arial" w:hAnsi="Arial"/>
                <w:sz w:val="14"/>
                <w:szCs w:val="14"/>
                <w:color w:val="auto"/>
                <w:w w:val="92"/>
              </w:rPr>
              <w:t>(Registrant’s telephone number, including area code)</w:t>
            </w:r>
          </w:p>
        </w:tc>
        <w:tc>
          <w:tcPr>
            <w:tcW w:w="2280" w:type="dxa"/>
            <w:vAlign w:val="bottom"/>
          </w:tcPr>
          <w:p>
            <w:pPr>
              <w:spacing w:after="0"/>
              <w:rPr>
                <w:sz w:val="17"/>
                <w:szCs w:val="17"/>
                <w:color w:val="auto"/>
              </w:rPr>
            </w:pPr>
          </w:p>
        </w:tc>
      </w:tr>
    </w:tbl>
    <w:p>
      <w:pPr>
        <w:spacing w:after="0" w:line="8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95250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8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111"/>
        </w:trPr>
        <w:tc>
          <w:tcPr>
            <w:tcW w:w="64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4120" w:type="dxa"/>
            <w:vAlign w:val="bottom"/>
            <w:tcBorders>
              <w:bottom w:val="single" w:sz="8" w:color="auto"/>
            </w:tcBorders>
          </w:tcPr>
          <w:p>
            <w:pPr>
              <w:spacing w:after="0"/>
              <w:rPr>
                <w:sz w:val="9"/>
                <w:szCs w:val="9"/>
                <w:color w:val="auto"/>
              </w:rPr>
            </w:pPr>
          </w:p>
        </w:tc>
      </w:tr>
      <w:tr>
        <w:trPr>
          <w:trHeight w:val="210"/>
        </w:trPr>
        <w:tc>
          <w:tcPr>
            <w:tcW w:w="64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67"/>
        </w:trPr>
        <w:tc>
          <w:tcPr>
            <w:tcW w:w="640" w:type="dxa"/>
            <w:vAlign w:val="bottom"/>
            <w:tcBorders>
              <w:right w:val="single" w:sz="8" w:color="auto"/>
            </w:tcBorders>
          </w:tcPr>
          <w:p>
            <w:pPr>
              <w:spacing w:after="0"/>
              <w:rPr>
                <w:sz w:val="5"/>
                <w:szCs w:val="5"/>
                <w:color w:val="auto"/>
              </w:rPr>
            </w:pPr>
          </w:p>
        </w:tc>
        <w:tc>
          <w:tcPr>
            <w:tcW w:w="398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4120" w:type="dxa"/>
            <w:vAlign w:val="bottom"/>
            <w:tcBorders>
              <w:bottom w:val="single" w:sz="8" w:color="auto"/>
              <w:right w:val="single" w:sz="8" w:color="auto"/>
            </w:tcBorders>
          </w:tcPr>
          <w:p>
            <w:pPr>
              <w:spacing w:after="0"/>
              <w:rPr>
                <w:sz w:val="5"/>
                <w:szCs w:val="5"/>
                <w:color w:val="auto"/>
              </w:rPr>
            </w:pPr>
          </w:p>
        </w:tc>
      </w:tr>
      <w:tr>
        <w:trPr>
          <w:trHeight w:val="220"/>
        </w:trPr>
        <w:tc>
          <w:tcPr>
            <w:tcW w:w="640" w:type="dxa"/>
            <w:vAlign w:val="bottom"/>
            <w:tcBorders>
              <w:right w:val="single" w:sz="8" w:color="auto"/>
            </w:tcBorders>
          </w:tcPr>
          <w:p>
            <w:pPr>
              <w:spacing w:after="0"/>
              <w:rPr>
                <w:sz w:val="19"/>
                <w:szCs w:val="19"/>
                <w:color w:val="auto"/>
              </w:rPr>
            </w:pP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$0.001 par value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RARE</w:t>
            </w: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r>
      <w:tr>
        <w:trPr>
          <w:trHeight w:val="54"/>
        </w:trPr>
        <w:tc>
          <w:tcPr>
            <w:tcW w:w="640" w:type="dxa"/>
            <w:vAlign w:val="bottom"/>
            <w:tcBorders>
              <w:right w:val="single" w:sz="8" w:color="auto"/>
            </w:tcBorders>
          </w:tcPr>
          <w:p>
            <w:pPr>
              <w:spacing w:after="0"/>
              <w:rPr>
                <w:sz w:val="4"/>
                <w:szCs w:val="4"/>
                <w:color w:val="auto"/>
              </w:rPr>
            </w:pPr>
          </w:p>
        </w:tc>
        <w:tc>
          <w:tcPr>
            <w:tcW w:w="398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4120" w:type="dxa"/>
            <w:vAlign w:val="bottom"/>
            <w:tcBorders>
              <w:bottom w:val="single" w:sz="8" w:color="auto"/>
              <w:right w:val="single" w:sz="8" w:color="auto"/>
            </w:tcBorders>
          </w:tcPr>
          <w:p>
            <w:pPr>
              <w:spacing w:after="0"/>
              <w:rPr>
                <w:sz w:val="4"/>
                <w:szCs w:val="4"/>
                <w:color w:val="auto"/>
              </w:rPr>
            </w:pPr>
          </w:p>
        </w:tc>
      </w:tr>
    </w:tbl>
    <w:p>
      <w:pPr>
        <w:spacing w:after="0" w:line="296" w:lineRule="exact"/>
        <w:rPr>
          <w:sz w:val="24"/>
          <w:szCs w:val="24"/>
          <w:color w:val="auto"/>
        </w:rPr>
      </w:pPr>
    </w:p>
    <w:p>
      <w:pPr>
        <w:ind w:right="220"/>
        <w:spacing w:after="0" w:line="23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spacing w:after="0" w:line="23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240"/>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940" w:type="dxa"/>
            <w:vAlign w:val="bottom"/>
          </w:tcPr>
          <w:p>
            <w:pPr>
              <w:ind w:left="254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89"/>
        </w:trPr>
        <w:tc>
          <w:tcPr>
            <w:tcW w:w="2120" w:type="dxa"/>
            <w:vAlign w:val="bottom"/>
          </w:tcPr>
          <w:p>
            <w:pPr>
              <w:spacing w:after="0" w:line="189" w:lineRule="exact"/>
              <w:rPr>
                <w:sz w:val="20"/>
                <w:szCs w:val="20"/>
                <w:color w:val="auto"/>
              </w:rPr>
            </w:pPr>
            <w:r>
              <w:rPr>
                <w:rFonts w:ascii="Arial" w:cs="Arial" w:eastAsia="Arial" w:hAnsi="Arial"/>
                <w:sz w:val="18"/>
                <w:szCs w:val="18"/>
                <w:color w:val="auto"/>
              </w:rPr>
              <w:t>Non-accelerated filer</w:t>
            </w:r>
          </w:p>
        </w:tc>
        <w:tc>
          <w:tcPr>
            <w:tcW w:w="32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40"/>
              <w:spacing w:after="0" w:line="189" w:lineRule="exact"/>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940" w:type="dxa"/>
            <w:vAlign w:val="bottom"/>
          </w:tcPr>
          <w:p>
            <w:pPr>
              <w:ind w:left="254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1" w:lineRule="exact"/>
        <w:rPr>
          <w:sz w:val="24"/>
          <w:szCs w:val="24"/>
          <w:color w:val="auto"/>
        </w:rPr>
      </w:pPr>
    </w:p>
    <w:p>
      <w:pPr>
        <w:ind w:right="8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right="148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28, 2021, the registrant had 68,162,225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84" w:right="419" w:bottom="1440" w:gutter="0" w:footer="0" w:header="0"/>
        </w:sectPr>
      </w:pPr>
    </w:p>
    <w:bookmarkStart w:id="1" w:name="page2"/>
    <w:bookmarkEnd w:id="1"/>
    <w:p>
      <w:pPr>
        <w:jc w:val="center"/>
        <w:ind w:right="60"/>
        <w:spacing w:after="0"/>
        <w:rPr>
          <w:sz w:val="20"/>
          <w:szCs w:val="20"/>
          <w:color w:val="auto"/>
        </w:rPr>
      </w:pPr>
      <w:r>
        <w:rPr>
          <w:rFonts w:ascii="Arial" w:cs="Arial" w:eastAsia="Arial" w:hAnsi="Arial"/>
          <w:sz w:val="18"/>
          <w:szCs w:val="18"/>
          <w:b w:val="1"/>
          <w:bCs w:val="1"/>
          <w:color w:val="auto"/>
        </w:rPr>
        <w:t>ULTRAGENYX PHARMACEUTICAL INC.</w:t>
      </w:r>
    </w:p>
    <w:p>
      <w:pPr>
        <w:spacing w:after="0" w:line="13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FORM 10-Q FOR THE QUARTER ENDED SEPTEMBER 30, 2021</w:t>
      </w:r>
    </w:p>
    <w:p>
      <w:pPr>
        <w:spacing w:after="0" w:line="13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567"/>
        </w:trPr>
        <w:tc>
          <w:tcPr>
            <w:tcW w:w="10640" w:type="dxa"/>
            <w:vAlign w:val="bottom"/>
            <w:gridSpan w:val="26"/>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CAUTIONARY NOTE REGARDING FORWARD-LOOKING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601"/>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 –</w:t>
            </w:r>
          </w:p>
        </w:tc>
        <w:tc>
          <w:tcPr>
            <w:tcW w:w="9600" w:type="dxa"/>
            <w:vAlign w:val="bottom"/>
            <w:gridSpan w:val="25"/>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Financial Information</w:t>
              </w:r>
            </w:hyperlink>
          </w:p>
        </w:tc>
        <w:tc>
          <w:tcPr>
            <w:tcW w:w="4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601"/>
        </w:trPr>
        <w:tc>
          <w:tcPr>
            <w:tcW w:w="104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Financial Statements</w:t>
              </w:r>
            </w:hyperlink>
          </w:p>
        </w:tc>
        <w:tc>
          <w:tcPr>
            <w:tcW w:w="20" w:type="dxa"/>
            <w:vAlign w:val="bottom"/>
            <w:tcBorders>
              <w:bottom w:val="single" w:sz="8" w:color="0000EE"/>
            </w:tcBorders>
          </w:tcPr>
          <w:p>
            <w:pPr>
              <w:spacing w:after="0"/>
              <w:rPr>
                <w:sz w:val="24"/>
                <w:szCs w:val="24"/>
                <w:color w:val="auto"/>
              </w:rPr>
            </w:pPr>
          </w:p>
        </w:tc>
        <w:tc>
          <w:tcPr>
            <w:tcW w:w="6960" w:type="dxa"/>
            <w:vAlign w:val="bottom"/>
            <w:gridSpan w:val="14"/>
          </w:tcPr>
          <w:p>
            <w:pPr>
              <w:spacing w:after="0"/>
              <w:rPr>
                <w:sz w:val="24"/>
                <w:szCs w:val="24"/>
                <w:color w:val="auto"/>
              </w:rPr>
            </w:pPr>
          </w:p>
        </w:tc>
        <w:tc>
          <w:tcPr>
            <w:tcW w:w="460" w:type="dxa"/>
            <w:vAlign w:val="bottom"/>
          </w:tcPr>
          <w:p>
            <w:pPr>
              <w:spacing w:after="0"/>
              <w:rPr>
                <w:sz w:val="24"/>
                <w:szCs w:val="24"/>
                <w:color w:val="auto"/>
              </w:rPr>
            </w:pPr>
          </w:p>
        </w:tc>
      </w:tr>
      <w:tr>
        <w:trPr>
          <w:trHeight w:val="601"/>
        </w:trPr>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4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601"/>
        </w:trPr>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6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Operations</w:t>
              </w:r>
            </w:hyperlink>
          </w:p>
        </w:tc>
        <w:tc>
          <w:tcPr>
            <w:tcW w:w="20" w:type="dxa"/>
            <w:vAlign w:val="bottom"/>
            <w:tcBorders>
              <w:bottom w:val="single" w:sz="8" w:color="0000EE"/>
            </w:tcBorders>
          </w:tcPr>
          <w:p>
            <w:pPr>
              <w:spacing w:after="0"/>
              <w:rPr>
                <w:sz w:val="24"/>
                <w:szCs w:val="24"/>
                <w:color w:val="auto"/>
              </w:rPr>
            </w:pPr>
          </w:p>
        </w:tc>
        <w:tc>
          <w:tcPr>
            <w:tcW w:w="416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601"/>
        </w:trPr>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80" w:type="dxa"/>
            <w:vAlign w:val="bottom"/>
            <w:tcBorders>
              <w:bottom w:val="single" w:sz="8" w:color="0000FF"/>
            </w:tcBorders>
            <w:gridSpan w:val="17"/>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Statements of Comprehensive Loss</w:t>
              </w:r>
            </w:hyperlink>
          </w:p>
        </w:tc>
        <w:tc>
          <w:tcPr>
            <w:tcW w:w="20" w:type="dxa"/>
            <w:vAlign w:val="bottom"/>
            <w:tcBorders>
              <w:bottom w:val="single" w:sz="8" w:color="0000EE"/>
            </w:tcBorders>
          </w:tcPr>
          <w:p>
            <w:pPr>
              <w:spacing w:after="0"/>
              <w:rPr>
                <w:sz w:val="24"/>
                <w:szCs w:val="24"/>
                <w:color w:val="auto"/>
              </w:rPr>
            </w:pPr>
          </w:p>
        </w:tc>
        <w:tc>
          <w:tcPr>
            <w:tcW w:w="344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72"/>
        </w:trPr>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7">
              <w:r>
                <w:rPr>
                  <w:rFonts w:ascii="Arial" w:cs="Arial" w:eastAsia="Arial" w:hAnsi="Arial"/>
                  <w:sz w:val="18"/>
                  <w:szCs w:val="18"/>
                  <w:color w:val="0000FF"/>
                  <w:w w:val="90"/>
                </w:rPr>
                <w:t>Condensed Consolidated Statements of Stockholders’ Equity</w:t>
              </w:r>
            </w:hyperlink>
          </w:p>
        </w:tc>
        <w:tc>
          <w:tcPr>
            <w:tcW w:w="344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601"/>
        </w:trPr>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20" w:type="dxa"/>
            <w:vAlign w:val="bottom"/>
            <w:tcBorders>
              <w:bottom w:val="single" w:sz="8" w:color="0000FF"/>
            </w:tcBorders>
            <w:gridSpan w:val="14"/>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Condensed Consolidated Statements of Cash Flows</w:t>
              </w:r>
            </w:hyperlink>
          </w:p>
        </w:tc>
        <w:tc>
          <w:tcPr>
            <w:tcW w:w="20" w:type="dxa"/>
            <w:vAlign w:val="bottom"/>
            <w:tcBorders>
              <w:bottom w:val="single" w:sz="8" w:color="0000EE"/>
            </w:tcBorders>
          </w:tcPr>
          <w:p>
            <w:pPr>
              <w:spacing w:after="0"/>
              <w:rPr>
                <w:sz w:val="24"/>
                <w:szCs w:val="24"/>
                <w:color w:val="auto"/>
              </w:rPr>
            </w:pPr>
          </w:p>
        </w:tc>
        <w:tc>
          <w:tcPr>
            <w:tcW w:w="4100" w:type="dxa"/>
            <w:vAlign w:val="bottom"/>
            <w:gridSpan w:val="5"/>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601"/>
        </w:trPr>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40" w:type="dxa"/>
            <w:vAlign w:val="bottom"/>
            <w:gridSpan w:val="20"/>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601"/>
        </w:trPr>
        <w:tc>
          <w:tcPr>
            <w:tcW w:w="104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500" w:type="dxa"/>
            <w:vAlign w:val="bottom"/>
            <w:gridSpan w:val="23"/>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601"/>
        </w:trPr>
        <w:tc>
          <w:tcPr>
            <w:tcW w:w="104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7"/>
          </w:tcPr>
          <w:p>
            <w:pPr>
              <w:spacing w:after="0"/>
              <w:rPr>
                <w:rFonts w:ascii="Arial" w:cs="Arial" w:eastAsia="Arial" w:hAnsi="Arial"/>
                <w:sz w:val="18"/>
                <w:szCs w:val="18"/>
                <w:color w:val="0000FF"/>
                <w:w w:val="92"/>
              </w:rPr>
            </w:pPr>
            <w:hyperlink w:anchor="page36">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5"/>
          </w:tcPr>
          <w:p>
            <w:pPr>
              <w:spacing w:after="0"/>
              <w:rPr>
                <w:sz w:val="24"/>
                <w:szCs w:val="24"/>
                <w:color w:val="auto"/>
              </w:rPr>
            </w:pPr>
          </w:p>
        </w:tc>
        <w:tc>
          <w:tcPr>
            <w:tcW w:w="20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601"/>
        </w:trPr>
        <w:tc>
          <w:tcPr>
            <w:tcW w:w="104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10"/>
          </w:tcPr>
          <w:p>
            <w:pPr>
              <w:spacing w:after="0"/>
              <w:rPr>
                <w:rFonts w:ascii="Arial" w:cs="Arial" w:eastAsia="Arial" w:hAnsi="Arial"/>
                <w:sz w:val="18"/>
                <w:szCs w:val="18"/>
                <w:color w:val="0000FF"/>
                <w:w w:val="88"/>
              </w:rPr>
            </w:pPr>
            <w:hyperlink w:anchor="page37">
              <w:r>
                <w:rPr>
                  <w:rFonts w:ascii="Arial" w:cs="Arial" w:eastAsia="Arial" w:hAnsi="Arial"/>
                  <w:sz w:val="18"/>
                  <w:szCs w:val="18"/>
                  <w:color w:val="0000FF"/>
                  <w:w w:val="88"/>
                </w:rPr>
                <w:t>Controls and Procedures</w:t>
              </w:r>
            </w:hyperlink>
          </w:p>
        </w:tc>
        <w:tc>
          <w:tcPr>
            <w:tcW w:w="6720" w:type="dxa"/>
            <w:vAlign w:val="bottom"/>
            <w:gridSpan w:val="1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601"/>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II –</w:t>
            </w:r>
          </w:p>
        </w:tc>
        <w:tc>
          <w:tcPr>
            <w:tcW w:w="9600" w:type="dxa"/>
            <w:vAlign w:val="bottom"/>
            <w:gridSpan w:val="25"/>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Other Information</w:t>
              </w:r>
            </w:hyperlink>
          </w:p>
        </w:tc>
        <w:tc>
          <w:tcPr>
            <w:tcW w:w="4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601"/>
        </w:trPr>
        <w:tc>
          <w:tcPr>
            <w:tcW w:w="104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500" w:type="dxa"/>
            <w:vAlign w:val="bottom"/>
            <w:gridSpan w:val="2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601"/>
        </w:trPr>
        <w:tc>
          <w:tcPr>
            <w:tcW w:w="104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24"/>
                <w:szCs w:val="24"/>
                <w:color w:val="auto"/>
              </w:rPr>
            </w:pPr>
          </w:p>
        </w:tc>
        <w:tc>
          <w:tcPr>
            <w:tcW w:w="400" w:type="dxa"/>
            <w:vAlign w:val="bottom"/>
            <w:tcBorders>
              <w:top w:val="single" w:sz="8" w:color="0000FF"/>
            </w:tcBorders>
            <w:gridSpan w:val="2"/>
          </w:tcPr>
          <w:p>
            <w:pPr>
              <w:spacing w:after="0"/>
              <w:rPr>
                <w:sz w:val="24"/>
                <w:szCs w:val="24"/>
                <w:color w:val="auto"/>
              </w:rPr>
            </w:pPr>
          </w:p>
        </w:tc>
        <w:tc>
          <w:tcPr>
            <w:tcW w:w="7160" w:type="dxa"/>
            <w:vAlign w:val="bottom"/>
            <w:gridSpan w:val="16"/>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601"/>
        </w:trPr>
        <w:tc>
          <w:tcPr>
            <w:tcW w:w="104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Unregistered Sales of Equity Securities and Use of Proceeds</w:t>
              </w:r>
            </w:hyperlink>
          </w:p>
        </w:tc>
        <w:tc>
          <w:tcPr>
            <w:tcW w:w="414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601"/>
        </w:trPr>
        <w:tc>
          <w:tcPr>
            <w:tcW w:w="104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72">
              <w:r>
                <w:rPr>
                  <w:rFonts w:ascii="Arial" w:cs="Arial" w:eastAsia="Arial" w:hAnsi="Arial"/>
                  <w:sz w:val="18"/>
                  <w:szCs w:val="18"/>
                  <w:color w:val="0000FF"/>
                  <w:w w:val="90"/>
                </w:rPr>
                <w:t>Defaults Upon Senior Securities</w:t>
              </w:r>
            </w:hyperlink>
          </w:p>
        </w:tc>
        <w:tc>
          <w:tcPr>
            <w:tcW w:w="6160" w:type="dxa"/>
            <w:vAlign w:val="bottom"/>
            <w:gridSpan w:val="1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601"/>
        </w:trPr>
        <w:tc>
          <w:tcPr>
            <w:tcW w:w="104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72">
              <w:r>
                <w:rPr>
                  <w:rFonts w:ascii="Arial" w:cs="Arial" w:eastAsia="Arial" w:hAnsi="Arial"/>
                  <w:sz w:val="18"/>
                  <w:szCs w:val="18"/>
                  <w:color w:val="0000FF"/>
                  <w:w w:val="91"/>
                </w:rPr>
                <w:t>Mine Safety Disclosures</w:t>
              </w:r>
            </w:hyperlink>
          </w:p>
        </w:tc>
        <w:tc>
          <w:tcPr>
            <w:tcW w:w="6720" w:type="dxa"/>
            <w:vAlign w:val="bottom"/>
            <w:gridSpan w:val="1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601"/>
        </w:trPr>
        <w:tc>
          <w:tcPr>
            <w:tcW w:w="104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500" w:type="dxa"/>
            <w:vAlign w:val="bottom"/>
            <w:gridSpan w:val="23"/>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Other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601"/>
        </w:trPr>
        <w:tc>
          <w:tcPr>
            <w:tcW w:w="104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6"/>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Exhibits</w:t>
              </w:r>
            </w:hyperlink>
          </w:p>
        </w:tc>
        <w:tc>
          <w:tcPr>
            <w:tcW w:w="7180" w:type="dxa"/>
            <w:vAlign w:val="bottom"/>
            <w:gridSpan w:val="1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601"/>
        </w:trPr>
        <w:tc>
          <w:tcPr>
            <w:tcW w:w="1040" w:type="dxa"/>
            <w:vAlign w:val="bottom"/>
          </w:tcPr>
          <w:p>
            <w:pPr>
              <w:spacing w:after="0"/>
              <w:rPr>
                <w:sz w:val="24"/>
                <w:szCs w:val="24"/>
                <w:color w:val="auto"/>
              </w:rPr>
            </w:pPr>
          </w:p>
        </w:tc>
        <w:tc>
          <w:tcPr>
            <w:tcW w:w="1100" w:type="dxa"/>
            <w:vAlign w:val="bottom"/>
            <w:gridSpan w:val="2"/>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Signatures</w:t>
              </w:r>
            </w:hyperlink>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664210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64"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This Quarterly Report on Form 10-Q (the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words such as “anticipate,” “believe,” “contemplate,” “continue,” “could,” “estimate,” “expect,” “forecast,” “intend,” “may,” “plan,” “potential,” “predict,” “project,” “seek,” “should,” “target,” “will,” “would,” or the negative of these words, or other comparable terminology. These forward-looking statements include, but are not limited to, statements about:</w:t>
      </w:r>
    </w:p>
    <w:p>
      <w:pPr>
        <w:spacing w:after="0" w:line="4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commercialization, marketing, and manufacturing capabilities and strategy;</w:t>
      </w:r>
    </w:p>
    <w:p>
      <w:pPr>
        <w:spacing w:after="0" w:line="104" w:lineRule="exact"/>
        <w:rPr>
          <w:sz w:val="20"/>
          <w:szCs w:val="20"/>
          <w:color w:val="auto"/>
        </w:rPr>
      </w:pPr>
    </w:p>
    <w:p>
      <w:pPr>
        <w:ind w:left="840" w:right="2840"/>
        <w:spacing w:after="0" w:line="360" w:lineRule="auto"/>
        <w:rPr>
          <w:sz w:val="20"/>
          <w:szCs w:val="20"/>
          <w:color w:val="auto"/>
        </w:rPr>
      </w:pPr>
      <w:r>
        <w:rPr>
          <w:rFonts w:ascii="Arial" w:cs="Arial" w:eastAsia="Arial" w:hAnsi="Arial"/>
          <w:sz w:val="18"/>
          <w:szCs w:val="18"/>
          <w:color w:val="auto"/>
        </w:rPr>
        <w:t>our expectations regarding the timing of clinical study commencements and reporting results from same; the timing and likelihood of regulatory approvals for our product candidates; the anticipated indications for our product candidates, if approved;</w:t>
      </w:r>
    </w:p>
    <w:p>
      <w:pPr>
        <w:ind w:left="840"/>
        <w:spacing w:after="0"/>
        <w:rPr>
          <w:sz w:val="20"/>
          <w:szCs w:val="20"/>
          <w:color w:val="auto"/>
        </w:rPr>
      </w:pPr>
      <w:r>
        <w:rPr>
          <w:rFonts w:ascii="Arial" w:cs="Arial" w:eastAsia="Arial" w:hAnsi="Arial"/>
          <w:sz w:val="18"/>
          <w:szCs w:val="18"/>
          <w:color w:val="auto"/>
        </w:rPr>
        <w:t>the potential market opportunities for commercializing our products and product candidates;</w:t>
      </w:r>
    </w:p>
    <w:p>
      <w:pPr>
        <w:spacing w:after="0" w:line="104" w:lineRule="exact"/>
        <w:rPr>
          <w:sz w:val="20"/>
          <w:szCs w:val="20"/>
          <w:color w:val="auto"/>
        </w:rPr>
      </w:pPr>
    </w:p>
    <w:p>
      <w:pPr>
        <w:ind w:left="840" w:right="60"/>
        <w:spacing w:after="0" w:line="293" w:lineRule="auto"/>
        <w:rPr>
          <w:sz w:val="20"/>
          <w:szCs w:val="20"/>
          <w:color w:val="auto"/>
        </w:rPr>
      </w:pPr>
      <w:r>
        <w:rPr>
          <w:rFonts w:ascii="Arial" w:cs="Arial" w:eastAsia="Arial" w:hAnsi="Arial"/>
          <w:sz w:val="18"/>
          <w:szCs w:val="18"/>
          <w:color w:val="auto"/>
        </w:rPr>
        <w:t>our expectations regarding the potential market size and the size of the patient populations for our products and product candidates, if approved for commercial use;</w:t>
      </w:r>
    </w:p>
    <w:p>
      <w:pPr>
        <w:spacing w:after="0" w:line="35" w:lineRule="exact"/>
        <w:rPr>
          <w:sz w:val="20"/>
          <w:szCs w:val="20"/>
          <w:color w:val="auto"/>
        </w:rPr>
      </w:pPr>
    </w:p>
    <w:p>
      <w:pPr>
        <w:ind w:left="840" w:right="1900"/>
        <w:spacing w:after="0" w:line="381" w:lineRule="auto"/>
        <w:rPr>
          <w:sz w:val="20"/>
          <w:szCs w:val="20"/>
          <w:color w:val="auto"/>
        </w:rPr>
      </w:pPr>
      <w:r>
        <w:rPr>
          <w:rFonts w:ascii="Arial" w:cs="Arial" w:eastAsia="Arial" w:hAnsi="Arial"/>
          <w:sz w:val="17"/>
          <w:szCs w:val="17"/>
          <w:color w:val="auto"/>
        </w:rPr>
        <w:t>the impact of the COVID-19 pandemic and related health measures on our business, financial condition and liquidity; estimates of our expenses, revenue, capital requirements, and our needs for additional financing;</w:t>
      </w:r>
    </w:p>
    <w:p>
      <w:pPr>
        <w:ind w:left="840"/>
        <w:spacing w:after="0"/>
        <w:rPr>
          <w:sz w:val="20"/>
          <w:szCs w:val="20"/>
          <w:color w:val="auto"/>
        </w:rPr>
      </w:pPr>
      <w:r>
        <w:rPr>
          <w:rFonts w:ascii="Arial" w:cs="Arial" w:eastAsia="Arial" w:hAnsi="Arial"/>
          <w:sz w:val="18"/>
          <w:szCs w:val="18"/>
          <w:color w:val="auto"/>
        </w:rPr>
        <w:t>our ability to develop, acquire, and advance product candidates into, and successfully complete, clinical studies;</w:t>
      </w:r>
    </w:p>
    <w:p>
      <w:pPr>
        <w:spacing w:after="0" w:line="104" w:lineRule="exact"/>
        <w:rPr>
          <w:sz w:val="20"/>
          <w:szCs w:val="20"/>
          <w:color w:val="auto"/>
        </w:rPr>
      </w:pPr>
    </w:p>
    <w:p>
      <w:pPr>
        <w:ind w:left="840" w:right="660"/>
        <w:spacing w:after="0" w:line="293" w:lineRule="auto"/>
        <w:rPr>
          <w:sz w:val="20"/>
          <w:szCs w:val="20"/>
          <w:color w:val="auto"/>
        </w:rPr>
      </w:pPr>
      <w:r>
        <w:rPr>
          <w:rFonts w:ascii="Arial" w:cs="Arial" w:eastAsia="Arial" w:hAnsi="Arial"/>
          <w:sz w:val="18"/>
          <w:szCs w:val="18"/>
          <w:color w:val="auto"/>
        </w:rPr>
        <w:t>the implementation of our business model and strategic plans for our business, products and product candidates and the integration and performance of any businesses we have acquired or may acquire;</w:t>
      </w:r>
    </w:p>
    <w:p>
      <w:pPr>
        <w:spacing w:after="0" w:line="35" w:lineRule="exact"/>
        <w:rPr>
          <w:sz w:val="20"/>
          <w:szCs w:val="20"/>
          <w:color w:val="auto"/>
        </w:rPr>
      </w:pPr>
    </w:p>
    <w:p>
      <w:pPr>
        <w:ind w:left="840" w:right="180"/>
        <w:spacing w:after="0" w:line="381" w:lineRule="auto"/>
        <w:rPr>
          <w:sz w:val="20"/>
          <w:szCs w:val="20"/>
          <w:color w:val="auto"/>
        </w:rPr>
      </w:pPr>
      <w:r>
        <w:rPr>
          <w:rFonts w:ascii="Arial" w:cs="Arial" w:eastAsia="Arial" w:hAnsi="Arial"/>
          <w:sz w:val="17"/>
          <w:szCs w:val="17"/>
          <w:color w:val="auto"/>
        </w:rPr>
        <w:t>the initiation, timing, progress, and results of ongoing and future preclinical and clinical studies, and our research and development programs; the scope of protection we are able to establish and maintain for intellectual property rights covering our products and product candidates; our ability to maintain and establish collaborations or strategic relationships or obtain additional funding;</w:t>
      </w:r>
    </w:p>
    <w:p>
      <w:pPr>
        <w:spacing w:after="0" w:line="1" w:lineRule="exact"/>
        <w:rPr>
          <w:sz w:val="20"/>
          <w:szCs w:val="20"/>
          <w:color w:val="auto"/>
        </w:rPr>
      </w:pPr>
    </w:p>
    <w:p>
      <w:pPr>
        <w:ind w:left="840" w:right="900"/>
        <w:spacing w:after="0" w:line="293" w:lineRule="auto"/>
        <w:rPr>
          <w:sz w:val="20"/>
          <w:szCs w:val="20"/>
          <w:color w:val="auto"/>
        </w:rPr>
      </w:pPr>
      <w:r>
        <w:rPr>
          <w:rFonts w:ascii="Arial" w:cs="Arial" w:eastAsia="Arial" w:hAnsi="Arial"/>
          <w:sz w:val="18"/>
          <w:szCs w:val="18"/>
          <w:color w:val="auto"/>
        </w:rPr>
        <w:t>our ability to maintain and establish relationships with third parties, such as contract research organizations, contract manufacturing organizations, suppliers, and distributors;</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financial performance and the expansion of our organization;</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ability to obtain supply of our products and product candidates;</w:t>
      </w:r>
    </w:p>
    <w:p>
      <w:pPr>
        <w:spacing w:after="0" w:line="104" w:lineRule="exact"/>
        <w:rPr>
          <w:sz w:val="20"/>
          <w:szCs w:val="20"/>
          <w:color w:val="auto"/>
        </w:rPr>
      </w:pPr>
    </w:p>
    <w:p>
      <w:pPr>
        <w:ind w:left="840" w:right="4220"/>
        <w:spacing w:after="0" w:line="405" w:lineRule="auto"/>
        <w:rPr>
          <w:sz w:val="20"/>
          <w:szCs w:val="20"/>
          <w:color w:val="auto"/>
        </w:rPr>
      </w:pPr>
      <w:r>
        <w:rPr>
          <w:rFonts w:ascii="Arial" w:cs="Arial" w:eastAsia="Arial" w:hAnsi="Arial"/>
          <w:sz w:val="16"/>
          <w:szCs w:val="16"/>
          <w:color w:val="auto"/>
        </w:rPr>
        <w:t>the scalability and commercial viability of our manufacturing methods and processes; developments and projections relating to our competitors and our industry; and</w:t>
      </w:r>
    </w:p>
    <w:p>
      <w:pPr>
        <w:ind w:left="840"/>
        <w:spacing w:after="0"/>
        <w:rPr>
          <w:sz w:val="20"/>
          <w:szCs w:val="20"/>
          <w:color w:val="auto"/>
        </w:rPr>
      </w:pPr>
      <w:r>
        <w:rPr>
          <w:rFonts w:ascii="Arial" w:cs="Arial" w:eastAsia="Arial" w:hAnsi="Arial"/>
          <w:sz w:val="18"/>
          <w:szCs w:val="18"/>
          <w:color w:val="auto"/>
        </w:rPr>
        <w:t>other risks and uncertainties, including those listed under Part II, Item 1A. Risk Factors.</w:t>
      </w:r>
    </w:p>
    <w:p>
      <w:pPr>
        <w:spacing w:after="0" w:line="104" w:lineRule="exact"/>
        <w:rPr>
          <w:sz w:val="20"/>
          <w:szCs w:val="20"/>
          <w:color w:val="auto"/>
        </w:rPr>
      </w:pPr>
    </w:p>
    <w:p>
      <w:pPr>
        <w:ind w:right="40" w:firstLine="509"/>
        <w:spacing w:after="0" w:line="270" w:lineRule="auto"/>
        <w:rPr>
          <w:sz w:val="20"/>
          <w:szCs w:val="20"/>
          <w:color w:val="auto"/>
        </w:rPr>
      </w:pPr>
      <w:r>
        <w:rPr>
          <w:rFonts w:ascii="Arial" w:cs="Arial" w:eastAsia="Arial" w:hAnsi="Arial"/>
          <w:sz w:val="18"/>
          <w:szCs w:val="18"/>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discussed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58" w:lineRule="exact"/>
        <w:rPr>
          <w:sz w:val="20"/>
          <w:szCs w:val="20"/>
          <w:color w:val="auto"/>
        </w:rPr>
      </w:pPr>
    </w:p>
    <w:p>
      <w:pPr>
        <w:ind w:firstLine="509"/>
        <w:spacing w:after="0" w:line="281" w:lineRule="auto"/>
        <w:rPr>
          <w:sz w:val="20"/>
          <w:szCs w:val="20"/>
          <w:color w:val="auto"/>
        </w:rPr>
      </w:pPr>
      <w:r>
        <w:rPr>
          <w:rFonts w:ascii="Arial" w:cs="Arial" w:eastAsia="Arial" w:hAnsi="Arial"/>
          <w:sz w:val="17"/>
          <w:szCs w:val="17"/>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49"/>
        </w:trPr>
        <w:tc>
          <w:tcPr>
            <w:tcW w:w="8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713,526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200"/>
              <w:spacing w:after="0"/>
              <w:rPr>
                <w:sz w:val="20"/>
                <w:szCs w:val="20"/>
                <w:color w:val="auto"/>
              </w:rPr>
            </w:pPr>
            <w:r>
              <w:rPr>
                <w:rFonts w:ascii="Arial" w:cs="Arial" w:eastAsia="Arial" w:hAnsi="Arial"/>
                <w:sz w:val="18"/>
                <w:szCs w:val="18"/>
                <w:color w:val="auto"/>
              </w:rPr>
              <w:t>Marketable debt securities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539,579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488,007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2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CFF"/>
          </w:tcPr>
          <w:p>
            <w:pPr>
              <w:spacing w:after="0"/>
              <w:rPr>
                <w:sz w:val="22"/>
                <w:szCs w:val="22"/>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25,383</w:t>
            </w:r>
          </w:p>
        </w:tc>
        <w:tc>
          <w:tcPr>
            <w:tcW w:w="10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23,093</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CFF"/>
          </w:tcPr>
          <w:p>
            <w:pPr>
              <w:spacing w:after="0"/>
              <w:rPr>
                <w:sz w:val="22"/>
                <w:szCs w:val="22"/>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69,193</w:t>
            </w:r>
          </w:p>
        </w:tc>
        <w:tc>
          <w:tcPr>
            <w:tcW w:w="100" w:type="dxa"/>
            <w:vAlign w:val="bottom"/>
            <w:tcBorders>
              <w:bottom w:val="single" w:sz="8" w:color="CCECFF"/>
            </w:tcBorders>
            <w:shd w:val="clear" w:color="auto" w:fill="CCECFF"/>
          </w:tcPr>
          <w:p>
            <w:pPr>
              <w:spacing w:after="0"/>
              <w:rPr>
                <w:sz w:val="22"/>
                <w:szCs w:val="22"/>
                <w:color w:val="auto"/>
              </w:rPr>
            </w:pPr>
          </w:p>
        </w:tc>
        <w:tc>
          <w:tcPr>
            <w:tcW w:w="180" w:type="dxa"/>
            <w:vAlign w:val="bottom"/>
            <w:tcBorders>
              <w:bottom w:val="single" w:sz="8" w:color="auto"/>
            </w:tcBorders>
            <w:shd w:val="clear" w:color="auto" w:fill="CCECFF"/>
          </w:tcPr>
          <w:p>
            <w:pPr>
              <w:spacing w:after="0"/>
              <w:rPr>
                <w:sz w:val="22"/>
                <w:szCs w:val="22"/>
                <w:color w:val="auto"/>
              </w:rPr>
            </w:pPr>
          </w:p>
        </w:tc>
        <w:tc>
          <w:tcPr>
            <w:tcW w:w="160" w:type="dxa"/>
            <w:vAlign w:val="bottom"/>
            <w:tcBorders>
              <w:bottom w:val="single" w:sz="8" w:color="auto"/>
            </w:tcBorders>
            <w:shd w:val="clear" w:color="auto" w:fill="CCECFF"/>
          </w:tcPr>
          <w:p>
            <w:pPr>
              <w:spacing w:after="0"/>
              <w:rPr>
                <w:sz w:val="22"/>
                <w:szCs w:val="22"/>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57,630</w:t>
            </w:r>
          </w:p>
        </w:tc>
        <w:tc>
          <w:tcPr>
            <w:tcW w:w="10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846,884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1,295,304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220" w:type="dxa"/>
            <w:vAlign w:val="bottom"/>
            <w:shd w:val="clear" w:color="auto" w:fill="CCECFF"/>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CFF"/>
          </w:tcPr>
          <w:p>
            <w:pPr>
              <w:spacing w:after="0"/>
              <w:rPr>
                <w:sz w:val="22"/>
                <w:szCs w:val="22"/>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119,069</w:t>
            </w:r>
          </w:p>
        </w:tc>
        <w:tc>
          <w:tcPr>
            <w:tcW w:w="10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73,515</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20"/>
              <w:spacing w:after="0"/>
              <w:rPr>
                <w:sz w:val="20"/>
                <w:szCs w:val="20"/>
                <w:color w:val="auto"/>
              </w:rPr>
            </w:pPr>
            <w:r>
              <w:rPr>
                <w:rFonts w:ascii="Arial" w:cs="Arial" w:eastAsia="Arial" w:hAnsi="Arial"/>
                <w:sz w:val="18"/>
                <w:szCs w:val="18"/>
                <w:color w:val="auto"/>
              </w:rPr>
              <w:t>Equity investments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86,215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155,375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220" w:type="dxa"/>
            <w:vAlign w:val="bottom"/>
            <w:shd w:val="clear" w:color="auto" w:fill="CCECFF"/>
          </w:tcPr>
          <w:p>
            <w:pPr>
              <w:ind w:left="20"/>
              <w:spacing w:after="0"/>
              <w:rPr>
                <w:sz w:val="20"/>
                <w:szCs w:val="20"/>
                <w:color w:val="auto"/>
              </w:rPr>
            </w:pPr>
            <w:r>
              <w:rPr>
                <w:rFonts w:ascii="Arial" w:cs="Arial" w:eastAsia="Arial" w:hAnsi="Arial"/>
                <w:sz w:val="18"/>
                <w:szCs w:val="18"/>
                <w:color w:val="auto"/>
              </w:rPr>
              <w:t>Marketable debt securities</w:t>
            </w:r>
          </w:p>
        </w:tc>
        <w:tc>
          <w:tcPr>
            <w:tcW w:w="160" w:type="dxa"/>
            <w:vAlign w:val="bottom"/>
            <w:shd w:val="clear" w:color="auto" w:fill="CCECFF"/>
          </w:tcPr>
          <w:p>
            <w:pPr>
              <w:spacing w:after="0"/>
              <w:rPr>
                <w:sz w:val="22"/>
                <w:szCs w:val="22"/>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204,243</w:t>
            </w:r>
          </w:p>
        </w:tc>
        <w:tc>
          <w:tcPr>
            <w:tcW w:w="10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10,506</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220" w:type="dxa"/>
            <w:vAlign w:val="bottom"/>
            <w:shd w:val="clear" w:color="auto" w:fill="CCEC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CFF"/>
          </w:tcPr>
          <w:p>
            <w:pPr>
              <w:spacing w:after="0"/>
              <w:rPr>
                <w:sz w:val="22"/>
                <w:szCs w:val="22"/>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130,869</w:t>
            </w:r>
          </w:p>
        </w:tc>
        <w:tc>
          <w:tcPr>
            <w:tcW w:w="10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131,113</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44,406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44,406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CFF"/>
          </w:tcPr>
          <w:p>
            <w:pPr>
              <w:spacing w:after="0"/>
              <w:rPr>
                <w:sz w:val="22"/>
                <w:szCs w:val="22"/>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16,419</w:t>
            </w:r>
          </w:p>
        </w:tc>
        <w:tc>
          <w:tcPr>
            <w:tcW w:w="100" w:type="dxa"/>
            <w:vAlign w:val="bottom"/>
            <w:tcBorders>
              <w:bottom w:val="single" w:sz="8" w:color="CCECFF"/>
            </w:tcBorders>
            <w:shd w:val="clear" w:color="auto" w:fill="CCECFF"/>
          </w:tcPr>
          <w:p>
            <w:pPr>
              <w:spacing w:after="0"/>
              <w:rPr>
                <w:sz w:val="22"/>
                <w:szCs w:val="22"/>
                <w:color w:val="auto"/>
              </w:rPr>
            </w:pPr>
          </w:p>
        </w:tc>
        <w:tc>
          <w:tcPr>
            <w:tcW w:w="180" w:type="dxa"/>
            <w:vAlign w:val="bottom"/>
            <w:tcBorders>
              <w:bottom w:val="single" w:sz="8" w:color="CCECFF"/>
            </w:tcBorders>
            <w:shd w:val="clear" w:color="auto" w:fill="CCECFF"/>
          </w:tcPr>
          <w:p>
            <w:pPr>
              <w:spacing w:after="0"/>
              <w:rPr>
                <w:sz w:val="22"/>
                <w:szCs w:val="22"/>
                <w:color w:val="auto"/>
              </w:rPr>
            </w:pPr>
          </w:p>
        </w:tc>
        <w:tc>
          <w:tcPr>
            <w:tcW w:w="160" w:type="dxa"/>
            <w:vAlign w:val="bottom"/>
            <w:tcBorders>
              <w:bottom w:val="single" w:sz="8" w:color="auto"/>
            </w:tcBorders>
            <w:shd w:val="clear" w:color="auto" w:fill="CCECFF"/>
          </w:tcPr>
          <w:p>
            <w:pPr>
              <w:spacing w:after="0"/>
              <w:rPr>
                <w:sz w:val="22"/>
                <w:szCs w:val="22"/>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8,812</w:t>
            </w:r>
          </w:p>
        </w:tc>
        <w:tc>
          <w:tcPr>
            <w:tcW w:w="10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2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1,484,801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1,759,555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220" w:type="dxa"/>
            <w:vAlign w:val="bottom"/>
            <w:shd w:val="clear" w:color="auto" w:fill="CCEC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CFF"/>
          </w:tcPr>
          <w:p>
            <w:pPr>
              <w:spacing w:after="0"/>
              <w:rPr>
                <w:sz w:val="22"/>
                <w:szCs w:val="22"/>
                <w:color w:val="auto"/>
              </w:rPr>
            </w:pPr>
          </w:p>
        </w:tc>
        <w:tc>
          <w:tcPr>
            <w:tcW w:w="118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114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15,575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12,923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2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CFF"/>
          </w:tcPr>
          <w:p>
            <w:pPr>
              <w:spacing w:after="0"/>
              <w:rPr>
                <w:sz w:val="22"/>
                <w:szCs w:val="22"/>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109,660</w:t>
            </w:r>
          </w:p>
        </w:tc>
        <w:tc>
          <w:tcPr>
            <w:tcW w:w="10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108,491</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200"/>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21"/>
                <w:szCs w:val="21"/>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59,219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Lease liabilities</w:t>
            </w:r>
          </w:p>
        </w:tc>
        <w:tc>
          <w:tcPr>
            <w:tcW w:w="160" w:type="dxa"/>
            <w:vAlign w:val="bottom"/>
            <w:tcBorders>
              <w:bottom w:val="single" w:sz="8" w:color="auto"/>
            </w:tcBorders>
            <w:shd w:val="clear" w:color="auto" w:fill="CCECFF"/>
          </w:tcPr>
          <w:p>
            <w:pPr>
              <w:spacing w:after="0"/>
              <w:rPr>
                <w:sz w:val="22"/>
                <w:szCs w:val="22"/>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10,698</w:t>
            </w:r>
          </w:p>
        </w:tc>
        <w:tc>
          <w:tcPr>
            <w:tcW w:w="100" w:type="dxa"/>
            <w:vAlign w:val="bottom"/>
            <w:tcBorders>
              <w:bottom w:val="single" w:sz="8" w:color="CCECFF"/>
            </w:tcBorders>
            <w:shd w:val="clear" w:color="auto" w:fill="CCECFF"/>
          </w:tcPr>
          <w:p>
            <w:pPr>
              <w:spacing w:after="0"/>
              <w:rPr>
                <w:sz w:val="22"/>
                <w:szCs w:val="22"/>
                <w:color w:val="auto"/>
              </w:rPr>
            </w:pPr>
          </w:p>
        </w:tc>
        <w:tc>
          <w:tcPr>
            <w:tcW w:w="180" w:type="dxa"/>
            <w:vAlign w:val="bottom"/>
            <w:tcBorders>
              <w:bottom w:val="single" w:sz="8" w:color="CCECFF"/>
            </w:tcBorders>
            <w:shd w:val="clear" w:color="auto" w:fill="CCECFF"/>
          </w:tcPr>
          <w:p>
            <w:pPr>
              <w:spacing w:after="0"/>
              <w:rPr>
                <w:sz w:val="22"/>
                <w:szCs w:val="22"/>
                <w:color w:val="auto"/>
              </w:rPr>
            </w:pPr>
          </w:p>
        </w:tc>
        <w:tc>
          <w:tcPr>
            <w:tcW w:w="160" w:type="dxa"/>
            <w:vAlign w:val="bottom"/>
            <w:tcBorders>
              <w:bottom w:val="single" w:sz="8" w:color="auto"/>
            </w:tcBorders>
            <w:shd w:val="clear" w:color="auto" w:fill="CCECFF"/>
          </w:tcPr>
          <w:p>
            <w:pPr>
              <w:spacing w:after="0"/>
              <w:rPr>
                <w:sz w:val="22"/>
                <w:szCs w:val="22"/>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8,976</w:t>
            </w:r>
          </w:p>
        </w:tc>
        <w:tc>
          <w:tcPr>
            <w:tcW w:w="10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135,933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189,609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220" w:type="dxa"/>
            <w:vAlign w:val="bottom"/>
            <w:shd w:val="clear" w:color="auto" w:fill="CCECFF"/>
          </w:tcPr>
          <w:p>
            <w:pPr>
              <w:ind w:left="20"/>
              <w:spacing w:after="0"/>
              <w:rPr>
                <w:sz w:val="20"/>
                <w:szCs w:val="20"/>
                <w:color w:val="auto"/>
              </w:rPr>
            </w:pPr>
            <w:r>
              <w:rPr>
                <w:rFonts w:ascii="Arial" w:cs="Arial" w:eastAsia="Arial" w:hAnsi="Arial"/>
                <w:sz w:val="18"/>
                <w:szCs w:val="18"/>
                <w:color w:val="auto"/>
              </w:rPr>
              <w:t>Lease liabilities</w:t>
            </w:r>
          </w:p>
        </w:tc>
        <w:tc>
          <w:tcPr>
            <w:tcW w:w="160" w:type="dxa"/>
            <w:vAlign w:val="bottom"/>
            <w:shd w:val="clear" w:color="auto" w:fill="CCECFF"/>
          </w:tcPr>
          <w:p>
            <w:pPr>
              <w:spacing w:after="0"/>
              <w:rPr>
                <w:sz w:val="22"/>
                <w:szCs w:val="22"/>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33,344</w:t>
            </w:r>
          </w:p>
        </w:tc>
        <w:tc>
          <w:tcPr>
            <w:tcW w:w="10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39,251</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220" w:type="dxa"/>
            <w:vAlign w:val="bottom"/>
            <w:shd w:val="clear" w:color="auto" w:fill="CCECFF"/>
          </w:tcPr>
          <w:p>
            <w:pPr>
              <w:ind w:left="20"/>
              <w:spacing w:after="0"/>
              <w:rPr>
                <w:sz w:val="20"/>
                <w:szCs w:val="20"/>
                <w:color w:val="auto"/>
              </w:rPr>
            </w:pPr>
            <w:r>
              <w:rPr>
                <w:rFonts w:ascii="Arial" w:cs="Arial" w:eastAsia="Arial" w:hAnsi="Arial"/>
                <w:sz w:val="18"/>
                <w:szCs w:val="18"/>
                <w:color w:val="auto"/>
              </w:rPr>
              <w:t>Liability related to the sale of future royalties</w:t>
            </w:r>
          </w:p>
        </w:tc>
        <w:tc>
          <w:tcPr>
            <w:tcW w:w="160" w:type="dxa"/>
            <w:vAlign w:val="bottom"/>
            <w:shd w:val="clear" w:color="auto" w:fill="CCECFF"/>
          </w:tcPr>
          <w:p>
            <w:pPr>
              <w:spacing w:after="0"/>
              <w:rPr>
                <w:sz w:val="22"/>
                <w:szCs w:val="22"/>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348,073</w:t>
            </w:r>
          </w:p>
        </w:tc>
        <w:tc>
          <w:tcPr>
            <w:tcW w:w="10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335,665</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CFF"/>
          </w:tcPr>
          <w:p>
            <w:pPr>
              <w:spacing w:after="0"/>
              <w:rPr>
                <w:sz w:val="21"/>
                <w:szCs w:val="21"/>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551,127</w:t>
            </w:r>
          </w:p>
        </w:tc>
        <w:tc>
          <w:tcPr>
            <w:tcW w:w="10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spacing w:after="0"/>
              <w:rPr>
                <w:sz w:val="21"/>
                <w:szCs w:val="21"/>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605,180</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2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Preferred stock — 25,000,000 shares authorized; nil outstanding as of September 30, 2021 and</w:t>
            </w:r>
          </w:p>
        </w:tc>
        <w:tc>
          <w:tcPr>
            <w:tcW w:w="160" w:type="dxa"/>
            <w:vAlign w:val="bottom"/>
            <w:shd w:val="clear" w:color="auto" w:fill="CCECFF"/>
          </w:tcPr>
          <w:p>
            <w:pPr>
              <w:spacing w:after="0"/>
              <w:rPr>
                <w:sz w:val="21"/>
                <w:szCs w:val="21"/>
                <w:color w:val="auto"/>
              </w:rPr>
            </w:pPr>
          </w:p>
        </w:tc>
        <w:tc>
          <w:tcPr>
            <w:tcW w:w="11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1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220" w:type="dxa"/>
            <w:vAlign w:val="bottom"/>
            <w:shd w:val="clear" w:color="auto" w:fill="CCECFF"/>
          </w:tcPr>
          <w:p>
            <w:pPr>
              <w:ind w:left="340"/>
              <w:spacing w:after="0"/>
              <w:rPr>
                <w:sz w:val="20"/>
                <w:szCs w:val="20"/>
                <w:color w:val="auto"/>
              </w:rPr>
            </w:pPr>
            <w:r>
              <w:rPr>
                <w:rFonts w:ascii="Arial" w:cs="Arial" w:eastAsia="Arial" w:hAnsi="Arial"/>
                <w:sz w:val="18"/>
                <w:szCs w:val="18"/>
                <w:color w:val="auto"/>
              </w:rPr>
              <w:t>December 31, 2020</w:t>
            </w:r>
          </w:p>
        </w:tc>
        <w:tc>
          <w:tcPr>
            <w:tcW w:w="160" w:type="dxa"/>
            <w:vAlign w:val="bottom"/>
            <w:shd w:val="clear" w:color="auto" w:fill="CCECFF"/>
          </w:tcPr>
          <w:p>
            <w:pPr>
              <w:spacing w:after="0"/>
              <w:rPr>
                <w:sz w:val="21"/>
                <w:szCs w:val="21"/>
                <w:color w:val="auto"/>
              </w:rPr>
            </w:pPr>
          </w:p>
        </w:tc>
        <w:tc>
          <w:tcPr>
            <w:tcW w:w="1460" w:type="dxa"/>
            <w:vAlign w:val="bottom"/>
            <w:gridSpan w:val="3"/>
            <w:shd w:val="clear" w:color="auto" w:fill="CCEC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CFF"/>
          </w:tcPr>
          <w:p>
            <w:pPr>
              <w:spacing w:after="0"/>
              <w:rPr>
                <w:sz w:val="21"/>
                <w:szCs w:val="21"/>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8220" w:type="dxa"/>
            <w:vAlign w:val="bottom"/>
          </w:tcPr>
          <w:p>
            <w:pPr>
              <w:ind w:left="200"/>
              <w:spacing w:after="0"/>
              <w:rPr>
                <w:sz w:val="20"/>
                <w:szCs w:val="20"/>
                <w:color w:val="auto"/>
              </w:rPr>
            </w:pPr>
            <w:r>
              <w:rPr>
                <w:rFonts w:ascii="Arial" w:cs="Arial" w:eastAsia="Arial" w:hAnsi="Arial"/>
                <w:sz w:val="18"/>
                <w:szCs w:val="18"/>
                <w:color w:val="auto"/>
              </w:rPr>
              <w:t>Common stock — 250,000,000 shares authorized; 67,961,963 and 66,818,520 shares issued</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20" w:type="dxa"/>
            <w:vAlign w:val="bottom"/>
          </w:tcPr>
          <w:p>
            <w:pPr>
              <w:ind w:left="340"/>
              <w:spacing w:after="0"/>
              <w:rPr>
                <w:sz w:val="20"/>
                <w:szCs w:val="20"/>
                <w:color w:val="auto"/>
              </w:rPr>
            </w:pPr>
            <w:r>
              <w:rPr>
                <w:rFonts w:ascii="Arial" w:cs="Arial" w:eastAsia="Arial" w:hAnsi="Arial"/>
                <w:sz w:val="18"/>
                <w:szCs w:val="18"/>
                <w:color w:val="auto"/>
              </w:rPr>
              <w:t>and outstanding as of September 30, 2021 and December 31, 2020, respectively</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2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CFF"/>
          </w:tcPr>
          <w:p>
            <w:pPr>
              <w:spacing w:after="0"/>
              <w:rPr>
                <w:sz w:val="22"/>
                <w:szCs w:val="22"/>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2,884,695</w:t>
            </w:r>
          </w:p>
        </w:tc>
        <w:tc>
          <w:tcPr>
            <w:tcW w:w="10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2,773,195</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2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CFF"/>
          </w:tcPr>
          <w:p>
            <w:pPr>
              <w:spacing w:after="0"/>
              <w:rPr>
                <w:sz w:val="22"/>
                <w:szCs w:val="22"/>
                <w:color w:val="auto"/>
              </w:rPr>
            </w:pPr>
          </w:p>
        </w:tc>
        <w:tc>
          <w:tcPr>
            <w:tcW w:w="12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(1,951,143 )</w:t>
            </w:r>
          </w:p>
        </w:tc>
        <w:tc>
          <w:tcPr>
            <w:tcW w:w="1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12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(1,619,576 )</w:t>
            </w:r>
          </w:p>
        </w:tc>
        <w:tc>
          <w:tcPr>
            <w:tcW w:w="0" w:type="dxa"/>
            <w:vAlign w:val="bottom"/>
          </w:tcPr>
          <w:p>
            <w:pPr>
              <w:spacing w:after="0"/>
              <w:rPr>
                <w:sz w:val="1"/>
                <w:szCs w:val="1"/>
                <w:color w:val="auto"/>
              </w:rPr>
            </w:pPr>
          </w:p>
        </w:tc>
      </w:tr>
      <w:tr>
        <w:trPr>
          <w:trHeight w:val="250"/>
        </w:trPr>
        <w:tc>
          <w:tcPr>
            <w:tcW w:w="8220" w:type="dxa"/>
            <w:vAlign w:val="bottom"/>
            <w:tcBorders>
              <w:top w:val="single" w:sz="8" w:color="CCECFF"/>
            </w:tcBorders>
          </w:tcPr>
          <w:p>
            <w:pPr>
              <w:ind w:left="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933,674</w:t>
            </w:r>
          </w:p>
        </w:tc>
        <w:tc>
          <w:tcPr>
            <w:tcW w:w="100" w:type="dxa"/>
            <w:vAlign w:val="bottom"/>
            <w:tcBorders>
              <w:top w:val="single" w:sz="8" w:color="CCECFF"/>
            </w:tcBorders>
          </w:tcPr>
          <w:p>
            <w:pPr>
              <w:spacing w:after="0"/>
              <w:rPr>
                <w:sz w:val="21"/>
                <w:szCs w:val="21"/>
                <w:color w:val="auto"/>
              </w:rPr>
            </w:pPr>
          </w:p>
        </w:tc>
        <w:tc>
          <w:tcPr>
            <w:tcW w:w="180" w:type="dxa"/>
            <w:vAlign w:val="bottom"/>
            <w:tcBorders>
              <w:top w:val="single" w:sz="8" w:color="CCEC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1,154,375</w:t>
            </w:r>
          </w:p>
        </w:tc>
        <w:tc>
          <w:tcPr>
            <w:tcW w:w="100" w:type="dxa"/>
            <w:vAlign w:val="bottom"/>
            <w:tcBorders>
              <w:top w:val="single" w:sz="8" w:color="CCECFF"/>
            </w:tcBorders>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82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1,484,801</w:t>
            </w:r>
          </w:p>
        </w:tc>
        <w:tc>
          <w:tcPr>
            <w:tcW w:w="10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bottom w:val="single" w:sz="8" w:color="CCECFF"/>
            </w:tcBorders>
            <w:shd w:val="clear" w:color="auto" w:fill="CCECFF"/>
          </w:tcPr>
          <w:p>
            <w:pPr>
              <w:spacing w:after="0"/>
              <w:rPr>
                <w:sz w:val="24"/>
                <w:szCs w:val="24"/>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1,759,555</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-5285740</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-5285740</wp:posOffset>
            </wp:positionV>
            <wp:extent cx="5969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-3973830</wp:posOffset>
            </wp:positionV>
            <wp:extent cx="1803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-3973830</wp:posOffset>
            </wp:positionV>
            <wp:extent cx="5969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-2636520</wp:posOffset>
            </wp:positionV>
            <wp:extent cx="1803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-2636520</wp:posOffset>
            </wp:positionV>
            <wp:extent cx="5969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-1642110</wp:posOffset>
            </wp:positionV>
            <wp:extent cx="1803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-1642110</wp:posOffset>
            </wp:positionV>
            <wp:extent cx="5969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-365125</wp:posOffset>
            </wp:positionV>
            <wp:extent cx="1803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-365125</wp:posOffset>
            </wp:positionV>
            <wp:extent cx="5969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1803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1803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5"/>
              </w:rPr>
              <w:t>Three Months Ended September 30,</w:t>
            </w:r>
          </w:p>
        </w:tc>
        <w:tc>
          <w:tcPr>
            <w:tcW w:w="180" w:type="dxa"/>
            <w:vAlign w:val="bottom"/>
          </w:tcPr>
          <w:p>
            <w:pPr>
              <w:spacing w:after="0"/>
              <w:rPr>
                <w:sz w:val="16"/>
                <w:szCs w:val="16"/>
                <w:color w:val="auto"/>
              </w:rPr>
            </w:pPr>
          </w:p>
        </w:tc>
        <w:tc>
          <w:tcPr>
            <w:tcW w:w="26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400" w:type="dxa"/>
            <w:vAlign w:val="bottom"/>
            <w:shd w:val="clear" w:color="auto" w:fill="CCEC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CFF"/>
          </w:tcPr>
          <w:p>
            <w:pPr>
              <w:spacing w:after="0"/>
              <w:rPr>
                <w:sz w:val="22"/>
                <w:szCs w:val="22"/>
                <w:color w:val="auto"/>
              </w:rPr>
            </w:pPr>
          </w:p>
        </w:tc>
        <w:tc>
          <w:tcPr>
            <w:tcW w:w="106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98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04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98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00" w:type="dxa"/>
            <w:vAlign w:val="bottom"/>
          </w:tcPr>
          <w:p>
            <w:pPr>
              <w:ind w:left="200"/>
              <w:spacing w:after="0"/>
              <w:rPr>
                <w:sz w:val="20"/>
                <w:szCs w:val="20"/>
                <w:color w:val="auto"/>
              </w:rPr>
            </w:pPr>
            <w:r>
              <w:rPr>
                <w:rFonts w:ascii="Arial" w:cs="Arial" w:eastAsia="Arial" w:hAnsi="Arial"/>
                <w:sz w:val="18"/>
                <w:szCs w:val="18"/>
                <w:color w:val="auto"/>
              </w:rPr>
              <w:t>Collaboration and license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55,048</w:t>
            </w:r>
          </w:p>
        </w:tc>
        <w:tc>
          <w:tcPr>
            <w:tcW w:w="2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66,924</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197,998</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144,300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4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Product sales</w:t>
            </w:r>
          </w:p>
        </w:tc>
        <w:tc>
          <w:tcPr>
            <w:tcW w:w="200" w:type="dxa"/>
            <w:vAlign w:val="bottom"/>
            <w:shd w:val="clear" w:color="auto" w:fill="CCECFF"/>
          </w:tcPr>
          <w:p>
            <w:pPr>
              <w:spacing w:after="0"/>
              <w:rPr>
                <w:sz w:val="22"/>
                <w:szCs w:val="22"/>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21,950</w:t>
            </w:r>
          </w:p>
        </w:tc>
        <w:tc>
          <w:tcPr>
            <w:tcW w:w="28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11,215</w:t>
            </w:r>
          </w:p>
        </w:tc>
        <w:tc>
          <w:tcPr>
            <w:tcW w:w="26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56,809</w:t>
            </w:r>
          </w:p>
        </w:tc>
        <w:tc>
          <w:tcPr>
            <w:tcW w:w="24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25,760</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ind w:left="200"/>
              <w:spacing w:after="0"/>
              <w:rPr>
                <w:sz w:val="20"/>
                <w:szCs w:val="20"/>
                <w:color w:val="auto"/>
              </w:rPr>
            </w:pPr>
            <w:r>
              <w:rPr>
                <w:rFonts w:ascii="Arial" w:cs="Arial" w:eastAsia="Arial" w:hAnsi="Arial"/>
                <w:sz w:val="18"/>
                <w:szCs w:val="18"/>
                <w:color w:val="auto"/>
              </w:rPr>
              <w:t>Non-cash collaboration royalty revenue</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w:t>
            </w: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13,210</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CFF"/>
            </w:tcBorders>
            <w:shd w:val="clear" w:color="auto" w:fill="CCECFF"/>
          </w:tcPr>
          <w:p>
            <w:pPr>
              <w:ind w:left="38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CFF"/>
          </w:tcPr>
          <w:p>
            <w:pPr>
              <w:spacing w:after="0"/>
              <w:rPr>
                <w:sz w:val="21"/>
                <w:szCs w:val="21"/>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81,647</w:t>
            </w:r>
          </w:p>
        </w:tc>
        <w:tc>
          <w:tcPr>
            <w:tcW w:w="28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81,470</w:t>
            </w:r>
          </w:p>
        </w:tc>
        <w:tc>
          <w:tcPr>
            <w:tcW w:w="26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auto"/>
            </w:tcBorders>
            <w:shd w:val="clear" w:color="auto" w:fill="CCECFF"/>
          </w:tcPr>
          <w:p>
            <w:pPr>
              <w:spacing w:after="0"/>
              <w:rPr>
                <w:sz w:val="21"/>
                <w:szCs w:val="21"/>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268,017</w:t>
            </w:r>
          </w:p>
        </w:tc>
        <w:tc>
          <w:tcPr>
            <w:tcW w:w="24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179,488</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4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CFF"/>
          </w:tcPr>
          <w:p>
            <w:pPr>
              <w:spacing w:after="0"/>
              <w:rPr>
                <w:sz w:val="22"/>
                <w:szCs w:val="22"/>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4,175</w:t>
            </w:r>
          </w:p>
        </w:tc>
        <w:tc>
          <w:tcPr>
            <w:tcW w:w="28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2,348</w:t>
            </w:r>
          </w:p>
        </w:tc>
        <w:tc>
          <w:tcPr>
            <w:tcW w:w="26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12,499</w:t>
            </w:r>
          </w:p>
        </w:tc>
        <w:tc>
          <w:tcPr>
            <w:tcW w:w="24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113,417</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87,314</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374,140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280,984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4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CECFF"/>
          </w:tcPr>
          <w:p>
            <w:pPr>
              <w:spacing w:after="0"/>
              <w:rPr>
                <w:sz w:val="22"/>
                <w:szCs w:val="22"/>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53,883</w:t>
            </w:r>
          </w:p>
        </w:tc>
        <w:tc>
          <w:tcPr>
            <w:tcW w:w="280" w:type="dxa"/>
            <w:vAlign w:val="bottom"/>
            <w:tcBorders>
              <w:bottom w:val="single" w:sz="8" w:color="CCECFF"/>
            </w:tcBorders>
            <w:shd w:val="clear" w:color="auto" w:fill="CCECFF"/>
          </w:tcPr>
          <w:p>
            <w:pPr>
              <w:spacing w:after="0"/>
              <w:rPr>
                <w:sz w:val="22"/>
                <w:szCs w:val="22"/>
                <w:color w:val="auto"/>
              </w:rPr>
            </w:pPr>
          </w:p>
        </w:tc>
        <w:tc>
          <w:tcPr>
            <w:tcW w:w="260" w:type="dxa"/>
            <w:vAlign w:val="bottom"/>
            <w:tcBorders>
              <w:bottom w:val="single" w:sz="8" w:color="auto"/>
            </w:tcBorders>
            <w:shd w:val="clear" w:color="auto" w:fill="CCECFF"/>
          </w:tcPr>
          <w:p>
            <w:pPr>
              <w:spacing w:after="0"/>
              <w:rPr>
                <w:sz w:val="22"/>
                <w:szCs w:val="22"/>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42,123</w:t>
            </w:r>
          </w:p>
        </w:tc>
        <w:tc>
          <w:tcPr>
            <w:tcW w:w="260" w:type="dxa"/>
            <w:vAlign w:val="bottom"/>
            <w:tcBorders>
              <w:bottom w:val="single" w:sz="8" w:color="CCECFF"/>
            </w:tcBorders>
            <w:shd w:val="clear" w:color="auto" w:fill="CCECFF"/>
          </w:tcPr>
          <w:p>
            <w:pPr>
              <w:spacing w:after="0"/>
              <w:rPr>
                <w:sz w:val="22"/>
                <w:szCs w:val="22"/>
                <w:color w:val="auto"/>
              </w:rPr>
            </w:pPr>
          </w:p>
        </w:tc>
        <w:tc>
          <w:tcPr>
            <w:tcW w:w="180" w:type="dxa"/>
            <w:vAlign w:val="bottom"/>
            <w:tcBorders>
              <w:bottom w:val="single" w:sz="8" w:color="auto"/>
            </w:tcBorders>
            <w:shd w:val="clear" w:color="auto" w:fill="CCECFF"/>
          </w:tcPr>
          <w:p>
            <w:pPr>
              <w:spacing w:after="0"/>
              <w:rPr>
                <w:sz w:val="22"/>
                <w:szCs w:val="22"/>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160,551</w:t>
            </w:r>
          </w:p>
        </w:tc>
        <w:tc>
          <w:tcPr>
            <w:tcW w:w="240" w:type="dxa"/>
            <w:vAlign w:val="bottom"/>
            <w:tcBorders>
              <w:bottom w:val="single" w:sz="8" w:color="CCECFF"/>
            </w:tcBorders>
            <w:shd w:val="clear" w:color="auto" w:fill="CCECFF"/>
          </w:tcPr>
          <w:p>
            <w:pPr>
              <w:spacing w:after="0"/>
              <w:rPr>
                <w:sz w:val="22"/>
                <w:szCs w:val="22"/>
                <w:color w:val="auto"/>
              </w:rPr>
            </w:pPr>
          </w:p>
        </w:tc>
        <w:tc>
          <w:tcPr>
            <w:tcW w:w="260" w:type="dxa"/>
            <w:vAlign w:val="bottom"/>
            <w:tcBorders>
              <w:bottom w:val="single" w:sz="8" w:color="auto"/>
            </w:tcBorders>
            <w:shd w:val="clear" w:color="auto" w:fill="CCECFF"/>
          </w:tcPr>
          <w:p>
            <w:pPr>
              <w:spacing w:after="0"/>
              <w:rPr>
                <w:sz w:val="22"/>
                <w:szCs w:val="22"/>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131,891</w:t>
            </w:r>
          </w:p>
        </w:tc>
        <w:tc>
          <w:tcPr>
            <w:tcW w:w="10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171,475</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131,785</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547,190</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0" w:type="dxa"/>
            <w:vAlign w:val="bottom"/>
            <w:shd w:val="clear" w:color="auto" w:fill="CCECFF"/>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CFF"/>
          </w:tcPr>
          <w:p>
            <w:pPr>
              <w:spacing w:after="0"/>
              <w:rPr>
                <w:sz w:val="21"/>
                <w:szCs w:val="21"/>
                <w:color w:val="auto"/>
              </w:rPr>
            </w:pPr>
          </w:p>
        </w:tc>
        <w:tc>
          <w:tcPr>
            <w:tcW w:w="13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(89,828 )</w:t>
            </w:r>
          </w:p>
        </w:tc>
        <w:tc>
          <w:tcPr>
            <w:tcW w:w="260" w:type="dxa"/>
            <w:vAlign w:val="bottom"/>
            <w:shd w:val="clear" w:color="auto" w:fill="CCECFF"/>
          </w:tcPr>
          <w:p>
            <w:pPr>
              <w:spacing w:after="0"/>
              <w:rPr>
                <w:sz w:val="21"/>
                <w:szCs w:val="21"/>
                <w:color w:val="auto"/>
              </w:rPr>
            </w:pPr>
          </w:p>
        </w:tc>
        <w:tc>
          <w:tcPr>
            <w:tcW w:w="124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(50,315 )</w:t>
            </w:r>
          </w:p>
        </w:tc>
        <w:tc>
          <w:tcPr>
            <w:tcW w:w="18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(279,173 )</w:t>
            </w:r>
          </w:p>
        </w:tc>
        <w:tc>
          <w:tcPr>
            <w:tcW w:w="260" w:type="dxa"/>
            <w:vAlign w:val="bottom"/>
            <w:shd w:val="clear" w:color="auto" w:fill="CCECFF"/>
          </w:tcPr>
          <w:p>
            <w:pPr>
              <w:spacing w:after="0"/>
              <w:rPr>
                <w:sz w:val="21"/>
                <w:szCs w:val="21"/>
                <w:color w:val="auto"/>
              </w:rPr>
            </w:pPr>
          </w:p>
        </w:tc>
        <w:tc>
          <w:tcPr>
            <w:tcW w:w="10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(234,035 )</w:t>
            </w:r>
          </w:p>
        </w:tc>
        <w:tc>
          <w:tcPr>
            <w:tcW w:w="0" w:type="dxa"/>
            <w:vAlign w:val="bottom"/>
          </w:tcPr>
          <w:p>
            <w:pPr>
              <w:spacing w:after="0"/>
              <w:rPr>
                <w:sz w:val="1"/>
                <w:szCs w:val="1"/>
                <w:color w:val="auto"/>
              </w:rPr>
            </w:pP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1,338</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400" w:type="dxa"/>
            <w:vAlign w:val="bottom"/>
            <w:shd w:val="clear" w:color="auto" w:fill="CCECFF"/>
          </w:tcPr>
          <w:p>
            <w:pPr>
              <w:ind w:left="20"/>
              <w:spacing w:after="0"/>
              <w:rPr>
                <w:sz w:val="20"/>
                <w:szCs w:val="20"/>
                <w:color w:val="auto"/>
              </w:rPr>
            </w:pPr>
            <w:r>
              <w:rPr>
                <w:rFonts w:ascii="Arial" w:cs="Arial" w:eastAsia="Arial" w:hAnsi="Arial"/>
                <w:sz w:val="18"/>
                <w:szCs w:val="18"/>
                <w:color w:val="auto"/>
              </w:rPr>
              <w:t>Change in fair value of equity investments</w:t>
            </w:r>
          </w:p>
        </w:tc>
        <w:tc>
          <w:tcPr>
            <w:tcW w:w="200" w:type="dxa"/>
            <w:vAlign w:val="bottom"/>
            <w:shd w:val="clear" w:color="auto" w:fill="CCECFF"/>
          </w:tcPr>
          <w:p>
            <w:pPr>
              <w:spacing w:after="0"/>
              <w:rPr>
                <w:sz w:val="22"/>
                <w:szCs w:val="22"/>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25,702</w:t>
            </w:r>
          </w:p>
        </w:tc>
        <w:tc>
          <w:tcPr>
            <w:tcW w:w="28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124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(11,520 )</w:t>
            </w:r>
          </w:p>
        </w:tc>
        <w:tc>
          <w:tcPr>
            <w:tcW w:w="180" w:type="dxa"/>
            <w:vAlign w:val="bottom"/>
            <w:shd w:val="clear" w:color="auto" w:fill="CCECFF"/>
          </w:tcPr>
          <w:p>
            <w:pPr>
              <w:spacing w:after="0"/>
              <w:rPr>
                <w:sz w:val="22"/>
                <w:szCs w:val="22"/>
                <w:color w:val="auto"/>
              </w:rPr>
            </w:pPr>
          </w:p>
        </w:tc>
        <w:tc>
          <w:tcPr>
            <w:tcW w:w="128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(25,963 )</w:t>
            </w:r>
          </w:p>
        </w:tc>
        <w:tc>
          <w:tcPr>
            <w:tcW w:w="260" w:type="dxa"/>
            <w:vAlign w:val="bottom"/>
            <w:shd w:val="clear" w:color="auto" w:fill="CCECFF"/>
          </w:tcPr>
          <w:p>
            <w:pPr>
              <w:spacing w:after="0"/>
              <w:rPr>
                <w:sz w:val="22"/>
                <w:szCs w:val="22"/>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91,348</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400" w:type="dxa"/>
            <w:vAlign w:val="bottom"/>
          </w:tcPr>
          <w:p>
            <w:pPr>
              <w:ind w:left="20"/>
              <w:spacing w:after="0"/>
              <w:rPr>
                <w:sz w:val="20"/>
                <w:szCs w:val="20"/>
                <w:color w:val="auto"/>
              </w:rPr>
            </w:pPr>
            <w:r>
              <w:rPr>
                <w:rFonts w:ascii="Arial" w:cs="Arial" w:eastAsia="Arial" w:hAnsi="Arial"/>
                <w:sz w:val="18"/>
                <w:szCs w:val="18"/>
                <w:color w:val="auto"/>
              </w:rPr>
              <w:t>Non-cash interest expense on liability related to the sale of future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200"/>
              <w:spacing w:after="0"/>
              <w:rPr>
                <w:sz w:val="20"/>
                <w:szCs w:val="20"/>
                <w:color w:val="auto"/>
              </w:rPr>
            </w:pPr>
            <w:r>
              <w:rPr>
                <w:rFonts w:ascii="Arial" w:cs="Arial" w:eastAsia="Arial" w:hAnsi="Arial"/>
                <w:sz w:val="18"/>
                <w:szCs w:val="18"/>
                <w:color w:val="auto"/>
              </w:rPr>
              <w:t>royalties</w:t>
            </w:r>
          </w:p>
        </w:tc>
        <w:tc>
          <w:tcPr>
            <w:tcW w:w="2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(8,683 )</w:t>
            </w:r>
          </w:p>
        </w:tc>
        <w:tc>
          <w:tcPr>
            <w:tcW w:w="2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(8,582 )</w:t>
            </w:r>
          </w:p>
        </w:tc>
        <w:tc>
          <w:tcPr>
            <w:tcW w:w="1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(25,618 )</w:t>
            </w: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(25,093 )</w:t>
            </w:r>
          </w:p>
        </w:tc>
        <w:tc>
          <w:tcPr>
            <w:tcW w:w="0" w:type="dxa"/>
            <w:vAlign w:val="bottom"/>
          </w:tcPr>
          <w:p>
            <w:pPr>
              <w:spacing w:after="0"/>
              <w:rPr>
                <w:sz w:val="1"/>
                <w:szCs w:val="1"/>
                <w:color w:val="auto"/>
              </w:rPr>
            </w:pPr>
          </w:p>
        </w:tc>
      </w:tr>
      <w:tr>
        <w:trPr>
          <w:trHeight w:val="263"/>
        </w:trPr>
        <w:tc>
          <w:tcPr>
            <w:tcW w:w="5400" w:type="dxa"/>
            <w:vAlign w:val="bottom"/>
            <w:shd w:val="clear" w:color="auto" w:fill="CCECFF"/>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CFF"/>
          </w:tcPr>
          <w:p>
            <w:pPr>
              <w:spacing w:after="0"/>
              <w:rPr>
                <w:sz w:val="22"/>
                <w:szCs w:val="22"/>
                <w:color w:val="auto"/>
              </w:rPr>
            </w:pPr>
          </w:p>
        </w:tc>
        <w:tc>
          <w:tcPr>
            <w:tcW w:w="13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(415 )</w:t>
            </w:r>
          </w:p>
        </w:tc>
        <w:tc>
          <w:tcPr>
            <w:tcW w:w="260" w:type="dxa"/>
            <w:vAlign w:val="bottom"/>
            <w:shd w:val="clear" w:color="auto" w:fill="CCECFF"/>
          </w:tcPr>
          <w:p>
            <w:pPr>
              <w:spacing w:after="0"/>
              <w:rPr>
                <w:sz w:val="22"/>
                <w:szCs w:val="22"/>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547</w:t>
            </w:r>
          </w:p>
        </w:tc>
        <w:tc>
          <w:tcPr>
            <w:tcW w:w="26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28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(1,277 )</w:t>
            </w:r>
          </w:p>
        </w:tc>
        <w:tc>
          <w:tcPr>
            <w:tcW w:w="260" w:type="dxa"/>
            <w:vAlign w:val="bottom"/>
            <w:shd w:val="clear" w:color="auto" w:fill="CCECFF"/>
          </w:tcPr>
          <w:p>
            <w:pPr>
              <w:spacing w:after="0"/>
              <w:rPr>
                <w:sz w:val="22"/>
                <w:szCs w:val="22"/>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(72,816 )</w:t>
            </w:r>
          </w:p>
        </w:tc>
        <w:tc>
          <w:tcPr>
            <w:tcW w:w="2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(68,532 )</w:t>
            </w:r>
          </w:p>
        </w:tc>
        <w:tc>
          <w:tcPr>
            <w:tcW w:w="1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(330,543 )</w:t>
            </w:r>
          </w:p>
        </w:tc>
        <w:tc>
          <w:tcPr>
            <w:tcW w:w="2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(161,418 )</w:t>
            </w:r>
          </w:p>
        </w:tc>
        <w:tc>
          <w:tcPr>
            <w:tcW w:w="0" w:type="dxa"/>
            <w:vAlign w:val="bottom"/>
          </w:tcPr>
          <w:p>
            <w:pPr>
              <w:spacing w:after="0"/>
              <w:rPr>
                <w:sz w:val="1"/>
                <w:szCs w:val="1"/>
                <w:color w:val="auto"/>
              </w:rPr>
            </w:pPr>
          </w:p>
        </w:tc>
      </w:tr>
      <w:tr>
        <w:trPr>
          <w:trHeight w:val="263"/>
        </w:trPr>
        <w:tc>
          <w:tcPr>
            <w:tcW w:w="5400" w:type="dxa"/>
            <w:vAlign w:val="bottom"/>
            <w:shd w:val="clear" w:color="auto" w:fill="CCECFF"/>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CFF"/>
          </w:tcPr>
          <w:p>
            <w:pPr>
              <w:spacing w:after="0"/>
              <w:rPr>
                <w:sz w:val="22"/>
                <w:szCs w:val="22"/>
                <w:color w:val="auto"/>
              </w:rPr>
            </w:pPr>
          </w:p>
        </w:tc>
        <w:tc>
          <w:tcPr>
            <w:tcW w:w="13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(182 )</w:t>
            </w:r>
          </w:p>
        </w:tc>
        <w:tc>
          <w:tcPr>
            <w:tcW w:w="260" w:type="dxa"/>
            <w:vAlign w:val="bottom"/>
            <w:shd w:val="clear" w:color="auto" w:fill="CCECFF"/>
          </w:tcPr>
          <w:p>
            <w:pPr>
              <w:spacing w:after="0"/>
              <w:rPr>
                <w:sz w:val="22"/>
                <w:szCs w:val="22"/>
                <w:color w:val="auto"/>
              </w:rPr>
            </w:pPr>
          </w:p>
        </w:tc>
        <w:tc>
          <w:tcPr>
            <w:tcW w:w="124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(313 )</w:t>
            </w:r>
          </w:p>
        </w:tc>
        <w:tc>
          <w:tcPr>
            <w:tcW w:w="180" w:type="dxa"/>
            <w:vAlign w:val="bottom"/>
            <w:shd w:val="clear" w:color="auto" w:fill="CCECFF"/>
          </w:tcPr>
          <w:p>
            <w:pPr>
              <w:spacing w:after="0"/>
              <w:rPr>
                <w:sz w:val="22"/>
                <w:szCs w:val="22"/>
                <w:color w:val="auto"/>
              </w:rPr>
            </w:pPr>
          </w:p>
        </w:tc>
        <w:tc>
          <w:tcPr>
            <w:tcW w:w="128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(1,024 )</w:t>
            </w:r>
          </w:p>
        </w:tc>
        <w:tc>
          <w:tcPr>
            <w:tcW w:w="260" w:type="dxa"/>
            <w:vAlign w:val="bottom"/>
            <w:shd w:val="clear" w:color="auto" w:fill="CCECFF"/>
          </w:tcPr>
          <w:p>
            <w:pPr>
              <w:spacing w:after="0"/>
              <w:rPr>
                <w:sz w:val="22"/>
                <w:szCs w:val="22"/>
                <w:color w:val="auto"/>
              </w:rPr>
            </w:pPr>
          </w:p>
        </w:tc>
        <w:tc>
          <w:tcPr>
            <w:tcW w:w="10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(1,137 )</w:t>
            </w:r>
          </w:p>
        </w:tc>
        <w:tc>
          <w:tcPr>
            <w:tcW w:w="0" w:type="dxa"/>
            <w:vAlign w:val="bottom"/>
          </w:tcPr>
          <w:p>
            <w:pPr>
              <w:spacing w:after="0"/>
              <w:rPr>
                <w:sz w:val="1"/>
                <w:szCs w:val="1"/>
                <w:color w:val="auto"/>
              </w:rPr>
            </w:pPr>
          </w:p>
        </w:tc>
      </w:tr>
      <w:tr>
        <w:trPr>
          <w:trHeight w:val="20"/>
        </w:trPr>
        <w:tc>
          <w:tcPr>
            <w:tcW w:w="540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(72,998 )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(68,845 )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(331,567 )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(162,555 )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0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(1.08 )</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(1.13 )</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(4.91 )</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(2.73 )</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CFF"/>
            </w:tcBorders>
          </w:tcPr>
          <w:p>
            <w:pPr>
              <w:ind w:left="20"/>
              <w:spacing w:after="0"/>
              <w:rPr>
                <w:sz w:val="20"/>
                <w:szCs w:val="20"/>
                <w:color w:val="auto"/>
              </w:rPr>
            </w:pPr>
            <w:r>
              <w:rPr>
                <w:rFonts w:ascii="Arial" w:cs="Arial" w:eastAsia="Arial" w:hAnsi="Arial"/>
                <w:sz w:val="18"/>
                <w:szCs w:val="18"/>
                <w:color w:val="auto"/>
              </w:rPr>
              <w:t>Weighted-average shares used in computing net loss per share,</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67,875,363</w:t>
            </w:r>
          </w:p>
        </w:tc>
        <w:tc>
          <w:tcPr>
            <w:tcW w:w="280" w:type="dxa"/>
            <w:vAlign w:val="bottom"/>
            <w:tcBorders>
              <w:top w:val="single" w:sz="8" w:color="CCEC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60,687,177</w:t>
            </w:r>
          </w:p>
        </w:tc>
        <w:tc>
          <w:tcPr>
            <w:tcW w:w="260" w:type="dxa"/>
            <w:vAlign w:val="bottom"/>
            <w:tcBorders>
              <w:top w:val="single" w:sz="8" w:color="CCEC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67,533,671</w:t>
            </w:r>
          </w:p>
        </w:tc>
        <w:tc>
          <w:tcPr>
            <w:tcW w:w="240" w:type="dxa"/>
            <w:vAlign w:val="bottom"/>
            <w:tcBorders>
              <w:top w:val="single" w:sz="8" w:color="CCEC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59,564,163</w:t>
            </w:r>
          </w:p>
        </w:tc>
        <w:tc>
          <w:tcPr>
            <w:tcW w:w="100" w:type="dxa"/>
            <w:vAlign w:val="bottom"/>
            <w:tcBorders>
              <w:top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00"/>
              <w:spacing w:after="0" w:line="203" w:lineRule="exact"/>
              <w:rPr>
                <w:sz w:val="20"/>
                <w:szCs w:val="20"/>
                <w:color w:val="auto"/>
              </w:rPr>
            </w:pPr>
            <w:r>
              <w:rPr>
                <w:rFonts w:ascii="Arial" w:cs="Arial" w:eastAsia="Arial" w:hAnsi="Arial"/>
                <w:sz w:val="18"/>
                <w:szCs w:val="18"/>
                <w:color w:val="auto"/>
              </w:rPr>
              <w:t>basic and diluted</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-2825115</wp:posOffset>
            </wp:positionV>
            <wp:extent cx="17145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-2825115</wp:posOffset>
            </wp:positionV>
            <wp:extent cx="15430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-2825115</wp:posOffset>
            </wp:positionV>
            <wp:extent cx="15430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-2825115</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-2165350</wp:posOffset>
            </wp:positionV>
            <wp:extent cx="17145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-2165350</wp:posOffset>
            </wp:positionV>
            <wp:extent cx="15430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-2165350</wp:posOffset>
            </wp:positionV>
            <wp:extent cx="15430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-2165350</wp:posOffset>
            </wp:positionV>
            <wp:extent cx="68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-1024890</wp:posOffset>
            </wp:positionV>
            <wp:extent cx="17145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-1024890</wp:posOffset>
            </wp:positionV>
            <wp:extent cx="15430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-1024890</wp:posOffset>
            </wp:positionV>
            <wp:extent cx="15430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-1024890</wp:posOffset>
            </wp:positionV>
            <wp:extent cx="6858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-690880</wp:posOffset>
            </wp:positionV>
            <wp:extent cx="17145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-690880</wp:posOffset>
            </wp:positionV>
            <wp:extent cx="15430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-690880</wp:posOffset>
            </wp:positionV>
            <wp:extent cx="15430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-690880</wp:posOffset>
            </wp:positionV>
            <wp:extent cx="685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-333375</wp:posOffset>
            </wp:positionV>
            <wp:extent cx="1714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-316865</wp:posOffset>
            </wp:positionV>
            <wp:extent cx="1714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-333375</wp:posOffset>
            </wp:positionV>
            <wp:extent cx="1543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-316865</wp:posOffset>
            </wp:positionV>
            <wp:extent cx="1543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-333375</wp:posOffset>
            </wp:positionV>
            <wp:extent cx="1543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-316865</wp:posOffset>
            </wp:positionV>
            <wp:extent cx="1543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6"/>
                <w:szCs w:val="16"/>
                <w:color w:val="auto"/>
              </w:rPr>
            </w:pPr>
          </w:p>
        </w:tc>
        <w:tc>
          <w:tcPr>
            <w:tcW w:w="25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36"/>
        </w:trPr>
        <w:tc>
          <w:tcPr>
            <w:tcW w:w="5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r>
      <w:tr>
        <w:trPr>
          <w:trHeight w:val="25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(72,998 )</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(68,845 )</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(331,567 )</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(162,555 )</w:t>
            </w:r>
          </w:p>
        </w:tc>
      </w:tr>
      <w:tr>
        <w:trPr>
          <w:trHeight w:val="250"/>
        </w:trPr>
        <w:tc>
          <w:tcPr>
            <w:tcW w:w="55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5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CFF"/>
          </w:tcPr>
          <w:p>
            <w:pPr>
              <w:spacing w:after="0"/>
              <w:rPr>
                <w:sz w:val="22"/>
                <w:szCs w:val="22"/>
                <w:color w:val="auto"/>
              </w:rPr>
            </w:pPr>
          </w:p>
        </w:tc>
        <w:tc>
          <w:tcPr>
            <w:tcW w:w="132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(166 )</w:t>
            </w:r>
          </w:p>
        </w:tc>
        <w:tc>
          <w:tcPr>
            <w:tcW w:w="280" w:type="dxa"/>
            <w:vAlign w:val="bottom"/>
            <w:shd w:val="clear" w:color="auto" w:fill="CCECFF"/>
          </w:tcPr>
          <w:p>
            <w:pPr>
              <w:spacing w:after="0"/>
              <w:rPr>
                <w:sz w:val="22"/>
                <w:szCs w:val="22"/>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128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(348 )</w:t>
            </w:r>
          </w:p>
        </w:tc>
        <w:tc>
          <w:tcPr>
            <w:tcW w:w="280" w:type="dxa"/>
            <w:vAlign w:val="bottom"/>
            <w:shd w:val="clear" w:color="auto" w:fill="CCECFF"/>
          </w:tcPr>
          <w:p>
            <w:pPr>
              <w:spacing w:after="0"/>
              <w:rPr>
                <w:sz w:val="22"/>
                <w:szCs w:val="22"/>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CFF"/>
          </w:tcPr>
          <w:p>
            <w:pPr>
              <w:spacing w:after="0"/>
              <w:rPr>
                <w:sz w:val="22"/>
                <w:szCs w:val="22"/>
                <w:color w:val="auto"/>
              </w:rPr>
            </w:pPr>
          </w:p>
        </w:tc>
      </w:tr>
      <w:tr>
        <w:trPr>
          <w:trHeight w:val="250"/>
        </w:trPr>
        <w:tc>
          <w:tcPr>
            <w:tcW w:w="5560" w:type="dxa"/>
            <w:vAlign w:val="bottom"/>
          </w:tcPr>
          <w:p>
            <w:pPr>
              <w:ind w:left="200"/>
              <w:spacing w:after="0"/>
              <w:rPr>
                <w:sz w:val="20"/>
                <w:szCs w:val="20"/>
                <w:color w:val="auto"/>
              </w:rPr>
            </w:pPr>
            <w:r>
              <w:rPr>
                <w:rFonts w:ascii="Arial" w:cs="Arial" w:eastAsia="Arial" w:hAnsi="Arial"/>
                <w:sz w:val="18"/>
                <w:szCs w:val="18"/>
                <w:color w:val="auto"/>
              </w:rPr>
              <w:t>Unrealized gain (loss) on available-for-sale securities</w:t>
            </w:r>
          </w:p>
        </w:tc>
        <w:tc>
          <w:tcPr>
            <w:tcW w:w="1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(12 )</w:t>
            </w:r>
          </w:p>
        </w:tc>
        <w:tc>
          <w:tcPr>
            <w:tcW w:w="2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(645 )</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(287 )</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r>
      <w:tr>
        <w:trPr>
          <w:trHeight w:val="20"/>
        </w:trPr>
        <w:tc>
          <w:tcPr>
            <w:tcW w:w="5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560" w:type="dxa"/>
            <w:vAlign w:val="bottom"/>
            <w:shd w:val="clear" w:color="auto" w:fill="CCECFF"/>
          </w:tcPr>
          <w:p>
            <w:pPr>
              <w:ind w:left="380"/>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CFF"/>
          </w:tcPr>
          <w:p>
            <w:pPr>
              <w:spacing w:after="0"/>
              <w:rPr>
                <w:sz w:val="21"/>
                <w:szCs w:val="21"/>
                <w:color w:val="auto"/>
              </w:rPr>
            </w:pPr>
          </w:p>
        </w:tc>
        <w:tc>
          <w:tcPr>
            <w:tcW w:w="132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(178 )</w:t>
            </w:r>
          </w:p>
        </w:tc>
        <w:tc>
          <w:tcPr>
            <w:tcW w:w="280" w:type="dxa"/>
            <w:vAlign w:val="bottom"/>
            <w:shd w:val="clear" w:color="auto" w:fill="CCECFF"/>
          </w:tcPr>
          <w:p>
            <w:pPr>
              <w:spacing w:after="0"/>
              <w:rPr>
                <w:sz w:val="21"/>
                <w:szCs w:val="21"/>
                <w:color w:val="auto"/>
              </w:rPr>
            </w:pPr>
          </w:p>
        </w:tc>
        <w:tc>
          <w:tcPr>
            <w:tcW w:w="118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(271 )</w:t>
            </w:r>
          </w:p>
        </w:tc>
        <w:tc>
          <w:tcPr>
            <w:tcW w:w="16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(635 )</w:t>
            </w:r>
          </w:p>
        </w:tc>
        <w:tc>
          <w:tcPr>
            <w:tcW w:w="280" w:type="dxa"/>
            <w:vAlign w:val="bottom"/>
            <w:shd w:val="clear" w:color="auto" w:fill="CCECFF"/>
          </w:tcPr>
          <w:p>
            <w:pPr>
              <w:spacing w:after="0"/>
              <w:rPr>
                <w:sz w:val="21"/>
                <w:szCs w:val="21"/>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CFF"/>
          </w:tcPr>
          <w:p>
            <w:pPr>
              <w:spacing w:after="0"/>
              <w:rPr>
                <w:sz w:val="21"/>
                <w:szCs w:val="21"/>
                <w:color w:val="auto"/>
              </w:rPr>
            </w:pPr>
          </w:p>
        </w:tc>
      </w:tr>
      <w:tr>
        <w:trPr>
          <w:trHeight w:val="20"/>
        </w:trPr>
        <w:tc>
          <w:tcPr>
            <w:tcW w:w="556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57"/>
        </w:trPr>
        <w:tc>
          <w:tcPr>
            <w:tcW w:w="556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(73,176 )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(69,116 )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(332,202 )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(161,395 )</w:t>
            </w:r>
          </w:p>
        </w:tc>
      </w:tr>
      <w:tr>
        <w:trPr>
          <w:trHeight w:val="20"/>
        </w:trPr>
        <w:tc>
          <w:tcPr>
            <w:tcW w:w="5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-193675</wp:posOffset>
            </wp:positionV>
            <wp:extent cx="16256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-193675</wp:posOffset>
            </wp:positionV>
            <wp:extent cx="14605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-193675</wp:posOffset>
            </wp:positionV>
            <wp:extent cx="14605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3"/>
            <w:vMerge w:val="restart"/>
          </w:tcPr>
          <w:p>
            <w:pPr>
              <w:jc w:val="right"/>
              <w:ind w:right="106"/>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gridSpan w:val="3"/>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16"/>
              <w:spacing w:after="0"/>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31"/>
        </w:trPr>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0"/>
                <w:szCs w:val="20"/>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44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Balance as of June 30, 2021</w:t>
            </w:r>
          </w:p>
        </w:tc>
        <w:tc>
          <w:tcPr>
            <w:tcW w:w="112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67,764,950</w:t>
            </w:r>
          </w:p>
        </w:tc>
        <w:tc>
          <w:tcPr>
            <w:tcW w:w="560" w:type="dxa"/>
            <w:vAlign w:val="bottom"/>
            <w:gridSpan w:val="2"/>
            <w:shd w:val="clear" w:color="auto" w:fill="CCECFF"/>
          </w:tcPr>
          <w:p>
            <w:pPr>
              <w:jc w:val="right"/>
              <w:ind w:right="166"/>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68</w:t>
            </w:r>
          </w:p>
        </w:tc>
        <w:tc>
          <w:tcPr>
            <w:tcW w:w="400" w:type="dxa"/>
            <w:vAlign w:val="bottom"/>
            <w:gridSpan w:val="2"/>
            <w:shd w:val="clear" w:color="auto" w:fill="CCECFF"/>
          </w:tcPr>
          <w:p>
            <w:pPr>
              <w:jc w:val="right"/>
              <w:ind w:right="1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2,850,016</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Borders>
              <w:right w:val="single" w:sz="8" w:color="CCECFF"/>
            </w:tcBorders>
            <w:shd w:val="clear" w:color="auto" w:fill="CCECFF"/>
          </w:tcPr>
          <w:p>
            <w:pPr>
              <w:spacing w:after="0"/>
              <w:rPr>
                <w:sz w:val="22"/>
                <w:szCs w:val="22"/>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(1,878,145 )</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972,171</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40" w:type="dxa"/>
            <w:vAlign w:val="bottom"/>
            <w:gridSpan w:val="2"/>
          </w:tcPr>
          <w:p>
            <w:pPr>
              <w:ind w:left="200"/>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27,005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440" w:type="dxa"/>
            <w:vAlign w:val="bottom"/>
            <w:gridSpan w:val="2"/>
            <w:shd w:val="clear" w:color="auto" w:fill="CCECFF"/>
          </w:tcPr>
          <w:p>
            <w:pPr>
              <w:ind w:left="200"/>
              <w:spacing w:after="0"/>
              <w:rPr>
                <w:sz w:val="20"/>
                <w:szCs w:val="20"/>
                <w:color w:val="auto"/>
              </w:rPr>
            </w:pPr>
            <w:r>
              <w:rPr>
                <w:rFonts w:ascii="Arial" w:cs="Arial" w:eastAsia="Arial" w:hAnsi="Arial"/>
                <w:sz w:val="18"/>
                <w:szCs w:val="18"/>
                <w:color w:val="auto"/>
              </w:rPr>
              <w:t>Issuance of common stock under</w:t>
            </w:r>
          </w:p>
        </w:tc>
        <w:tc>
          <w:tcPr>
            <w:tcW w:w="1120" w:type="dxa"/>
            <w:vAlign w:val="bottom"/>
            <w:tcBorders>
              <w:right w:val="single" w:sz="8" w:color="CCECFF"/>
            </w:tcBorders>
            <w:shd w:val="clear" w:color="auto" w:fill="CCECFF"/>
          </w:tcPr>
          <w:p>
            <w:pPr>
              <w:spacing w:after="0"/>
              <w:rPr>
                <w:sz w:val="21"/>
                <w:szCs w:val="21"/>
                <w:color w:val="auto"/>
              </w:rPr>
            </w:pPr>
          </w:p>
        </w:tc>
        <w:tc>
          <w:tcPr>
            <w:tcW w:w="220" w:type="dxa"/>
            <w:vAlign w:val="bottom"/>
            <w:tcBorders>
              <w:right w:val="single" w:sz="8" w:color="CCECFF"/>
            </w:tcBorders>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400" w:type="dxa"/>
            <w:vAlign w:val="bottom"/>
            <w:tcBorders>
              <w:right w:val="single" w:sz="8" w:color="CCECFF"/>
            </w:tcBorders>
            <w:shd w:val="clear" w:color="auto" w:fill="CCECFF"/>
          </w:tcPr>
          <w:p>
            <w:pPr>
              <w:spacing w:after="0"/>
              <w:rPr>
                <w:sz w:val="21"/>
                <w:szCs w:val="21"/>
                <w:color w:val="auto"/>
              </w:rPr>
            </w:pPr>
          </w:p>
        </w:tc>
        <w:tc>
          <w:tcPr>
            <w:tcW w:w="200" w:type="dxa"/>
            <w:vAlign w:val="bottom"/>
            <w:tcBorders>
              <w:right w:val="single" w:sz="8" w:color="CCECFF"/>
            </w:tcBorders>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020" w:type="dxa"/>
            <w:vAlign w:val="bottom"/>
            <w:shd w:val="clear" w:color="auto" w:fill="CCECFF"/>
          </w:tcPr>
          <w:p>
            <w:pPr>
              <w:spacing w:after="0"/>
              <w:rPr>
                <w:sz w:val="21"/>
                <w:szCs w:val="21"/>
                <w:color w:val="auto"/>
              </w:rPr>
            </w:pPr>
          </w:p>
        </w:tc>
        <w:tc>
          <w:tcPr>
            <w:tcW w:w="200" w:type="dxa"/>
            <w:vAlign w:val="bottom"/>
            <w:tcBorders>
              <w:right w:val="single" w:sz="8" w:color="CCECFF"/>
            </w:tcBorders>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100" w:type="dxa"/>
            <w:vAlign w:val="bottom"/>
            <w:tcBorders>
              <w:right w:val="single" w:sz="8" w:color="CCECFF"/>
            </w:tcBorders>
            <w:shd w:val="clear" w:color="auto" w:fill="CCECFF"/>
          </w:tcPr>
          <w:p>
            <w:pPr>
              <w:spacing w:after="0"/>
              <w:rPr>
                <w:sz w:val="21"/>
                <w:szCs w:val="21"/>
                <w:color w:val="auto"/>
              </w:rPr>
            </w:pPr>
          </w:p>
        </w:tc>
        <w:tc>
          <w:tcPr>
            <w:tcW w:w="200" w:type="dxa"/>
            <w:vAlign w:val="bottom"/>
            <w:tcBorders>
              <w:right w:val="single" w:sz="8" w:color="CCECFF"/>
            </w:tcBorders>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04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440" w:type="dxa"/>
            <w:vAlign w:val="bottom"/>
            <w:gridSpan w:val="2"/>
            <w:shd w:val="clear" w:color="auto" w:fill="CCECFF"/>
          </w:tcPr>
          <w:p>
            <w:pPr>
              <w:ind w:left="340"/>
              <w:spacing w:after="0"/>
              <w:rPr>
                <w:sz w:val="20"/>
                <w:szCs w:val="20"/>
                <w:color w:val="auto"/>
              </w:rPr>
            </w:pPr>
            <w:r>
              <w:rPr>
                <w:rFonts w:ascii="Arial" w:cs="Arial" w:eastAsia="Arial" w:hAnsi="Arial"/>
                <w:sz w:val="18"/>
                <w:szCs w:val="18"/>
                <w:color w:val="auto"/>
              </w:rPr>
              <w:t>equity plan awards, net of tax</w:t>
            </w:r>
          </w:p>
        </w:tc>
        <w:tc>
          <w:tcPr>
            <w:tcW w:w="112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197,013</w:t>
            </w:r>
          </w:p>
        </w:tc>
        <w:tc>
          <w:tcPr>
            <w:tcW w:w="220" w:type="dxa"/>
            <w:vAlign w:val="bottom"/>
            <w:tcBorders>
              <w:right w:val="single" w:sz="8" w:color="CCECFF"/>
            </w:tcBorders>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4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CFF"/>
            </w:tcBorders>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7,674</w:t>
            </w:r>
          </w:p>
        </w:tc>
        <w:tc>
          <w:tcPr>
            <w:tcW w:w="200" w:type="dxa"/>
            <w:vAlign w:val="bottom"/>
            <w:tcBorders>
              <w:right w:val="single" w:sz="8" w:color="CCECFF"/>
            </w:tcBorders>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300" w:type="dxa"/>
            <w:vAlign w:val="bottom"/>
            <w:tcBorders>
              <w:right w:val="single" w:sz="8" w:color="CCECFF"/>
            </w:tcBorders>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c>
          <w:tcPr>
            <w:tcW w:w="124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7,674</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40" w:type="dxa"/>
            <w:vAlign w:val="bottom"/>
            <w:gridSpan w:val="2"/>
          </w:tcPr>
          <w:p>
            <w:pPr>
              <w:ind w:left="200"/>
              <w:spacing w:after="0"/>
              <w:rPr>
                <w:sz w:val="20"/>
                <w:szCs w:val="20"/>
                <w:color w:val="auto"/>
              </w:rPr>
            </w:pPr>
            <w:r>
              <w:rPr>
                <w:rFonts w:ascii="Arial" w:cs="Arial" w:eastAsia="Arial" w:hAnsi="Arial"/>
                <w:sz w:val="18"/>
                <w:szCs w:val="18"/>
                <w:color w:val="auto"/>
              </w:rPr>
              <w:t>Other comprehensive loss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(178 )</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63"/>
        </w:trPr>
        <w:tc>
          <w:tcPr>
            <w:tcW w:w="3440" w:type="dxa"/>
            <w:vAlign w:val="bottom"/>
            <w:gridSpan w:val="2"/>
            <w:shd w:val="clear" w:color="auto" w:fill="CCECFF"/>
          </w:tcPr>
          <w:p>
            <w:pPr>
              <w:ind w:left="200"/>
              <w:spacing w:after="0"/>
              <w:rPr>
                <w:sz w:val="20"/>
                <w:szCs w:val="20"/>
                <w:color w:val="auto"/>
              </w:rPr>
            </w:pPr>
            <w:r>
              <w:rPr>
                <w:rFonts w:ascii="Arial" w:cs="Arial" w:eastAsia="Arial" w:hAnsi="Arial"/>
                <w:sz w:val="18"/>
                <w:szCs w:val="18"/>
                <w:color w:val="auto"/>
              </w:rPr>
              <w:t>Net loss</w:t>
            </w:r>
          </w:p>
        </w:tc>
        <w:tc>
          <w:tcPr>
            <w:tcW w:w="112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CFF"/>
            </w:tcBorders>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4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CFF"/>
            </w:tcBorders>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CFF"/>
            </w:tcBorders>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11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CFF"/>
            </w:tcBorders>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12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(72,998 )</w:t>
            </w:r>
          </w:p>
        </w:tc>
        <w:tc>
          <w:tcPr>
            <w:tcW w:w="140" w:type="dxa"/>
            <w:vAlign w:val="bottom"/>
            <w:shd w:val="clear" w:color="auto" w:fill="CCECFF"/>
          </w:tcPr>
          <w:p>
            <w:pPr>
              <w:spacing w:after="0"/>
              <w:rPr>
                <w:sz w:val="22"/>
                <w:szCs w:val="22"/>
                <w:color w:val="auto"/>
              </w:rPr>
            </w:pPr>
          </w:p>
        </w:tc>
        <w:tc>
          <w:tcPr>
            <w:tcW w:w="11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(72,998 )</w:t>
            </w:r>
          </w:p>
        </w:tc>
        <w:tc>
          <w:tcPr>
            <w:tcW w:w="0" w:type="dxa"/>
            <w:vAlign w:val="bottom"/>
          </w:tcPr>
          <w:p>
            <w:pPr>
              <w:spacing w:after="0"/>
              <w:rPr>
                <w:sz w:val="1"/>
                <w:szCs w:val="1"/>
                <w:color w:val="auto"/>
              </w:rPr>
            </w:pPr>
          </w:p>
        </w:tc>
      </w:tr>
      <w:tr>
        <w:trPr>
          <w:trHeight w:val="20"/>
        </w:trPr>
        <w:tc>
          <w:tcPr>
            <w:tcW w:w="332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CFF"/>
            </w:tcBorders>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Borders>
              <w:right w:val="single" w:sz="8" w:color="CCECFF"/>
            </w:tcBorders>
            <w:shd w:val="clear" w:color="auto" w:fill="000000"/>
          </w:tcPr>
          <w:p>
            <w:pPr>
              <w:spacing w:after="0" w:line="20" w:lineRule="exact"/>
              <w:rPr>
                <w:sz w:val="1"/>
                <w:szCs w:val="1"/>
                <w:color w:val="auto"/>
              </w:rPr>
            </w:pPr>
          </w:p>
        </w:tc>
        <w:tc>
          <w:tcPr>
            <w:tcW w:w="200" w:type="dxa"/>
            <w:vAlign w:val="bottom"/>
            <w:tcBorders>
              <w:right w:val="single" w:sz="8" w:color="CCECFF"/>
            </w:tcBorders>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CCECFF"/>
            </w:tcBorders>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CFF"/>
            </w:tcBorders>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Balance as of September 30, 2021</w:t>
            </w:r>
          </w:p>
        </w:tc>
        <w:tc>
          <w:tcPr>
            <w:tcW w:w="1120" w:type="dxa"/>
            <w:vAlign w:val="bottom"/>
          </w:tcPr>
          <w:p>
            <w:pPr>
              <w:jc w:val="right"/>
              <w:spacing w:after="0"/>
              <w:rPr>
                <w:sz w:val="20"/>
                <w:szCs w:val="20"/>
                <w:color w:val="auto"/>
              </w:rPr>
            </w:pPr>
            <w:r>
              <w:rPr>
                <w:rFonts w:ascii="Arial" w:cs="Arial" w:eastAsia="Arial" w:hAnsi="Arial"/>
                <w:sz w:val="18"/>
                <w:szCs w:val="18"/>
                <w:color w:val="auto"/>
              </w:rPr>
              <w:t>67,961,963</w:t>
            </w:r>
          </w:p>
        </w:tc>
        <w:tc>
          <w:tcPr>
            <w:tcW w:w="220" w:type="dxa"/>
            <w:vAlign w:val="bottom"/>
          </w:tcPr>
          <w:p>
            <w:pPr>
              <w:spacing w:after="0"/>
              <w:rPr>
                <w:sz w:val="21"/>
                <w:szCs w:val="21"/>
                <w:color w:val="auto"/>
              </w:rPr>
            </w:pPr>
          </w:p>
        </w:tc>
        <w:tc>
          <w:tcPr>
            <w:tcW w:w="340" w:type="dxa"/>
            <w:vAlign w:val="bottom"/>
          </w:tcPr>
          <w:p>
            <w:pPr>
              <w:jc w:val="right"/>
              <w:ind w:right="166"/>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1"/>
                <w:szCs w:val="21"/>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2,884,695</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(1,951,143 )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933,674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3"/>
            <w:vMerge w:val="restart"/>
          </w:tcPr>
          <w:p>
            <w:pPr>
              <w:jc w:val="right"/>
              <w:ind w:right="106"/>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gridSpan w:val="3"/>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16"/>
              <w:spacing w:after="0"/>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0"/>
                <w:szCs w:val="20"/>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44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Balance as of December 31, 2020</w:t>
            </w:r>
          </w:p>
        </w:tc>
        <w:tc>
          <w:tcPr>
            <w:tcW w:w="112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66,818,520</w:t>
            </w:r>
          </w:p>
        </w:tc>
        <w:tc>
          <w:tcPr>
            <w:tcW w:w="560" w:type="dxa"/>
            <w:vAlign w:val="bottom"/>
            <w:gridSpan w:val="2"/>
            <w:shd w:val="clear" w:color="auto" w:fill="CCECFF"/>
          </w:tcPr>
          <w:p>
            <w:pPr>
              <w:jc w:val="right"/>
              <w:ind w:right="166"/>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67</w:t>
            </w:r>
          </w:p>
        </w:tc>
        <w:tc>
          <w:tcPr>
            <w:tcW w:w="400" w:type="dxa"/>
            <w:vAlign w:val="bottom"/>
            <w:gridSpan w:val="2"/>
            <w:shd w:val="clear" w:color="auto" w:fill="CCECFF"/>
          </w:tcPr>
          <w:p>
            <w:pPr>
              <w:jc w:val="right"/>
              <w:ind w:right="1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2,773,195</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689</w:t>
            </w:r>
          </w:p>
        </w:tc>
        <w:tc>
          <w:tcPr>
            <w:tcW w:w="200" w:type="dxa"/>
            <w:vAlign w:val="bottom"/>
            <w:tcBorders>
              <w:right w:val="single" w:sz="8" w:color="CCECFF"/>
            </w:tcBorders>
            <w:shd w:val="clear" w:color="auto" w:fill="CCECFF"/>
          </w:tcPr>
          <w:p>
            <w:pPr>
              <w:spacing w:after="0"/>
              <w:rPr>
                <w:sz w:val="22"/>
                <w:szCs w:val="22"/>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(1,619,576 )</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1,154,375</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40" w:type="dxa"/>
            <w:vAlign w:val="bottom"/>
            <w:gridSpan w:val="2"/>
          </w:tcPr>
          <w:p>
            <w:pPr>
              <w:ind w:left="200"/>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78,324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78,324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440" w:type="dxa"/>
            <w:vAlign w:val="bottom"/>
            <w:gridSpan w:val="2"/>
            <w:shd w:val="clear" w:color="auto" w:fill="CCECFF"/>
          </w:tcPr>
          <w:p>
            <w:pPr>
              <w:ind w:left="200"/>
              <w:spacing w:after="0"/>
              <w:rPr>
                <w:sz w:val="20"/>
                <w:szCs w:val="20"/>
                <w:color w:val="auto"/>
              </w:rPr>
            </w:pPr>
            <w:r>
              <w:rPr>
                <w:rFonts w:ascii="Arial" w:cs="Arial" w:eastAsia="Arial" w:hAnsi="Arial"/>
                <w:sz w:val="18"/>
                <w:szCs w:val="18"/>
                <w:color w:val="auto"/>
              </w:rPr>
              <w:t>Issuance of common stock under</w:t>
            </w:r>
          </w:p>
        </w:tc>
        <w:tc>
          <w:tcPr>
            <w:tcW w:w="1120" w:type="dxa"/>
            <w:vAlign w:val="bottom"/>
            <w:tcBorders>
              <w:right w:val="single" w:sz="8" w:color="CCECFF"/>
            </w:tcBorders>
            <w:shd w:val="clear" w:color="auto" w:fill="CCECFF"/>
          </w:tcPr>
          <w:p>
            <w:pPr>
              <w:spacing w:after="0"/>
              <w:rPr>
                <w:sz w:val="21"/>
                <w:szCs w:val="21"/>
                <w:color w:val="auto"/>
              </w:rPr>
            </w:pPr>
          </w:p>
        </w:tc>
        <w:tc>
          <w:tcPr>
            <w:tcW w:w="220" w:type="dxa"/>
            <w:vAlign w:val="bottom"/>
            <w:tcBorders>
              <w:right w:val="single" w:sz="8" w:color="CCECFF"/>
            </w:tcBorders>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400" w:type="dxa"/>
            <w:vAlign w:val="bottom"/>
            <w:tcBorders>
              <w:right w:val="single" w:sz="8" w:color="CCECFF"/>
            </w:tcBorders>
            <w:shd w:val="clear" w:color="auto" w:fill="CCECFF"/>
          </w:tcPr>
          <w:p>
            <w:pPr>
              <w:spacing w:after="0"/>
              <w:rPr>
                <w:sz w:val="21"/>
                <w:szCs w:val="21"/>
                <w:color w:val="auto"/>
              </w:rPr>
            </w:pPr>
          </w:p>
        </w:tc>
        <w:tc>
          <w:tcPr>
            <w:tcW w:w="200" w:type="dxa"/>
            <w:vAlign w:val="bottom"/>
            <w:tcBorders>
              <w:right w:val="single" w:sz="8" w:color="CCECFF"/>
            </w:tcBorders>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020" w:type="dxa"/>
            <w:vAlign w:val="bottom"/>
            <w:shd w:val="clear" w:color="auto" w:fill="CCECFF"/>
          </w:tcPr>
          <w:p>
            <w:pPr>
              <w:spacing w:after="0"/>
              <w:rPr>
                <w:sz w:val="21"/>
                <w:szCs w:val="21"/>
                <w:color w:val="auto"/>
              </w:rPr>
            </w:pPr>
          </w:p>
        </w:tc>
        <w:tc>
          <w:tcPr>
            <w:tcW w:w="200" w:type="dxa"/>
            <w:vAlign w:val="bottom"/>
            <w:tcBorders>
              <w:right w:val="single" w:sz="8" w:color="CCECFF"/>
            </w:tcBorders>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100" w:type="dxa"/>
            <w:vAlign w:val="bottom"/>
            <w:tcBorders>
              <w:right w:val="single" w:sz="8" w:color="CCECFF"/>
            </w:tcBorders>
            <w:shd w:val="clear" w:color="auto" w:fill="CCECFF"/>
          </w:tcPr>
          <w:p>
            <w:pPr>
              <w:spacing w:after="0"/>
              <w:rPr>
                <w:sz w:val="21"/>
                <w:szCs w:val="21"/>
                <w:color w:val="auto"/>
              </w:rPr>
            </w:pPr>
          </w:p>
        </w:tc>
        <w:tc>
          <w:tcPr>
            <w:tcW w:w="200" w:type="dxa"/>
            <w:vAlign w:val="bottom"/>
            <w:tcBorders>
              <w:right w:val="single" w:sz="8" w:color="CCECFF"/>
            </w:tcBorders>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04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440" w:type="dxa"/>
            <w:vAlign w:val="bottom"/>
            <w:gridSpan w:val="2"/>
            <w:shd w:val="clear" w:color="auto" w:fill="CCECFF"/>
          </w:tcPr>
          <w:p>
            <w:pPr>
              <w:ind w:left="340"/>
              <w:spacing w:after="0"/>
              <w:rPr>
                <w:sz w:val="20"/>
                <w:szCs w:val="20"/>
                <w:color w:val="auto"/>
              </w:rPr>
            </w:pPr>
            <w:r>
              <w:rPr>
                <w:rFonts w:ascii="Arial" w:cs="Arial" w:eastAsia="Arial" w:hAnsi="Arial"/>
                <w:sz w:val="18"/>
                <w:szCs w:val="18"/>
                <w:color w:val="auto"/>
              </w:rPr>
              <w:t>equity plan awards, net of tax</w:t>
            </w:r>
          </w:p>
        </w:tc>
        <w:tc>
          <w:tcPr>
            <w:tcW w:w="112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1,143,443</w:t>
            </w:r>
          </w:p>
        </w:tc>
        <w:tc>
          <w:tcPr>
            <w:tcW w:w="220" w:type="dxa"/>
            <w:vAlign w:val="bottom"/>
            <w:tcBorders>
              <w:right w:val="single" w:sz="8" w:color="CCECFF"/>
            </w:tcBorders>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4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CCECFF"/>
            </w:tcBorders>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33,176</w:t>
            </w:r>
          </w:p>
        </w:tc>
        <w:tc>
          <w:tcPr>
            <w:tcW w:w="200" w:type="dxa"/>
            <w:vAlign w:val="bottom"/>
            <w:tcBorders>
              <w:right w:val="single" w:sz="8" w:color="CCECFF"/>
            </w:tcBorders>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300" w:type="dxa"/>
            <w:vAlign w:val="bottom"/>
            <w:tcBorders>
              <w:right w:val="single" w:sz="8" w:color="CCECFF"/>
            </w:tcBorders>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c>
          <w:tcPr>
            <w:tcW w:w="124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33,177</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40" w:type="dxa"/>
            <w:vAlign w:val="bottom"/>
            <w:gridSpan w:val="2"/>
          </w:tcPr>
          <w:p>
            <w:pPr>
              <w:ind w:left="200"/>
              <w:spacing w:after="0"/>
              <w:rPr>
                <w:sz w:val="20"/>
                <w:szCs w:val="20"/>
                <w:color w:val="auto"/>
              </w:rPr>
            </w:pPr>
            <w:r>
              <w:rPr>
                <w:rFonts w:ascii="Arial" w:cs="Arial" w:eastAsia="Arial" w:hAnsi="Arial"/>
                <w:sz w:val="18"/>
                <w:szCs w:val="18"/>
                <w:color w:val="auto"/>
              </w:rPr>
              <w:t>Other comprehensive loss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(635 )</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(635 )</w:t>
            </w:r>
          </w:p>
        </w:tc>
        <w:tc>
          <w:tcPr>
            <w:tcW w:w="0" w:type="dxa"/>
            <w:vAlign w:val="bottom"/>
          </w:tcPr>
          <w:p>
            <w:pPr>
              <w:spacing w:after="0"/>
              <w:rPr>
                <w:sz w:val="1"/>
                <w:szCs w:val="1"/>
                <w:color w:val="auto"/>
              </w:rPr>
            </w:pPr>
          </w:p>
        </w:tc>
      </w:tr>
      <w:tr>
        <w:trPr>
          <w:trHeight w:val="263"/>
        </w:trPr>
        <w:tc>
          <w:tcPr>
            <w:tcW w:w="3440" w:type="dxa"/>
            <w:vAlign w:val="bottom"/>
            <w:gridSpan w:val="2"/>
            <w:shd w:val="clear" w:color="auto" w:fill="CCECFF"/>
          </w:tcPr>
          <w:p>
            <w:pPr>
              <w:ind w:left="200"/>
              <w:spacing w:after="0"/>
              <w:rPr>
                <w:sz w:val="20"/>
                <w:szCs w:val="20"/>
                <w:color w:val="auto"/>
              </w:rPr>
            </w:pPr>
            <w:r>
              <w:rPr>
                <w:rFonts w:ascii="Arial" w:cs="Arial" w:eastAsia="Arial" w:hAnsi="Arial"/>
                <w:sz w:val="18"/>
                <w:szCs w:val="18"/>
                <w:color w:val="auto"/>
              </w:rPr>
              <w:t>Net loss</w:t>
            </w:r>
          </w:p>
        </w:tc>
        <w:tc>
          <w:tcPr>
            <w:tcW w:w="112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CFF"/>
            </w:tcBorders>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4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CFF"/>
            </w:tcBorders>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CFF"/>
            </w:tcBorders>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11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CFF"/>
            </w:tcBorders>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12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(331,567 )</w:t>
            </w:r>
          </w:p>
        </w:tc>
        <w:tc>
          <w:tcPr>
            <w:tcW w:w="140" w:type="dxa"/>
            <w:vAlign w:val="bottom"/>
            <w:shd w:val="clear" w:color="auto" w:fill="CCECFF"/>
          </w:tcPr>
          <w:p>
            <w:pPr>
              <w:spacing w:after="0"/>
              <w:rPr>
                <w:sz w:val="22"/>
                <w:szCs w:val="22"/>
                <w:color w:val="auto"/>
              </w:rPr>
            </w:pPr>
          </w:p>
        </w:tc>
        <w:tc>
          <w:tcPr>
            <w:tcW w:w="11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(331,567 )</w:t>
            </w:r>
          </w:p>
        </w:tc>
        <w:tc>
          <w:tcPr>
            <w:tcW w:w="0" w:type="dxa"/>
            <w:vAlign w:val="bottom"/>
          </w:tcPr>
          <w:p>
            <w:pPr>
              <w:spacing w:after="0"/>
              <w:rPr>
                <w:sz w:val="1"/>
                <w:szCs w:val="1"/>
                <w:color w:val="auto"/>
              </w:rPr>
            </w:pPr>
          </w:p>
        </w:tc>
      </w:tr>
      <w:tr>
        <w:trPr>
          <w:trHeight w:val="20"/>
        </w:trPr>
        <w:tc>
          <w:tcPr>
            <w:tcW w:w="332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CFF"/>
            </w:tcBorders>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Borders>
              <w:right w:val="single" w:sz="8" w:color="CCECFF"/>
            </w:tcBorders>
            <w:shd w:val="clear" w:color="auto" w:fill="000000"/>
          </w:tcPr>
          <w:p>
            <w:pPr>
              <w:spacing w:after="0" w:line="20" w:lineRule="exact"/>
              <w:rPr>
                <w:sz w:val="1"/>
                <w:szCs w:val="1"/>
                <w:color w:val="auto"/>
              </w:rPr>
            </w:pPr>
          </w:p>
        </w:tc>
        <w:tc>
          <w:tcPr>
            <w:tcW w:w="200" w:type="dxa"/>
            <w:vAlign w:val="bottom"/>
            <w:tcBorders>
              <w:right w:val="single" w:sz="8" w:color="CCECFF"/>
            </w:tcBorders>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CCECFF"/>
            </w:tcBorders>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CFF"/>
            </w:tcBorders>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Balance as of September 30, 2021</w:t>
            </w:r>
          </w:p>
        </w:tc>
        <w:tc>
          <w:tcPr>
            <w:tcW w:w="1120" w:type="dxa"/>
            <w:vAlign w:val="bottom"/>
          </w:tcPr>
          <w:p>
            <w:pPr>
              <w:jc w:val="right"/>
              <w:spacing w:after="0"/>
              <w:rPr>
                <w:sz w:val="20"/>
                <w:szCs w:val="20"/>
                <w:color w:val="auto"/>
              </w:rPr>
            </w:pPr>
            <w:r>
              <w:rPr>
                <w:rFonts w:ascii="Arial" w:cs="Arial" w:eastAsia="Arial" w:hAnsi="Arial"/>
                <w:sz w:val="18"/>
                <w:szCs w:val="18"/>
                <w:color w:val="auto"/>
              </w:rPr>
              <w:t>67,961,963</w:t>
            </w:r>
          </w:p>
        </w:tc>
        <w:tc>
          <w:tcPr>
            <w:tcW w:w="220" w:type="dxa"/>
            <w:vAlign w:val="bottom"/>
          </w:tcPr>
          <w:p>
            <w:pPr>
              <w:spacing w:after="0"/>
              <w:rPr>
                <w:sz w:val="21"/>
                <w:szCs w:val="21"/>
                <w:color w:val="auto"/>
              </w:rPr>
            </w:pPr>
          </w:p>
        </w:tc>
        <w:tc>
          <w:tcPr>
            <w:tcW w:w="340" w:type="dxa"/>
            <w:vAlign w:val="bottom"/>
          </w:tcPr>
          <w:p>
            <w:pPr>
              <w:jc w:val="right"/>
              <w:ind w:right="166"/>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1"/>
                <w:szCs w:val="21"/>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2,884,695</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(1,951,143 )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933,674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3"/>
            <w:vMerge w:val="restart"/>
          </w:tcPr>
          <w:p>
            <w:pPr>
              <w:jc w:val="right"/>
              <w:ind w:right="146"/>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16"/>
              <w:spacing w:after="0"/>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6"/>
                <w:szCs w:val="16"/>
                <w:color w:val="auto"/>
              </w:rPr>
            </w:pPr>
          </w:p>
        </w:tc>
        <w:tc>
          <w:tcPr>
            <w:tcW w:w="14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7"/>
              </w:rPr>
              <w:t>Comprehensive</w:t>
            </w:r>
          </w:p>
        </w:tc>
        <w:tc>
          <w:tcPr>
            <w:tcW w:w="14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0"/>
                <w:szCs w:val="20"/>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44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Balance as of June 30, 2020</w:t>
            </w:r>
          </w:p>
        </w:tc>
        <w:tc>
          <w:tcPr>
            <w:tcW w:w="112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60,413,756</w:t>
            </w:r>
          </w:p>
        </w:tc>
        <w:tc>
          <w:tcPr>
            <w:tcW w:w="560" w:type="dxa"/>
            <w:vAlign w:val="bottom"/>
            <w:gridSpan w:val="2"/>
            <w:shd w:val="clear" w:color="auto" w:fill="CCECFF"/>
          </w:tcPr>
          <w:p>
            <w:pPr>
              <w:jc w:val="right"/>
              <w:ind w:right="206"/>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60</w:t>
            </w:r>
          </w:p>
        </w:tc>
        <w:tc>
          <w:tcPr>
            <w:tcW w:w="400" w:type="dxa"/>
            <w:vAlign w:val="bottom"/>
            <w:gridSpan w:val="2"/>
            <w:shd w:val="clear" w:color="auto" w:fill="CCECFF"/>
          </w:tcPr>
          <w:p>
            <w:pPr>
              <w:jc w:val="right"/>
              <w:ind w:right="3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2,220,963</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1,284</w:t>
            </w:r>
          </w:p>
        </w:tc>
        <w:tc>
          <w:tcPr>
            <w:tcW w:w="200" w:type="dxa"/>
            <w:vAlign w:val="bottom"/>
            <w:tcBorders>
              <w:right w:val="single" w:sz="8" w:color="CCECFF"/>
            </w:tcBorders>
            <w:shd w:val="clear" w:color="auto" w:fill="CCECFF"/>
          </w:tcPr>
          <w:p>
            <w:pPr>
              <w:spacing w:after="0"/>
              <w:rPr>
                <w:sz w:val="22"/>
                <w:szCs w:val="22"/>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(1,526,720 )</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695,587</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40" w:type="dxa"/>
            <w:vAlign w:val="bottom"/>
            <w:gridSpan w:val="2"/>
          </w:tcPr>
          <w:p>
            <w:pPr>
              <w:ind w:left="200"/>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20,527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440" w:type="dxa"/>
            <w:vAlign w:val="bottom"/>
            <w:gridSpan w:val="2"/>
            <w:shd w:val="clear" w:color="auto" w:fill="CCECFF"/>
          </w:tcPr>
          <w:p>
            <w:pPr>
              <w:ind w:left="200"/>
              <w:spacing w:after="0"/>
              <w:rPr>
                <w:sz w:val="20"/>
                <w:szCs w:val="20"/>
                <w:color w:val="auto"/>
              </w:rPr>
            </w:pPr>
            <w:r>
              <w:rPr>
                <w:rFonts w:ascii="Arial" w:cs="Arial" w:eastAsia="Arial" w:hAnsi="Arial"/>
                <w:sz w:val="18"/>
                <w:szCs w:val="18"/>
                <w:color w:val="auto"/>
              </w:rPr>
              <w:t>Issuance of common stock under</w:t>
            </w:r>
          </w:p>
        </w:tc>
        <w:tc>
          <w:tcPr>
            <w:tcW w:w="1120" w:type="dxa"/>
            <w:vAlign w:val="bottom"/>
            <w:tcBorders>
              <w:right w:val="single" w:sz="8" w:color="CCECFF"/>
            </w:tcBorders>
            <w:shd w:val="clear" w:color="auto" w:fill="CCECFF"/>
          </w:tcPr>
          <w:p>
            <w:pPr>
              <w:spacing w:after="0"/>
              <w:rPr>
                <w:sz w:val="21"/>
                <w:szCs w:val="21"/>
                <w:color w:val="auto"/>
              </w:rPr>
            </w:pPr>
          </w:p>
        </w:tc>
        <w:tc>
          <w:tcPr>
            <w:tcW w:w="220" w:type="dxa"/>
            <w:vAlign w:val="bottom"/>
            <w:tcBorders>
              <w:right w:val="single" w:sz="8" w:color="CCECFF"/>
            </w:tcBorders>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400" w:type="dxa"/>
            <w:vAlign w:val="bottom"/>
            <w:tcBorders>
              <w:right w:val="single" w:sz="8" w:color="CCECFF"/>
            </w:tcBorders>
            <w:shd w:val="clear" w:color="auto" w:fill="CCECFF"/>
          </w:tcPr>
          <w:p>
            <w:pPr>
              <w:spacing w:after="0"/>
              <w:rPr>
                <w:sz w:val="21"/>
                <w:szCs w:val="21"/>
                <w:color w:val="auto"/>
              </w:rPr>
            </w:pPr>
          </w:p>
        </w:tc>
        <w:tc>
          <w:tcPr>
            <w:tcW w:w="200" w:type="dxa"/>
            <w:vAlign w:val="bottom"/>
            <w:tcBorders>
              <w:right w:val="single" w:sz="8" w:color="CCECFF"/>
            </w:tcBorders>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020" w:type="dxa"/>
            <w:vAlign w:val="bottom"/>
            <w:shd w:val="clear" w:color="auto" w:fill="CCECFF"/>
          </w:tcPr>
          <w:p>
            <w:pPr>
              <w:spacing w:after="0"/>
              <w:rPr>
                <w:sz w:val="21"/>
                <w:szCs w:val="21"/>
                <w:color w:val="auto"/>
              </w:rPr>
            </w:pPr>
          </w:p>
        </w:tc>
        <w:tc>
          <w:tcPr>
            <w:tcW w:w="200" w:type="dxa"/>
            <w:vAlign w:val="bottom"/>
            <w:tcBorders>
              <w:right w:val="single" w:sz="8" w:color="CCECFF"/>
            </w:tcBorders>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100" w:type="dxa"/>
            <w:vAlign w:val="bottom"/>
            <w:tcBorders>
              <w:right w:val="single" w:sz="8" w:color="CCECFF"/>
            </w:tcBorders>
            <w:shd w:val="clear" w:color="auto" w:fill="CCECFF"/>
          </w:tcPr>
          <w:p>
            <w:pPr>
              <w:spacing w:after="0"/>
              <w:rPr>
                <w:sz w:val="21"/>
                <w:szCs w:val="21"/>
                <w:color w:val="auto"/>
              </w:rPr>
            </w:pPr>
          </w:p>
        </w:tc>
        <w:tc>
          <w:tcPr>
            <w:tcW w:w="200" w:type="dxa"/>
            <w:vAlign w:val="bottom"/>
            <w:tcBorders>
              <w:right w:val="single" w:sz="8" w:color="CCECFF"/>
            </w:tcBorders>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04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440" w:type="dxa"/>
            <w:vAlign w:val="bottom"/>
            <w:gridSpan w:val="2"/>
            <w:shd w:val="clear" w:color="auto" w:fill="CCECFF"/>
          </w:tcPr>
          <w:p>
            <w:pPr>
              <w:ind w:left="340"/>
              <w:spacing w:after="0"/>
              <w:rPr>
                <w:sz w:val="20"/>
                <w:szCs w:val="20"/>
                <w:color w:val="auto"/>
              </w:rPr>
            </w:pPr>
            <w:r>
              <w:rPr>
                <w:rFonts w:ascii="Arial" w:cs="Arial" w:eastAsia="Arial" w:hAnsi="Arial"/>
                <w:sz w:val="18"/>
                <w:szCs w:val="18"/>
                <w:color w:val="auto"/>
              </w:rPr>
              <w:t>equity plan awards, net of tax</w:t>
            </w:r>
          </w:p>
        </w:tc>
        <w:tc>
          <w:tcPr>
            <w:tcW w:w="112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401,934</w:t>
            </w:r>
          </w:p>
        </w:tc>
        <w:tc>
          <w:tcPr>
            <w:tcW w:w="220" w:type="dxa"/>
            <w:vAlign w:val="bottom"/>
            <w:tcBorders>
              <w:right w:val="single" w:sz="8" w:color="CCECFF"/>
            </w:tcBorders>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4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CCECFF"/>
            </w:tcBorders>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19,192</w:t>
            </w:r>
          </w:p>
        </w:tc>
        <w:tc>
          <w:tcPr>
            <w:tcW w:w="200" w:type="dxa"/>
            <w:vAlign w:val="bottom"/>
            <w:tcBorders>
              <w:right w:val="single" w:sz="8" w:color="CCECFF"/>
            </w:tcBorders>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300" w:type="dxa"/>
            <w:vAlign w:val="bottom"/>
            <w:tcBorders>
              <w:right w:val="single" w:sz="8" w:color="CCECFF"/>
            </w:tcBorders>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c>
          <w:tcPr>
            <w:tcW w:w="124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19,193</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40" w:type="dxa"/>
            <w:vAlign w:val="bottom"/>
            <w:gridSpan w:val="2"/>
          </w:tcPr>
          <w:p>
            <w:pPr>
              <w:ind w:left="200"/>
              <w:spacing w:after="0"/>
              <w:rPr>
                <w:sz w:val="20"/>
                <w:szCs w:val="20"/>
                <w:color w:val="auto"/>
              </w:rPr>
            </w:pPr>
            <w:r>
              <w:rPr>
                <w:rFonts w:ascii="Arial" w:cs="Arial" w:eastAsia="Arial" w:hAnsi="Arial"/>
                <w:sz w:val="18"/>
                <w:szCs w:val="18"/>
                <w:color w:val="auto"/>
              </w:rPr>
              <w:t>Other comprehensive loss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(271 )</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r>
        <w:trPr>
          <w:trHeight w:val="263"/>
        </w:trPr>
        <w:tc>
          <w:tcPr>
            <w:tcW w:w="33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CFF"/>
          </w:tcPr>
          <w:p>
            <w:pPr>
              <w:spacing w:after="0"/>
              <w:rPr>
                <w:sz w:val="22"/>
                <w:szCs w:val="22"/>
                <w:color w:val="auto"/>
              </w:rPr>
            </w:pPr>
          </w:p>
        </w:tc>
        <w:tc>
          <w:tcPr>
            <w:tcW w:w="112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CFF"/>
            </w:tcBorders>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4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CFF"/>
            </w:tcBorders>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CFF"/>
            </w:tcBorders>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11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CFF"/>
            </w:tcBorders>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12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(68,845 )</w:t>
            </w:r>
          </w:p>
        </w:tc>
        <w:tc>
          <w:tcPr>
            <w:tcW w:w="140" w:type="dxa"/>
            <w:vAlign w:val="bottom"/>
            <w:shd w:val="clear" w:color="auto" w:fill="CCECFF"/>
          </w:tcPr>
          <w:p>
            <w:pPr>
              <w:spacing w:after="0"/>
              <w:rPr>
                <w:sz w:val="22"/>
                <w:szCs w:val="22"/>
                <w:color w:val="auto"/>
              </w:rPr>
            </w:pPr>
          </w:p>
        </w:tc>
        <w:tc>
          <w:tcPr>
            <w:tcW w:w="11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(68,845 )</w:t>
            </w:r>
          </w:p>
        </w:tc>
        <w:tc>
          <w:tcPr>
            <w:tcW w:w="0" w:type="dxa"/>
            <w:vAlign w:val="bottom"/>
          </w:tcPr>
          <w:p>
            <w:pPr>
              <w:spacing w:after="0"/>
              <w:rPr>
                <w:sz w:val="1"/>
                <w:szCs w:val="1"/>
                <w:color w:val="auto"/>
              </w:rPr>
            </w:pPr>
          </w:p>
        </w:tc>
      </w:tr>
      <w:tr>
        <w:trPr>
          <w:trHeight w:val="20"/>
        </w:trPr>
        <w:tc>
          <w:tcPr>
            <w:tcW w:w="332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CCEC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tcBorders>
              <w:right w:val="single" w:sz="8" w:color="CCEC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Pr>
          <w:p>
            <w:pPr>
              <w:ind w:left="20"/>
              <w:spacing w:after="0"/>
              <w:rPr>
                <w:sz w:val="20"/>
                <w:szCs w:val="20"/>
                <w:color w:val="auto"/>
              </w:rPr>
            </w:pPr>
            <w:r>
              <w:rPr>
                <w:rFonts w:ascii="Arial" w:cs="Arial" w:eastAsia="Arial" w:hAnsi="Arial"/>
                <w:sz w:val="18"/>
                <w:szCs w:val="18"/>
                <w:color w:val="auto"/>
              </w:rPr>
              <w:t>Balance as of September 30, 2020</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60,815,690</w:t>
            </w:r>
          </w:p>
        </w:tc>
        <w:tc>
          <w:tcPr>
            <w:tcW w:w="220" w:type="dxa"/>
            <w:vAlign w:val="bottom"/>
          </w:tcPr>
          <w:p>
            <w:pPr>
              <w:spacing w:after="0"/>
              <w:rPr>
                <w:sz w:val="21"/>
                <w:szCs w:val="21"/>
                <w:color w:val="auto"/>
              </w:rPr>
            </w:pPr>
          </w:p>
        </w:tc>
        <w:tc>
          <w:tcPr>
            <w:tcW w:w="340" w:type="dxa"/>
            <w:vAlign w:val="bottom"/>
          </w:tcPr>
          <w:p>
            <w:pPr>
              <w:jc w:val="right"/>
              <w:ind w:right="206"/>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1"/>
                <w:szCs w:val="21"/>
                <w:color w:val="auto"/>
              </w:rPr>
            </w:pPr>
          </w:p>
        </w:tc>
        <w:tc>
          <w:tcPr>
            <w:tcW w:w="200" w:type="dxa"/>
            <w:vAlign w:val="bottom"/>
          </w:tcPr>
          <w:p>
            <w:pPr>
              <w:jc w:val="right"/>
              <w:ind w:right="3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2,260,682</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(1,595,565 )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666,191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-3914140</wp:posOffset>
            </wp:positionV>
            <wp:extent cx="13716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-3914140</wp:posOffset>
            </wp:positionV>
            <wp:extent cx="13716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-3914140</wp:posOffset>
            </wp:positionV>
            <wp:extent cx="13716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-3914140</wp:posOffset>
            </wp:positionV>
            <wp:extent cx="12890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-3914140</wp:posOffset>
            </wp:positionV>
            <wp:extent cx="12890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-3914140</wp:posOffset>
            </wp:positionV>
            <wp:extent cx="6858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-2036445</wp:posOffset>
            </wp:positionV>
            <wp:extent cx="13716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-2036445</wp:posOffset>
            </wp:positionV>
            <wp:extent cx="13716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-2036445</wp:posOffset>
            </wp:positionV>
            <wp:extent cx="13716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-2036445</wp:posOffset>
            </wp:positionV>
            <wp:extent cx="12890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-2036445</wp:posOffset>
            </wp:positionV>
            <wp:extent cx="12890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-2036445</wp:posOffset>
            </wp:positionV>
            <wp:extent cx="685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-193675</wp:posOffset>
            </wp:positionV>
            <wp:extent cx="12001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-193675</wp:posOffset>
            </wp:positionV>
            <wp:extent cx="12001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-193675</wp:posOffset>
            </wp:positionV>
            <wp:extent cx="10287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-193675</wp:posOffset>
            </wp:positionV>
            <wp:extent cx="12001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-193675</wp:posOffset>
            </wp:positionV>
            <wp:extent cx="12001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2100" w:type="dxa"/>
            <w:vAlign w:val="bottom"/>
            <w:gridSpan w:val="4"/>
            <w:vMerge w:val="restart"/>
          </w:tcPr>
          <w:p>
            <w:pPr>
              <w:jc w:val="right"/>
              <w:ind w:right="47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115"/>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2100" w:type="dxa"/>
            <w:vAlign w:val="bottom"/>
            <w:tcBorders>
              <w:bottom w:val="single" w:sz="8" w:color="auto"/>
            </w:tcBorders>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15"/>
              <w:spacing w:after="0"/>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6"/>
                <w:szCs w:val="16"/>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6"/>
                <w:szCs w:val="16"/>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1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420" w:type="dxa"/>
            <w:vAlign w:val="bottom"/>
            <w:shd w:val="clear" w:color="auto" w:fill="CCECFF"/>
          </w:tcPr>
          <w:p>
            <w:pPr>
              <w:ind w:left="20"/>
              <w:spacing w:after="0"/>
              <w:rPr>
                <w:sz w:val="20"/>
                <w:szCs w:val="20"/>
                <w:color w:val="auto"/>
              </w:rPr>
            </w:pPr>
            <w:r>
              <w:rPr>
                <w:rFonts w:ascii="Arial" w:cs="Arial" w:eastAsia="Arial" w:hAnsi="Arial"/>
                <w:sz w:val="18"/>
                <w:szCs w:val="18"/>
                <w:color w:val="auto"/>
              </w:rPr>
              <w:t>Balance as of December 31, 2019</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57,838,220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58</w:t>
            </w:r>
          </w:p>
        </w:tc>
        <w:tc>
          <w:tcPr>
            <w:tcW w:w="420" w:type="dxa"/>
            <w:vAlign w:val="bottom"/>
            <w:gridSpan w:val="2"/>
            <w:shd w:val="clear" w:color="auto" w:fill="CCEC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2,086,863</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(147 )</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(1,433,010 )</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653,764</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420" w:type="dxa"/>
            <w:vAlign w:val="bottom"/>
          </w:tcPr>
          <w:p>
            <w:pPr>
              <w:ind w:left="200"/>
              <w:spacing w:after="0"/>
              <w:rPr>
                <w:sz w:val="20"/>
                <w:szCs w:val="20"/>
                <w:color w:val="auto"/>
              </w:rPr>
            </w:pPr>
            <w:r>
              <w:rPr>
                <w:rFonts w:ascii="Arial" w:cs="Arial" w:eastAsia="Arial" w:hAnsi="Arial"/>
                <w:sz w:val="18"/>
                <w:szCs w:val="18"/>
                <w:color w:val="auto"/>
              </w:rPr>
              <w:t>Issuance of common stock in</w:t>
            </w: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340"/>
              <w:spacing w:after="0"/>
              <w:rPr>
                <w:sz w:val="20"/>
                <w:szCs w:val="20"/>
                <w:color w:val="auto"/>
              </w:rPr>
            </w:pPr>
            <w:r>
              <w:rPr>
                <w:rFonts w:ascii="Arial" w:cs="Arial" w:eastAsia="Arial" w:hAnsi="Arial"/>
                <w:sz w:val="18"/>
                <w:szCs w:val="18"/>
                <w:color w:val="auto"/>
              </w:rPr>
              <w:t>connection with license</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20" w:type="dxa"/>
            <w:vAlign w:val="bottom"/>
          </w:tcPr>
          <w:p>
            <w:pPr>
              <w:ind w:left="340"/>
              <w:spacing w:after="0"/>
              <w:rPr>
                <w:sz w:val="20"/>
                <w:szCs w:val="20"/>
                <w:color w:val="auto"/>
              </w:rPr>
            </w:pPr>
            <w:r>
              <w:rPr>
                <w:rFonts w:ascii="Arial" w:cs="Arial" w:eastAsia="Arial" w:hAnsi="Arial"/>
                <w:sz w:val="18"/>
                <w:szCs w:val="18"/>
                <w:color w:val="auto"/>
              </w:rPr>
              <w:t>agreement, net of issuance costs</w:t>
            </w:r>
          </w:p>
        </w:tc>
        <w:tc>
          <w:tcPr>
            <w:tcW w:w="1160" w:type="dxa"/>
            <w:vAlign w:val="bottom"/>
          </w:tcPr>
          <w:p>
            <w:pPr>
              <w:jc w:val="right"/>
              <w:spacing w:after="0"/>
              <w:rPr>
                <w:sz w:val="20"/>
                <w:szCs w:val="20"/>
                <w:color w:val="auto"/>
              </w:rPr>
            </w:pPr>
            <w:r>
              <w:rPr>
                <w:rFonts w:ascii="Arial" w:cs="Arial" w:eastAsia="Arial" w:hAnsi="Arial"/>
                <w:sz w:val="18"/>
                <w:szCs w:val="18"/>
                <w:color w:val="auto"/>
              </w:rPr>
              <w:t>1,243,913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55,267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20" w:type="dxa"/>
            <w:vAlign w:val="bottom"/>
            <w:shd w:val="clear" w:color="auto" w:fill="CCECFF"/>
          </w:tcPr>
          <w:p>
            <w:pPr>
              <w:ind w:left="240"/>
              <w:spacing w:after="0"/>
              <w:rPr>
                <w:sz w:val="20"/>
                <w:szCs w:val="20"/>
                <w:color w:val="auto"/>
              </w:rPr>
            </w:pPr>
            <w:r>
              <w:rPr>
                <w:rFonts w:ascii="Arial" w:cs="Arial" w:eastAsia="Arial" w:hAnsi="Arial"/>
                <w:sz w:val="18"/>
                <w:szCs w:val="18"/>
                <w:color w:val="auto"/>
              </w:rPr>
              <w:t>Issuance of common stock in</w:t>
            </w:r>
          </w:p>
        </w:tc>
        <w:tc>
          <w:tcPr>
            <w:tcW w:w="11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0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04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CFF"/>
          </w:tcPr>
          <w:p>
            <w:pPr>
              <w:ind w:left="340"/>
              <w:spacing w:after="0"/>
              <w:rPr>
                <w:sz w:val="20"/>
                <w:szCs w:val="20"/>
                <w:color w:val="auto"/>
              </w:rPr>
            </w:pPr>
            <w:r>
              <w:rPr>
                <w:rFonts w:ascii="Arial" w:cs="Arial" w:eastAsia="Arial" w:hAnsi="Arial"/>
                <w:sz w:val="18"/>
                <w:szCs w:val="18"/>
                <w:color w:val="auto"/>
              </w:rPr>
              <w:t>connection with at-the-market</w:t>
            </w:r>
          </w:p>
        </w:tc>
        <w:tc>
          <w:tcPr>
            <w:tcW w:w="11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62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04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420" w:type="dxa"/>
            <w:vAlign w:val="bottom"/>
            <w:shd w:val="clear" w:color="auto" w:fill="CCECFF"/>
          </w:tcPr>
          <w:p>
            <w:pPr>
              <w:ind w:left="340"/>
              <w:spacing w:after="0"/>
              <w:rPr>
                <w:sz w:val="20"/>
                <w:szCs w:val="20"/>
                <w:color w:val="auto"/>
              </w:rPr>
            </w:pPr>
            <w:r>
              <w:rPr>
                <w:rFonts w:ascii="Arial" w:cs="Arial" w:eastAsia="Arial" w:hAnsi="Arial"/>
                <w:sz w:val="18"/>
                <w:szCs w:val="18"/>
                <w:color w:val="auto"/>
              </w:rPr>
              <w:t>offering, net of issuance costs</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283,333</w:t>
            </w:r>
          </w:p>
        </w:tc>
        <w:tc>
          <w:tcPr>
            <w:tcW w:w="2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20,391</w:t>
            </w:r>
          </w:p>
        </w:tc>
        <w:tc>
          <w:tcPr>
            <w:tcW w:w="2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26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c>
          <w:tcPr>
            <w:tcW w:w="124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20,391</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2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63,112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63,112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4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Issuance of common stock upon</w:t>
            </w:r>
          </w:p>
        </w:tc>
        <w:tc>
          <w:tcPr>
            <w:tcW w:w="11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0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04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CFF"/>
          </w:tcPr>
          <w:p>
            <w:pPr>
              <w:ind w:left="380"/>
              <w:spacing w:after="0"/>
              <w:rPr>
                <w:sz w:val="20"/>
                <w:szCs w:val="20"/>
                <w:color w:val="auto"/>
              </w:rPr>
            </w:pPr>
            <w:r>
              <w:rPr>
                <w:rFonts w:ascii="Arial" w:cs="Arial" w:eastAsia="Arial" w:hAnsi="Arial"/>
                <w:sz w:val="18"/>
                <w:szCs w:val="18"/>
                <w:color w:val="auto"/>
              </w:rPr>
              <w:t>exercise of warrants and under</w:t>
            </w:r>
          </w:p>
        </w:tc>
        <w:tc>
          <w:tcPr>
            <w:tcW w:w="11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62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04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420" w:type="dxa"/>
            <w:vAlign w:val="bottom"/>
            <w:shd w:val="clear" w:color="auto" w:fill="CCECFF"/>
          </w:tcPr>
          <w:p>
            <w:pPr>
              <w:ind w:left="380"/>
              <w:spacing w:after="0"/>
              <w:rPr>
                <w:sz w:val="20"/>
                <w:szCs w:val="20"/>
                <w:color w:val="auto"/>
              </w:rPr>
            </w:pPr>
            <w:r>
              <w:rPr>
                <w:rFonts w:ascii="Arial" w:cs="Arial" w:eastAsia="Arial" w:hAnsi="Arial"/>
                <w:sz w:val="18"/>
                <w:szCs w:val="18"/>
                <w:color w:val="auto"/>
              </w:rPr>
              <w:t>equity plan awards, net of tax</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1,450,224</w:t>
            </w:r>
          </w:p>
        </w:tc>
        <w:tc>
          <w:tcPr>
            <w:tcW w:w="2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35,049</w:t>
            </w:r>
          </w:p>
        </w:tc>
        <w:tc>
          <w:tcPr>
            <w:tcW w:w="2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26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c>
          <w:tcPr>
            <w:tcW w:w="124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35,051</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20" w:type="dxa"/>
            <w:vAlign w:val="bottom"/>
          </w:tcPr>
          <w:p>
            <w:pPr>
              <w:ind w:left="200"/>
              <w:spacing w:after="0"/>
              <w:rPr>
                <w:sz w:val="20"/>
                <w:szCs w:val="20"/>
                <w:color w:val="auto"/>
              </w:rPr>
            </w:pPr>
            <w:r>
              <w:rPr>
                <w:rFonts w:ascii="Arial" w:cs="Arial" w:eastAsia="Arial" w:hAnsi="Arial"/>
                <w:sz w:val="18"/>
                <w:szCs w:val="18"/>
                <w:color w:val="auto"/>
              </w:rPr>
              <w:t>Other comprehensive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4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12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(162,555 )</w:t>
            </w:r>
          </w:p>
        </w:tc>
        <w:tc>
          <w:tcPr>
            <w:tcW w:w="140" w:type="dxa"/>
            <w:vAlign w:val="bottom"/>
            <w:shd w:val="clear" w:color="auto" w:fill="CCECFF"/>
          </w:tcPr>
          <w:p>
            <w:pPr>
              <w:spacing w:after="0"/>
              <w:rPr>
                <w:sz w:val="22"/>
                <w:szCs w:val="22"/>
                <w:color w:val="auto"/>
              </w:rPr>
            </w:pPr>
          </w:p>
        </w:tc>
        <w:tc>
          <w:tcPr>
            <w:tcW w:w="11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(162,555 )</w:t>
            </w:r>
          </w:p>
        </w:tc>
        <w:tc>
          <w:tcPr>
            <w:tcW w:w="0" w:type="dxa"/>
            <w:vAlign w:val="bottom"/>
          </w:tcPr>
          <w:p>
            <w:pPr>
              <w:spacing w:after="0"/>
              <w:rPr>
                <w:sz w:val="1"/>
                <w:szCs w:val="1"/>
                <w:color w:val="auto"/>
              </w:rPr>
            </w:pPr>
          </w:p>
        </w:tc>
      </w:tr>
      <w:tr>
        <w:trPr>
          <w:trHeight w:val="20"/>
        </w:trPr>
        <w:tc>
          <w:tcPr>
            <w:tcW w:w="34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Pr>
          <w:p>
            <w:pPr>
              <w:ind w:left="20"/>
              <w:spacing w:after="0"/>
              <w:rPr>
                <w:sz w:val="20"/>
                <w:szCs w:val="20"/>
                <w:color w:val="auto"/>
              </w:rPr>
            </w:pPr>
            <w:r>
              <w:rPr>
                <w:rFonts w:ascii="Arial" w:cs="Arial" w:eastAsia="Arial" w:hAnsi="Arial"/>
                <w:sz w:val="18"/>
                <w:szCs w:val="18"/>
                <w:color w:val="auto"/>
              </w:rPr>
              <w:t>Balance as of September 30, 2020</w:t>
            </w:r>
          </w:p>
        </w:tc>
        <w:tc>
          <w:tcPr>
            <w:tcW w:w="1160" w:type="dxa"/>
            <w:vAlign w:val="bottom"/>
          </w:tcPr>
          <w:p>
            <w:pPr>
              <w:jc w:val="right"/>
              <w:spacing w:after="0"/>
              <w:rPr>
                <w:sz w:val="20"/>
                <w:szCs w:val="20"/>
                <w:color w:val="auto"/>
              </w:rPr>
            </w:pPr>
            <w:r>
              <w:rPr>
                <w:rFonts w:ascii="Arial" w:cs="Arial" w:eastAsia="Arial" w:hAnsi="Arial"/>
                <w:sz w:val="18"/>
                <w:szCs w:val="18"/>
                <w:color w:val="auto"/>
              </w:rPr>
              <w:t>60,815,690</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2,260,682</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(1,595,565 )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666,191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-193675</wp:posOffset>
            </wp:positionV>
            <wp:extent cx="13716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-193675</wp:posOffset>
            </wp:positionV>
            <wp:extent cx="13716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-193675</wp:posOffset>
            </wp:positionV>
            <wp:extent cx="12890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-193675</wp:posOffset>
            </wp:positionV>
            <wp:extent cx="12890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-193675</wp:posOffset>
            </wp:positionV>
            <wp:extent cx="12890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37"/>
        </w:trPr>
        <w:tc>
          <w:tcPr>
            <w:tcW w:w="8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30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shd w:val="clear" w:color="auto" w:fill="CCECFF"/>
          </w:tcPr>
          <w:p>
            <w:pPr>
              <w:spacing w:after="0"/>
              <w:rPr>
                <w:sz w:val="22"/>
                <w:szCs w:val="22"/>
                <w:color w:val="auto"/>
              </w:rPr>
            </w:pPr>
          </w:p>
        </w:tc>
        <w:tc>
          <w:tcPr>
            <w:tcW w:w="108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96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(331,567 )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(162,555 )</w:t>
            </w:r>
          </w:p>
        </w:tc>
        <w:tc>
          <w:tcPr>
            <w:tcW w:w="0" w:type="dxa"/>
            <w:vAlign w:val="bottom"/>
          </w:tcPr>
          <w:p>
            <w:pPr>
              <w:spacing w:after="0"/>
              <w:rPr>
                <w:sz w:val="1"/>
                <w:szCs w:val="1"/>
                <w:color w:val="auto"/>
              </w:rPr>
            </w:pPr>
          </w:p>
        </w:tc>
      </w:tr>
      <w:tr>
        <w:trPr>
          <w:trHeight w:val="263"/>
        </w:trPr>
        <w:tc>
          <w:tcPr>
            <w:tcW w:w="8300" w:type="dxa"/>
            <w:vAlign w:val="bottom"/>
            <w:shd w:val="clear" w:color="auto" w:fill="CCEC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CFF"/>
          </w:tcPr>
          <w:p>
            <w:pPr>
              <w:spacing w:after="0"/>
              <w:rPr>
                <w:sz w:val="22"/>
                <w:szCs w:val="22"/>
                <w:color w:val="auto"/>
              </w:rPr>
            </w:pPr>
          </w:p>
        </w:tc>
        <w:tc>
          <w:tcPr>
            <w:tcW w:w="108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96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78,133</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62,897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3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Amortization of premium on marketable debt securities, net</w:t>
            </w:r>
          </w:p>
        </w:tc>
        <w:tc>
          <w:tcPr>
            <w:tcW w:w="220" w:type="dxa"/>
            <w:vAlign w:val="bottom"/>
            <w:shd w:val="clear" w:color="auto" w:fill="CCECFF"/>
          </w:tcPr>
          <w:p>
            <w:pPr>
              <w:spacing w:after="0"/>
              <w:rPr>
                <w:sz w:val="22"/>
                <w:szCs w:val="22"/>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4,499</w:t>
            </w:r>
          </w:p>
        </w:tc>
        <w:tc>
          <w:tcPr>
            <w:tcW w:w="28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9,705</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3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Change in fair value of equity investments</w:t>
            </w:r>
          </w:p>
        </w:tc>
        <w:tc>
          <w:tcPr>
            <w:tcW w:w="220" w:type="dxa"/>
            <w:vAlign w:val="bottom"/>
            <w:shd w:val="clear" w:color="auto" w:fill="CCECFF"/>
          </w:tcPr>
          <w:p>
            <w:pPr>
              <w:spacing w:after="0"/>
              <w:rPr>
                <w:sz w:val="22"/>
                <w:szCs w:val="22"/>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25,963</w:t>
            </w:r>
          </w:p>
        </w:tc>
        <w:tc>
          <w:tcPr>
            <w:tcW w:w="28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10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(91,348 )</w:t>
            </w:r>
          </w:p>
        </w:tc>
        <w:tc>
          <w:tcPr>
            <w:tcW w:w="0" w:type="dxa"/>
            <w:vAlign w:val="bottom"/>
          </w:tcPr>
          <w:p>
            <w:pPr>
              <w:spacing w:after="0"/>
              <w:rPr>
                <w:sz w:val="1"/>
                <w:szCs w:val="1"/>
                <w:color w:val="auto"/>
              </w:rPr>
            </w:pPr>
          </w:p>
        </w:tc>
      </w:tr>
      <w:tr>
        <w:trPr>
          <w:trHeight w:val="250"/>
        </w:trPr>
        <w:tc>
          <w:tcPr>
            <w:tcW w:w="8300" w:type="dxa"/>
            <w:vAlign w:val="bottom"/>
          </w:tcPr>
          <w:p>
            <w:pPr>
              <w:ind w:left="200"/>
              <w:spacing w:after="0"/>
              <w:rPr>
                <w:sz w:val="20"/>
                <w:szCs w:val="20"/>
                <w:color w:val="auto"/>
              </w:rPr>
            </w:pPr>
            <w:r>
              <w:rPr>
                <w:rFonts w:ascii="Arial" w:cs="Arial" w:eastAsia="Arial" w:hAnsi="Arial"/>
                <w:sz w:val="18"/>
                <w:szCs w:val="18"/>
                <w:color w:val="auto"/>
              </w:rPr>
              <w:t>Non-cash collaboration royalty revenue</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(13,210 )</w:t>
            </w:r>
          </w:p>
        </w:tc>
        <w:tc>
          <w:tcPr>
            <w:tcW w:w="3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(9,428 )</w:t>
            </w:r>
          </w:p>
        </w:tc>
        <w:tc>
          <w:tcPr>
            <w:tcW w:w="0" w:type="dxa"/>
            <w:vAlign w:val="bottom"/>
          </w:tcPr>
          <w:p>
            <w:pPr>
              <w:spacing w:after="0"/>
              <w:rPr>
                <w:sz w:val="1"/>
                <w:szCs w:val="1"/>
                <w:color w:val="auto"/>
              </w:rPr>
            </w:pPr>
          </w:p>
        </w:tc>
      </w:tr>
      <w:tr>
        <w:trPr>
          <w:trHeight w:val="263"/>
        </w:trPr>
        <w:tc>
          <w:tcPr>
            <w:tcW w:w="83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Non-cash interest expense on liability related to the sale of future royalties</w:t>
            </w:r>
          </w:p>
        </w:tc>
        <w:tc>
          <w:tcPr>
            <w:tcW w:w="220" w:type="dxa"/>
            <w:vAlign w:val="bottom"/>
            <w:shd w:val="clear" w:color="auto" w:fill="CCECFF"/>
          </w:tcPr>
          <w:p>
            <w:pPr>
              <w:spacing w:after="0"/>
              <w:rPr>
                <w:sz w:val="22"/>
                <w:szCs w:val="22"/>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25,618</w:t>
            </w:r>
          </w:p>
        </w:tc>
        <w:tc>
          <w:tcPr>
            <w:tcW w:w="28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25,093</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300" w:type="dxa"/>
            <w:vAlign w:val="bottom"/>
            <w:shd w:val="clear" w:color="auto" w:fill="CCEC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CFF"/>
          </w:tcPr>
          <w:p>
            <w:pPr>
              <w:spacing w:after="0"/>
              <w:rPr>
                <w:sz w:val="22"/>
                <w:szCs w:val="22"/>
                <w:color w:val="auto"/>
              </w:rPr>
            </w:pPr>
          </w:p>
        </w:tc>
        <w:tc>
          <w:tcPr>
            <w:tcW w:w="108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96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(2,362 )</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3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CFF"/>
          </w:tcPr>
          <w:p>
            <w:pPr>
              <w:spacing w:after="0"/>
              <w:rPr>
                <w:sz w:val="22"/>
                <w:szCs w:val="22"/>
                <w:color w:val="auto"/>
              </w:rPr>
            </w:pPr>
          </w:p>
        </w:tc>
        <w:tc>
          <w:tcPr>
            <w:tcW w:w="136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(2,127 )</w:t>
            </w:r>
          </w:p>
        </w:tc>
        <w:tc>
          <w:tcPr>
            <w:tcW w:w="300" w:type="dxa"/>
            <w:vAlign w:val="bottom"/>
            <w:shd w:val="clear" w:color="auto" w:fill="CCECFF"/>
          </w:tcPr>
          <w:p>
            <w:pPr>
              <w:spacing w:after="0"/>
              <w:rPr>
                <w:sz w:val="22"/>
                <w:szCs w:val="22"/>
                <w:color w:val="auto"/>
              </w:rPr>
            </w:pPr>
          </w:p>
        </w:tc>
        <w:tc>
          <w:tcPr>
            <w:tcW w:w="10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(2,635 )</w:t>
            </w:r>
          </w:p>
        </w:tc>
        <w:tc>
          <w:tcPr>
            <w:tcW w:w="0" w:type="dxa"/>
            <w:vAlign w:val="bottom"/>
          </w:tcPr>
          <w:p>
            <w:pPr>
              <w:spacing w:after="0"/>
              <w:rPr>
                <w:sz w:val="1"/>
                <w:szCs w:val="1"/>
                <w:color w:val="auto"/>
              </w:rPr>
            </w:pPr>
          </w:p>
        </w:tc>
      </w:tr>
      <w:tr>
        <w:trPr>
          <w:trHeight w:val="250"/>
        </w:trPr>
        <w:tc>
          <w:tcPr>
            <w:tcW w:w="830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(6,979 )</w:t>
            </w:r>
          </w:p>
        </w:tc>
        <w:tc>
          <w:tcPr>
            <w:tcW w:w="3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(12,461 )</w:t>
            </w:r>
          </w:p>
        </w:tc>
        <w:tc>
          <w:tcPr>
            <w:tcW w:w="0" w:type="dxa"/>
            <w:vAlign w:val="bottom"/>
          </w:tcPr>
          <w:p>
            <w:pPr>
              <w:spacing w:after="0"/>
              <w:rPr>
                <w:sz w:val="1"/>
                <w:szCs w:val="1"/>
                <w:color w:val="auto"/>
              </w:rPr>
            </w:pPr>
          </w:p>
        </w:tc>
      </w:tr>
      <w:tr>
        <w:trPr>
          <w:trHeight w:val="263"/>
        </w:trPr>
        <w:tc>
          <w:tcPr>
            <w:tcW w:w="83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Accounts payable, accrued, and other liabilities</w:t>
            </w:r>
          </w:p>
        </w:tc>
        <w:tc>
          <w:tcPr>
            <w:tcW w:w="220" w:type="dxa"/>
            <w:vAlign w:val="bottom"/>
            <w:shd w:val="clear" w:color="auto" w:fill="CCECFF"/>
          </w:tcPr>
          <w:p>
            <w:pPr>
              <w:spacing w:after="0"/>
              <w:rPr>
                <w:sz w:val="22"/>
                <w:szCs w:val="22"/>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1,920</w:t>
            </w:r>
          </w:p>
        </w:tc>
        <w:tc>
          <w:tcPr>
            <w:tcW w:w="28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2,822</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200"/>
              <w:spacing w:after="0"/>
              <w:rPr>
                <w:sz w:val="20"/>
                <w:szCs w:val="20"/>
                <w:color w:val="auto"/>
              </w:rPr>
            </w:pPr>
            <w:r>
              <w:rPr>
                <w:rFonts w:ascii="Arial" w:cs="Arial" w:eastAsia="Arial" w:hAnsi="Arial"/>
                <w:sz w:val="18"/>
                <w:szCs w:val="18"/>
                <w:color w:val="auto"/>
              </w:rPr>
              <w:t>Contract assets and liabilities, net</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(74,377 )</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102,898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shd w:val="clear" w:color="auto" w:fill="CCECFF"/>
          </w:tcPr>
          <w:p>
            <w:pPr>
              <w:ind w:left="56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300" w:type="dxa"/>
            <w:vAlign w:val="bottom"/>
            <w:vMerge w:val="continue"/>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36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(284,351 )</w:t>
            </w:r>
          </w:p>
        </w:tc>
        <w:tc>
          <w:tcPr>
            <w:tcW w:w="30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(69,768 )</w:t>
            </w:r>
          </w:p>
        </w:tc>
        <w:tc>
          <w:tcPr>
            <w:tcW w:w="0" w:type="dxa"/>
            <w:vAlign w:val="bottom"/>
          </w:tcPr>
          <w:p>
            <w:pPr>
              <w:spacing w:after="0"/>
              <w:rPr>
                <w:sz w:val="1"/>
                <w:szCs w:val="1"/>
                <w:color w:val="auto"/>
              </w:rPr>
            </w:pPr>
          </w:p>
        </w:tc>
      </w:tr>
      <w:tr>
        <w:trPr>
          <w:trHeight w:val="243"/>
        </w:trPr>
        <w:tc>
          <w:tcPr>
            <w:tcW w:w="8300" w:type="dxa"/>
            <w:vAlign w:val="bottom"/>
            <w:tcBorders>
              <w:top w:val="single" w:sz="8" w:color="CCECFF"/>
            </w:tcBorders>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80" w:type="dxa"/>
            <w:vAlign w:val="bottom"/>
            <w:tcBorders>
              <w:top w:val="single" w:sz="8" w:color="CCEC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CCECFF"/>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3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Purchase of property, plant, and equipment</w:t>
            </w:r>
          </w:p>
        </w:tc>
        <w:tc>
          <w:tcPr>
            <w:tcW w:w="220" w:type="dxa"/>
            <w:vAlign w:val="bottom"/>
            <w:shd w:val="clear" w:color="auto" w:fill="CCECFF"/>
          </w:tcPr>
          <w:p>
            <w:pPr>
              <w:spacing w:after="0"/>
              <w:rPr>
                <w:sz w:val="22"/>
                <w:szCs w:val="22"/>
                <w:color w:val="auto"/>
              </w:rPr>
            </w:pPr>
          </w:p>
        </w:tc>
        <w:tc>
          <w:tcPr>
            <w:tcW w:w="136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(57,045 )</w:t>
            </w:r>
          </w:p>
        </w:tc>
        <w:tc>
          <w:tcPr>
            <w:tcW w:w="300" w:type="dxa"/>
            <w:vAlign w:val="bottom"/>
            <w:shd w:val="clear" w:color="auto" w:fill="CCECFF"/>
          </w:tcPr>
          <w:p>
            <w:pPr>
              <w:spacing w:after="0"/>
              <w:rPr>
                <w:sz w:val="22"/>
                <w:szCs w:val="22"/>
                <w:color w:val="auto"/>
              </w:rPr>
            </w:pPr>
          </w:p>
        </w:tc>
        <w:tc>
          <w:tcPr>
            <w:tcW w:w="10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(21,959 )</w:t>
            </w:r>
          </w:p>
        </w:tc>
        <w:tc>
          <w:tcPr>
            <w:tcW w:w="0" w:type="dxa"/>
            <w:vAlign w:val="bottom"/>
          </w:tcPr>
          <w:p>
            <w:pPr>
              <w:spacing w:after="0"/>
              <w:rPr>
                <w:sz w:val="1"/>
                <w:szCs w:val="1"/>
                <w:color w:val="auto"/>
              </w:rPr>
            </w:pPr>
          </w:p>
        </w:tc>
      </w:tr>
      <w:tr>
        <w:trPr>
          <w:trHeight w:val="250"/>
        </w:trPr>
        <w:tc>
          <w:tcPr>
            <w:tcW w:w="8300" w:type="dxa"/>
            <w:vAlign w:val="bottom"/>
          </w:tcPr>
          <w:p>
            <w:pPr>
              <w:ind w:left="200"/>
              <w:spacing w:after="0"/>
              <w:rPr>
                <w:sz w:val="20"/>
                <w:szCs w:val="20"/>
                <w:color w:val="auto"/>
              </w:rPr>
            </w:pPr>
            <w:r>
              <w:rPr>
                <w:rFonts w:ascii="Arial" w:cs="Arial" w:eastAsia="Arial" w:hAnsi="Arial"/>
                <w:sz w:val="18"/>
                <w:szCs w:val="18"/>
                <w:color w:val="auto"/>
              </w:rPr>
              <w:t>Purchase of marketable debt securities</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(917,409 )</w:t>
            </w:r>
          </w:p>
        </w:tc>
        <w:tc>
          <w:tcPr>
            <w:tcW w:w="3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(648,524 )</w:t>
            </w:r>
          </w:p>
        </w:tc>
        <w:tc>
          <w:tcPr>
            <w:tcW w:w="0" w:type="dxa"/>
            <w:vAlign w:val="bottom"/>
          </w:tcPr>
          <w:p>
            <w:pPr>
              <w:spacing w:after="0"/>
              <w:rPr>
                <w:sz w:val="1"/>
                <w:szCs w:val="1"/>
                <w:color w:val="auto"/>
              </w:rPr>
            </w:pPr>
          </w:p>
        </w:tc>
      </w:tr>
      <w:tr>
        <w:trPr>
          <w:trHeight w:val="263"/>
        </w:trPr>
        <w:tc>
          <w:tcPr>
            <w:tcW w:w="83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Purchase of equity investments</w:t>
            </w:r>
          </w:p>
        </w:tc>
        <w:tc>
          <w:tcPr>
            <w:tcW w:w="220" w:type="dxa"/>
            <w:vAlign w:val="bottom"/>
            <w:shd w:val="clear" w:color="auto" w:fill="CCECFF"/>
          </w:tcPr>
          <w:p>
            <w:pPr>
              <w:spacing w:after="0"/>
              <w:rPr>
                <w:sz w:val="22"/>
                <w:szCs w:val="22"/>
                <w:color w:val="auto"/>
              </w:rPr>
            </w:pPr>
          </w:p>
        </w:tc>
        <w:tc>
          <w:tcPr>
            <w:tcW w:w="1360" w:type="dxa"/>
            <w:vAlign w:val="bottom"/>
            <w:gridSpan w:val="2"/>
            <w:shd w:val="clear" w:color="auto" w:fill="CCEC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CFF"/>
          </w:tcPr>
          <w:p>
            <w:pPr>
              <w:spacing w:after="0"/>
              <w:rPr>
                <w:sz w:val="22"/>
                <w:szCs w:val="22"/>
                <w:color w:val="auto"/>
              </w:rPr>
            </w:pPr>
          </w:p>
        </w:tc>
        <w:tc>
          <w:tcPr>
            <w:tcW w:w="10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(10,220 )</w:t>
            </w:r>
          </w:p>
        </w:tc>
        <w:tc>
          <w:tcPr>
            <w:tcW w:w="0" w:type="dxa"/>
            <w:vAlign w:val="bottom"/>
          </w:tcPr>
          <w:p>
            <w:pPr>
              <w:spacing w:after="0"/>
              <w:rPr>
                <w:sz w:val="1"/>
                <w:szCs w:val="1"/>
                <w:color w:val="auto"/>
              </w:rPr>
            </w:pPr>
          </w:p>
        </w:tc>
      </w:tr>
      <w:tr>
        <w:trPr>
          <w:trHeight w:val="250"/>
        </w:trPr>
        <w:tc>
          <w:tcPr>
            <w:tcW w:w="8300" w:type="dxa"/>
            <w:vAlign w:val="bottom"/>
          </w:tcPr>
          <w:p>
            <w:pPr>
              <w:ind w:left="200"/>
              <w:spacing w:after="0"/>
              <w:rPr>
                <w:sz w:val="20"/>
                <w:szCs w:val="20"/>
                <w:color w:val="auto"/>
              </w:rPr>
            </w:pPr>
            <w:r>
              <w:rPr>
                <w:rFonts w:ascii="Arial" w:cs="Arial" w:eastAsia="Arial" w:hAnsi="Arial"/>
                <w:sz w:val="18"/>
                <w:szCs w:val="18"/>
                <w:color w:val="auto"/>
              </w:rPr>
              <w:t>Proceeds from sale of marketable debt securities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83,318</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40,390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3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Proceeds from maturities of marketable debt securities</w:t>
            </w:r>
          </w:p>
        </w:tc>
        <w:tc>
          <w:tcPr>
            <w:tcW w:w="220" w:type="dxa"/>
            <w:vAlign w:val="bottom"/>
            <w:shd w:val="clear" w:color="auto" w:fill="CCECFF"/>
          </w:tcPr>
          <w:p>
            <w:pPr>
              <w:spacing w:after="0"/>
              <w:rPr>
                <w:sz w:val="22"/>
                <w:szCs w:val="22"/>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583,997</w:t>
            </w:r>
          </w:p>
        </w:tc>
        <w:tc>
          <w:tcPr>
            <w:tcW w:w="28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367,446</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200"/>
              <w:spacing w:after="0"/>
              <w:rPr>
                <w:sz w:val="20"/>
                <w:szCs w:val="20"/>
                <w:color w:val="auto"/>
              </w:rPr>
            </w:pPr>
            <w:r>
              <w:rPr>
                <w:rFonts w:ascii="Arial" w:cs="Arial" w:eastAsia="Arial" w:hAnsi="Arial"/>
                <w:sz w:val="18"/>
                <w:szCs w:val="18"/>
                <w:color w:val="auto"/>
              </w:rPr>
              <w:t>Proceeds from sale of equity investments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43,197</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3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CFF"/>
          </w:tcPr>
          <w:p>
            <w:pPr>
              <w:spacing w:after="0"/>
              <w:rPr>
                <w:sz w:val="22"/>
                <w:szCs w:val="22"/>
                <w:color w:val="auto"/>
              </w:rPr>
            </w:pPr>
          </w:p>
        </w:tc>
        <w:tc>
          <w:tcPr>
            <w:tcW w:w="136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(487 )</w:t>
            </w:r>
          </w:p>
        </w:tc>
        <w:tc>
          <w:tcPr>
            <w:tcW w:w="300" w:type="dxa"/>
            <w:vAlign w:val="bottom"/>
            <w:shd w:val="clear" w:color="auto" w:fill="CCECFF"/>
          </w:tcPr>
          <w:p>
            <w:pPr>
              <w:spacing w:after="0"/>
              <w:rPr>
                <w:sz w:val="22"/>
                <w:szCs w:val="22"/>
                <w:color w:val="auto"/>
              </w:rPr>
            </w:pPr>
          </w:p>
        </w:tc>
        <w:tc>
          <w:tcPr>
            <w:tcW w:w="10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(4,155 )</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5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(264,429 )</w:t>
            </w:r>
          </w:p>
        </w:tc>
        <w:tc>
          <w:tcPr>
            <w:tcW w:w="3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(277,022 )</w:t>
            </w:r>
          </w:p>
        </w:tc>
        <w:tc>
          <w:tcPr>
            <w:tcW w:w="0" w:type="dxa"/>
            <w:vAlign w:val="bottom"/>
          </w:tcPr>
          <w:p>
            <w:pPr>
              <w:spacing w:after="0"/>
              <w:rPr>
                <w:sz w:val="1"/>
                <w:szCs w:val="1"/>
                <w:color w:val="auto"/>
              </w:rPr>
            </w:pPr>
          </w:p>
        </w:tc>
      </w:tr>
      <w:tr>
        <w:trPr>
          <w:trHeight w:val="250"/>
        </w:trPr>
        <w:tc>
          <w:tcPr>
            <w:tcW w:w="830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Borders>
              <w:top w:val="single" w:sz="8" w:color="auto"/>
            </w:tcBorders>
            <w:shd w:val="clear" w:color="auto" w:fill="CCECFF"/>
          </w:tcPr>
          <w:p>
            <w:pPr>
              <w:spacing w:after="0"/>
              <w:rPr>
                <w:sz w:val="21"/>
                <w:szCs w:val="21"/>
                <w:color w:val="auto"/>
              </w:rPr>
            </w:pPr>
          </w:p>
        </w:tc>
        <w:tc>
          <w:tcPr>
            <w:tcW w:w="1080" w:type="dxa"/>
            <w:vAlign w:val="bottom"/>
            <w:tcBorders>
              <w:top w:val="single" w:sz="8" w:color="auto"/>
            </w:tcBorders>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300" w:type="dxa"/>
            <w:vAlign w:val="bottom"/>
            <w:tcBorders>
              <w:top w:val="single" w:sz="8" w:color="auto"/>
            </w:tcBorders>
            <w:shd w:val="clear" w:color="auto" w:fill="CCECFF"/>
          </w:tcPr>
          <w:p>
            <w:pPr>
              <w:spacing w:after="0"/>
              <w:rPr>
                <w:sz w:val="21"/>
                <w:szCs w:val="21"/>
                <w:color w:val="auto"/>
              </w:rPr>
            </w:pPr>
          </w:p>
        </w:tc>
        <w:tc>
          <w:tcPr>
            <w:tcW w:w="960" w:type="dxa"/>
            <w:vAlign w:val="bottom"/>
            <w:tcBorders>
              <w:top w:val="single" w:sz="8" w:color="auto"/>
            </w:tcBorders>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200"/>
              <w:spacing w:after="0"/>
              <w:rPr>
                <w:sz w:val="20"/>
                <w:szCs w:val="20"/>
                <w:color w:val="auto"/>
              </w:rPr>
            </w:pPr>
            <w:r>
              <w:rPr>
                <w:rFonts w:ascii="Arial" w:cs="Arial" w:eastAsia="Arial" w:hAnsi="Arial"/>
                <w:sz w:val="18"/>
                <w:szCs w:val="18"/>
                <w:color w:val="auto"/>
              </w:rPr>
              <w:t>Proceeds from the issuance of common stock in connection with the license agreement, net</w:t>
            </w:r>
          </w:p>
        </w:tc>
        <w:tc>
          <w:tcPr>
            <w:tcW w:w="22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55,268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3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Proceeds from the issuance of common stock in connection with at-the-market offering, net</w:t>
            </w:r>
          </w:p>
        </w:tc>
        <w:tc>
          <w:tcPr>
            <w:tcW w:w="220" w:type="dxa"/>
            <w:vAlign w:val="bottom"/>
            <w:shd w:val="clear" w:color="auto" w:fill="CCECFF"/>
          </w:tcPr>
          <w:p>
            <w:pPr>
              <w:spacing w:after="0"/>
              <w:rPr>
                <w:sz w:val="22"/>
                <w:szCs w:val="22"/>
                <w:color w:val="auto"/>
              </w:rPr>
            </w:pPr>
          </w:p>
        </w:tc>
        <w:tc>
          <w:tcPr>
            <w:tcW w:w="1360" w:type="dxa"/>
            <w:vAlign w:val="bottom"/>
            <w:gridSpan w:val="2"/>
            <w:shd w:val="clear" w:color="auto" w:fill="CCEC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CFF"/>
          </w:tcPr>
          <w:p>
            <w:pPr>
              <w:spacing w:after="0"/>
              <w:rPr>
                <w:sz w:val="22"/>
                <w:szCs w:val="22"/>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20,391</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8300" w:type="dxa"/>
            <w:vAlign w:val="bottom"/>
          </w:tcPr>
          <w:p>
            <w:pPr>
              <w:ind w:left="200"/>
              <w:spacing w:after="0"/>
              <w:rPr>
                <w:sz w:val="20"/>
                <w:szCs w:val="20"/>
                <w:color w:val="auto"/>
              </w:rPr>
            </w:pPr>
            <w:r>
              <w:rPr>
                <w:rFonts w:ascii="Arial" w:cs="Arial" w:eastAsia="Arial" w:hAnsi="Arial"/>
                <w:sz w:val="18"/>
                <w:szCs w:val="18"/>
                <w:color w:val="auto"/>
              </w:rPr>
              <w:t>Proceeds from the issuance of common stock from exercise of warrants and equity plan</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00" w:type="dxa"/>
            <w:vAlign w:val="bottom"/>
          </w:tcPr>
          <w:p>
            <w:pPr>
              <w:ind w:left="380"/>
              <w:spacing w:after="0"/>
              <w:rPr>
                <w:sz w:val="20"/>
                <w:szCs w:val="20"/>
                <w:color w:val="auto"/>
              </w:rPr>
            </w:pPr>
            <w:r>
              <w:rPr>
                <w:rFonts w:ascii="Arial" w:cs="Arial" w:eastAsia="Arial" w:hAnsi="Arial"/>
                <w:sz w:val="18"/>
                <w:szCs w:val="18"/>
                <w:color w:val="auto"/>
              </w:rPr>
              <w:t>awards, net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33,177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3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CFF"/>
          </w:tcPr>
          <w:p>
            <w:pPr>
              <w:spacing w:after="0"/>
              <w:rPr>
                <w:sz w:val="22"/>
                <w:szCs w:val="22"/>
                <w:color w:val="auto"/>
              </w:rPr>
            </w:pPr>
          </w:p>
        </w:tc>
        <w:tc>
          <w:tcPr>
            <w:tcW w:w="136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(350 )</w:t>
            </w:r>
          </w:p>
        </w:tc>
        <w:tc>
          <w:tcPr>
            <w:tcW w:w="300" w:type="dxa"/>
            <w:vAlign w:val="bottom"/>
            <w:shd w:val="clear" w:color="auto" w:fill="CCECFF"/>
          </w:tcPr>
          <w:p>
            <w:pPr>
              <w:spacing w:after="0"/>
              <w:rPr>
                <w:sz w:val="22"/>
                <w:szCs w:val="22"/>
                <w:color w:val="auto"/>
              </w:rPr>
            </w:pPr>
          </w:p>
        </w:tc>
        <w:tc>
          <w:tcPr>
            <w:tcW w:w="10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50"/>
        </w:trPr>
        <w:tc>
          <w:tcPr>
            <w:tcW w:w="8300" w:type="dxa"/>
            <w:vAlign w:val="bottom"/>
            <w:tcBorders>
              <w:top w:val="single" w:sz="8" w:color="CCECFF"/>
            </w:tcBorders>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32,827</w:t>
            </w:r>
          </w:p>
        </w:tc>
        <w:tc>
          <w:tcPr>
            <w:tcW w:w="280" w:type="dxa"/>
            <w:vAlign w:val="bottom"/>
            <w:tcBorders>
              <w:top w:val="single" w:sz="8" w:color="CCEC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110,561</w:t>
            </w:r>
          </w:p>
        </w:tc>
        <w:tc>
          <w:tcPr>
            <w:tcW w:w="100" w:type="dxa"/>
            <w:vAlign w:val="bottom"/>
            <w:tcBorders>
              <w:top w:val="single" w:sz="8" w:color="CCEC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00" w:type="dxa"/>
            <w:vAlign w:val="bottom"/>
            <w:shd w:val="clear" w:color="auto" w:fill="CCEC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CECFF"/>
          </w:tcPr>
          <w:p>
            <w:pPr>
              <w:spacing w:after="0"/>
              <w:rPr>
                <w:sz w:val="21"/>
                <w:szCs w:val="21"/>
                <w:color w:val="auto"/>
              </w:rPr>
            </w:pPr>
          </w:p>
        </w:tc>
        <w:tc>
          <w:tcPr>
            <w:tcW w:w="136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(802 )</w:t>
            </w:r>
          </w:p>
        </w:tc>
        <w:tc>
          <w:tcPr>
            <w:tcW w:w="30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0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(516,755 )</w:t>
            </w:r>
          </w:p>
        </w:tc>
        <w:tc>
          <w:tcPr>
            <w:tcW w:w="3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(235,990 )</w:t>
            </w:r>
          </w:p>
        </w:tc>
        <w:tc>
          <w:tcPr>
            <w:tcW w:w="0" w:type="dxa"/>
            <w:vAlign w:val="bottom"/>
          </w:tcPr>
          <w:p>
            <w:pPr>
              <w:spacing w:after="0"/>
              <w:rPr>
                <w:sz w:val="1"/>
                <w:szCs w:val="1"/>
                <w:color w:val="auto"/>
              </w:rPr>
            </w:pPr>
          </w:p>
        </w:tc>
      </w:tr>
      <w:tr>
        <w:trPr>
          <w:trHeight w:val="257"/>
        </w:trPr>
        <w:tc>
          <w:tcPr>
            <w:tcW w:w="83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0" w:type="dxa"/>
            <w:vAlign w:val="bottom"/>
            <w:tcBorders>
              <w:bottom w:val="single" w:sz="8" w:color="auto"/>
            </w:tcBorders>
            <w:shd w:val="clear" w:color="auto" w:fill="CCECFF"/>
          </w:tcPr>
          <w:p>
            <w:pPr>
              <w:spacing w:after="0"/>
              <w:rPr>
                <w:sz w:val="22"/>
                <w:szCs w:val="22"/>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726,294</w:t>
            </w:r>
          </w:p>
        </w:tc>
        <w:tc>
          <w:tcPr>
            <w:tcW w:w="280" w:type="dxa"/>
            <w:vAlign w:val="bottom"/>
            <w:tcBorders>
              <w:bottom w:val="single" w:sz="8" w:color="CCECFF"/>
            </w:tcBorders>
            <w:shd w:val="clear" w:color="auto" w:fill="CCECFF"/>
          </w:tcPr>
          <w:p>
            <w:pPr>
              <w:spacing w:after="0"/>
              <w:rPr>
                <w:sz w:val="22"/>
                <w:szCs w:val="22"/>
                <w:color w:val="auto"/>
              </w:rPr>
            </w:pPr>
          </w:p>
        </w:tc>
        <w:tc>
          <w:tcPr>
            <w:tcW w:w="300" w:type="dxa"/>
            <w:vAlign w:val="bottom"/>
            <w:tcBorders>
              <w:bottom w:val="single" w:sz="8" w:color="auto"/>
            </w:tcBorders>
            <w:shd w:val="clear" w:color="auto" w:fill="CCECFF"/>
          </w:tcPr>
          <w:p>
            <w:pPr>
              <w:spacing w:after="0"/>
              <w:rPr>
                <w:sz w:val="22"/>
                <w:szCs w:val="22"/>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436,244</w:t>
            </w:r>
          </w:p>
        </w:tc>
        <w:tc>
          <w:tcPr>
            <w:tcW w:w="10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3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209,539</w:t>
            </w:r>
          </w:p>
        </w:tc>
        <w:tc>
          <w:tcPr>
            <w:tcW w:w="28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200,254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0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08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96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information:</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83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Acquired lease liabilities arising from obtaining right-of-use assets</w:t>
            </w: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2,610</w:t>
            </w:r>
          </w:p>
        </w:tc>
        <w:tc>
          <w:tcPr>
            <w:tcW w:w="28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13,195</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6078855</wp:posOffset>
            </wp:positionH>
            <wp:positionV relativeFrom="paragraph">
              <wp:posOffset>-4006850</wp:posOffset>
            </wp:positionV>
            <wp:extent cx="205740" cy="196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-4006850</wp:posOffset>
            </wp:positionV>
            <wp:extent cx="85090" cy="196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090" cy="196850"/>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-2532380</wp:posOffset>
            </wp:positionV>
            <wp:extent cx="205740" cy="196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-2532380</wp:posOffset>
            </wp:positionV>
            <wp:extent cx="85090" cy="196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090" cy="19685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-1384935</wp:posOffset>
            </wp:positionV>
            <wp:extent cx="18034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-1384935</wp:posOffset>
            </wp:positionV>
            <wp:extent cx="5969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-1042035</wp:posOffset>
            </wp:positionV>
            <wp:extent cx="1803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-1042035</wp:posOffset>
            </wp:positionV>
            <wp:extent cx="5969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-708025</wp:posOffset>
            </wp:positionV>
            <wp:extent cx="18034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-708025</wp:posOffset>
            </wp:positionV>
            <wp:extent cx="5969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1803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1803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10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Ultragenyx Pharmaceutical Inc. (the Company) is a biopharmaceutical company incorporated in Delaware.</w:t>
      </w:r>
    </w:p>
    <w:p>
      <w:pPr>
        <w:spacing w:after="0" w:line="104" w:lineRule="exact"/>
        <w:rPr>
          <w:sz w:val="20"/>
          <w:szCs w:val="20"/>
          <w:color w:val="auto"/>
        </w:rPr>
      </w:pPr>
    </w:p>
    <w:p>
      <w:pPr>
        <w:ind w:right="120" w:firstLine="509"/>
        <w:spacing w:after="0" w:line="308" w:lineRule="auto"/>
        <w:rPr>
          <w:sz w:val="20"/>
          <w:szCs w:val="20"/>
          <w:color w:val="auto"/>
        </w:rPr>
      </w:pPr>
      <w:r>
        <w:rPr>
          <w:rFonts w:ascii="Arial" w:cs="Arial" w:eastAsia="Arial" w:hAnsi="Arial"/>
          <w:sz w:val="16"/>
          <w:szCs w:val="16"/>
          <w:color w:val="auto"/>
        </w:rPr>
        <w:t>The Company is focused on the identification, acquisition, development, and commercialization of novel products for the treatment of serious rare and ultra-rare genetic diseases. The Company operates as one reportable segment. The Company has three commercially approved products. Crysvita® (burosumab) is approved in the United States by the U.S. Food and Drug Administration (FDA) and in Canada for the treatment of X-linked hypophosphatemia (XLH) in adult and pediatric patients one year of age and older, and is approved in the European Union (EU) and the United Kingdom, for the treatment of XLH with radiographic evidence of bone disease in children one year of age and older, adolescents, and adults. In Brazil, Colombia, and Mexico, Crysvita is approved for treatment of XLH in adult and pediatric patients one year of age and older. Crysvita is also approved in the United States by the FDA for the treatment of fibroblast growth factor 23 (FGF23)-related hypophosphatemia in tumor-induced osteomalacia (TIO), associated with phosphaturic mesenchymal tumors that cannot be curatively resected or localized in adults and pediatric patients 2 years of age and older.</w:t>
      </w:r>
    </w:p>
    <w:p>
      <w:pPr>
        <w:spacing w:after="0" w:line="21" w:lineRule="exact"/>
        <w:rPr>
          <w:sz w:val="20"/>
          <w:szCs w:val="20"/>
          <w:color w:val="auto"/>
        </w:rPr>
      </w:pPr>
    </w:p>
    <w:p>
      <w:pPr>
        <w:ind w:right="180" w:firstLine="509"/>
        <w:spacing w:after="0" w:line="278" w:lineRule="auto"/>
        <w:rPr>
          <w:sz w:val="20"/>
          <w:szCs w:val="20"/>
          <w:color w:val="auto"/>
        </w:rPr>
      </w:pPr>
      <w:r>
        <w:rPr>
          <w:rFonts w:ascii="Arial" w:cs="Arial" w:eastAsia="Arial" w:hAnsi="Arial"/>
          <w:sz w:val="18"/>
          <w:szCs w:val="18"/>
          <w:color w:val="auto"/>
        </w:rPr>
        <w:t>The Company has also received FDA approval for Mepsevii</w:t>
      </w:r>
      <w:r>
        <w:rPr>
          <w:rFonts w:ascii="Arial" w:cs="Arial" w:eastAsia="Arial" w:hAnsi="Arial"/>
          <w:sz w:val="21"/>
          <w:szCs w:val="21"/>
          <w:color w:val="auto"/>
        </w:rPr>
        <w:t>®</w:t>
      </w:r>
      <w:r>
        <w:rPr>
          <w:rFonts w:ascii="Arial" w:cs="Arial" w:eastAsia="Arial" w:hAnsi="Arial"/>
          <w:sz w:val="18"/>
          <w:szCs w:val="18"/>
          <w:color w:val="auto"/>
        </w:rPr>
        <w:t xml:space="preserve"> (vestronidase alfa), the first medicine approved for the treatment of children and adults with mucopolysaccharidosis VII (MPS VII), also known as Sly syndrome. In the European Union and the United Kingdom, Mepsevii is approved under exceptional circumstances for patients of all ages for the treatment of non-neurological manifestations of MPS VII. In Brazil, Mepsevii is approved for the treatment of MPS VII for patients of all ages.</w:t>
      </w:r>
    </w:p>
    <w:p>
      <w:pPr>
        <w:spacing w:after="0" w:line="41" w:lineRule="exact"/>
        <w:rPr>
          <w:sz w:val="20"/>
          <w:szCs w:val="20"/>
          <w:color w:val="auto"/>
        </w:rPr>
      </w:pPr>
    </w:p>
    <w:p>
      <w:pPr>
        <w:ind w:right="60" w:firstLine="509"/>
        <w:spacing w:after="0" w:line="308" w:lineRule="auto"/>
        <w:rPr>
          <w:sz w:val="20"/>
          <w:szCs w:val="20"/>
          <w:color w:val="auto"/>
        </w:rPr>
      </w:pPr>
      <w:r>
        <w:rPr>
          <w:rFonts w:ascii="Arial" w:cs="Arial" w:eastAsia="Arial" w:hAnsi="Arial"/>
          <w:sz w:val="18"/>
          <w:szCs w:val="18"/>
          <w:color w:val="auto"/>
        </w:rPr>
        <w:t>Dojolvi</w:t>
      </w:r>
      <w:r>
        <w:rPr>
          <w:rFonts w:ascii="Arial" w:cs="Arial" w:eastAsia="Arial" w:hAnsi="Arial"/>
          <w:sz w:val="21"/>
          <w:szCs w:val="21"/>
          <w:color w:val="auto"/>
        </w:rPr>
        <w:t>®</w:t>
      </w:r>
      <w:r>
        <w:rPr>
          <w:rFonts w:ascii="Arial" w:cs="Arial" w:eastAsia="Arial" w:hAnsi="Arial"/>
          <w:sz w:val="18"/>
          <w:szCs w:val="18"/>
          <w:color w:val="auto"/>
        </w:rPr>
        <w:t>, formerly known as UX007, is approved in the United States, Canada, and Brazil for the treatment of pediatric and adult patients severely affected by long-chain fatty acid oxidation disorders (LC-FAOD).</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to the approved products, the Company has the following ongoing clinical development programs:</w:t>
      </w:r>
    </w:p>
    <w:p>
      <w:pPr>
        <w:spacing w:after="0" w:line="104"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DTX401 is an adeno-associated virus 8 (AAV8) gene therapy product candidate for the treatment of patients with glycogen storage disease type Ia (GSDIa);</w:t>
      </w:r>
    </w:p>
    <w:p>
      <w:pPr>
        <w:spacing w:after="0" w:line="35" w:lineRule="exact"/>
        <w:rPr>
          <w:sz w:val="20"/>
          <w:szCs w:val="20"/>
          <w:color w:val="auto"/>
        </w:rPr>
      </w:pPr>
    </w:p>
    <w:p>
      <w:pPr>
        <w:ind w:left="700" w:right="640"/>
        <w:spacing w:after="0" w:line="293" w:lineRule="auto"/>
        <w:rPr>
          <w:sz w:val="20"/>
          <w:szCs w:val="20"/>
          <w:color w:val="auto"/>
        </w:rPr>
      </w:pPr>
      <w:r>
        <w:rPr>
          <w:rFonts w:ascii="Arial" w:cs="Arial" w:eastAsia="Arial" w:hAnsi="Arial"/>
          <w:sz w:val="18"/>
          <w:szCs w:val="18"/>
          <w:color w:val="auto"/>
        </w:rPr>
        <w:t>DTX301 is an AAV8 gene therapy product candidate in development for the treatment of patients with ornithine transcarbamylase (OTC) deficiency, the most common urea cycle disorder;</w:t>
      </w:r>
    </w:p>
    <w:p>
      <w:pPr>
        <w:spacing w:after="0" w:line="35" w:lineRule="exact"/>
        <w:rPr>
          <w:sz w:val="20"/>
          <w:szCs w:val="20"/>
          <w:color w:val="auto"/>
        </w:rPr>
      </w:pPr>
    </w:p>
    <w:p>
      <w:pPr>
        <w:ind w:left="700" w:right="40"/>
        <w:spacing w:after="0" w:line="279" w:lineRule="auto"/>
        <w:rPr>
          <w:sz w:val="20"/>
          <w:szCs w:val="20"/>
          <w:color w:val="auto"/>
        </w:rPr>
      </w:pPr>
      <w:r>
        <w:rPr>
          <w:rFonts w:ascii="Arial" w:cs="Arial" w:eastAsia="Arial" w:hAnsi="Arial"/>
          <w:sz w:val="18"/>
          <w:szCs w:val="18"/>
          <w:color w:val="auto"/>
        </w:rPr>
        <w:t>UX143 (setrusumab), which is subject to the Company's collaboration agreement with Mereo BioPharma 3 (Mereo), is a fully human monoclonal antibody that inhibits sclerostin, a protein that acts on a key bone-signaling pathway and inhibits the activity of bone-forming cells for the treatment of patients with osteogenesis imperfect (OI);</w:t>
      </w:r>
    </w:p>
    <w:p>
      <w:pPr>
        <w:spacing w:after="0" w:line="48" w:lineRule="exact"/>
        <w:rPr>
          <w:sz w:val="20"/>
          <w:szCs w:val="20"/>
          <w:color w:val="auto"/>
        </w:rPr>
      </w:pPr>
    </w:p>
    <w:p>
      <w:pPr>
        <w:jc w:val="both"/>
        <w:ind w:left="700" w:right="340"/>
        <w:spacing w:after="0" w:line="279" w:lineRule="auto"/>
        <w:rPr>
          <w:sz w:val="20"/>
          <w:szCs w:val="20"/>
          <w:color w:val="auto"/>
        </w:rPr>
      </w:pPr>
      <w:r>
        <w:rPr>
          <w:rFonts w:ascii="Arial" w:cs="Arial" w:eastAsia="Arial" w:hAnsi="Arial"/>
          <w:sz w:val="18"/>
          <w:szCs w:val="18"/>
          <w:color w:val="auto"/>
        </w:rPr>
        <w:t>GTX-102 is an antisense oligonucleotide (ASO), which the Company is collaborating on the development with GeneTx Biotherapeutics LLC (GeneTx) for the treatment of Angelman syndrome, a debilitating and rare neurogenetic disorder caused by loss-of-function of the maternally inherited allele of the UBE3A gene;</w:t>
      </w:r>
    </w:p>
    <w:p>
      <w:pPr>
        <w:spacing w:after="0" w:line="48" w:lineRule="exact"/>
        <w:rPr>
          <w:sz w:val="20"/>
          <w:szCs w:val="20"/>
          <w:color w:val="auto"/>
        </w:rPr>
      </w:pPr>
    </w:p>
    <w:p>
      <w:pPr>
        <w:ind w:left="700" w:right="80"/>
        <w:spacing w:after="0" w:line="279" w:lineRule="auto"/>
        <w:rPr>
          <w:sz w:val="20"/>
          <w:szCs w:val="20"/>
          <w:color w:val="auto"/>
        </w:rPr>
      </w:pPr>
      <w:r>
        <w:rPr>
          <w:rFonts w:ascii="Arial" w:cs="Arial" w:eastAsia="Arial" w:hAnsi="Arial"/>
          <w:sz w:val="18"/>
          <w:szCs w:val="18"/>
          <w:color w:val="auto"/>
        </w:rPr>
        <w:t>UX701 is an AAV type 9 gene therapy designed to deliver stable expression of a truncated version of the ATP7B copper transporter following a single intravenous infusion to improve copper distribution and excretion from the body and reverse pathological findings of Wilson liver disease; and</w:t>
      </w:r>
    </w:p>
    <w:p>
      <w:pPr>
        <w:spacing w:after="0" w:line="48" w:lineRule="exact"/>
        <w:rPr>
          <w:sz w:val="20"/>
          <w:szCs w:val="20"/>
          <w:color w:val="auto"/>
        </w:rPr>
      </w:pPr>
    </w:p>
    <w:p>
      <w:pPr>
        <w:ind w:left="700" w:right="60"/>
        <w:spacing w:after="0" w:line="352" w:lineRule="auto"/>
        <w:rPr>
          <w:sz w:val="20"/>
          <w:szCs w:val="20"/>
          <w:color w:val="auto"/>
        </w:rPr>
      </w:pPr>
      <w:r>
        <w:rPr>
          <w:rFonts w:ascii="Arial" w:cs="Arial" w:eastAsia="Arial" w:hAnsi="Arial"/>
          <w:sz w:val="16"/>
          <w:szCs w:val="16"/>
          <w:color w:val="auto"/>
        </w:rPr>
        <w:t>UX053 is a messenger RNA (mRNA) product candidate designed for the treatment of patients with Glycogen Storage Disease Type III (GSDIII), a disease caused by a glycogen debranching enzyme (AGL) deficiency that results in glycogen accumulation in the liver and muscle.</w:t>
      </w:r>
    </w:p>
    <w:p>
      <w:pPr>
        <w:ind w:right="140" w:firstLine="509"/>
        <w:spacing w:after="0" w:line="272" w:lineRule="auto"/>
        <w:rPr>
          <w:sz w:val="20"/>
          <w:szCs w:val="20"/>
          <w:color w:val="auto"/>
        </w:rPr>
      </w:pPr>
      <w:r>
        <w:rPr>
          <w:rFonts w:ascii="Arial" w:cs="Arial" w:eastAsia="Arial" w:hAnsi="Arial"/>
          <w:sz w:val="18"/>
          <w:szCs w:val="18"/>
          <w:color w:val="auto"/>
        </w:rPr>
        <w:t>The Company has sustained operating losses and expects such annual losses to continue over the next several years. The Company’s ultimate success depends on the outcome of its research and development and commercialization activities, for which it expects to incur additional losses in the future. Management recognizes that the Company will need to raise additional capital to fully implement its business plans. Through September 30, 2021, the Company has relied primarily on its sale of equity securities, its revenues from commercial products, its sale of future royalties, and strategic collaboration arrangements to finance its operations.</w:t>
      </w:r>
    </w:p>
    <w:p>
      <w:pPr>
        <w:spacing w:after="0" w:line="56"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The Company will likely raise additional capital through the issuance of equity, borrowings, or strategic alliances with partner companies. However, if such financing is not available at adequate levels, the Company would need to reevaluate its operating plans.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ind w:right="7500" w:firstLine="8"/>
        <w:spacing w:after="0" w:line="362" w:lineRule="auto"/>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The accompanying unaudited Condensed Consolidated Financial Statements include the accounts of the Company and its wholly-owned subsidiaries and have been prepared in accordance with U.S. generally accepted accounting principles (GAAP) for interim financial information and in accordance with the instructions to Form 10-Q and Rule 10-01 of Regulation S-X. Accordingly, they do not include all of the information and footnotes required by GAAP for complete financial statements. The unaudited interim Condensed Consolidated Financial Statements have been prepared on the same basis as the annual financial statements. In the opinion of management, the accompanying unaudited Condensed Consolidated Financial Statements reflect all adjustments (consisting only of normal recurring adjustments) considered necessary for a fair presentation. These financial statements should be read in conjunction with the audited financial statements and notes thereto for the preceding fiscal year contained in the Company’s Annual Report on Form 10-K filed on February 12, 2021 with the United States Securities and Exchange Commission (the SEC).</w:t>
      </w:r>
    </w:p>
    <w:p>
      <w:pPr>
        <w:spacing w:after="0" w:line="28" w:lineRule="exact"/>
        <w:rPr>
          <w:sz w:val="20"/>
          <w:szCs w:val="20"/>
          <w:color w:val="auto"/>
        </w:rPr>
      </w:pPr>
    </w:p>
    <w:p>
      <w:pPr>
        <w:jc w:val="both"/>
        <w:ind w:right="100" w:firstLine="509"/>
        <w:spacing w:after="0" w:line="303" w:lineRule="auto"/>
        <w:rPr>
          <w:sz w:val="20"/>
          <w:szCs w:val="20"/>
          <w:color w:val="auto"/>
        </w:rPr>
      </w:pPr>
      <w:r>
        <w:rPr>
          <w:rFonts w:ascii="Arial" w:cs="Arial" w:eastAsia="Arial" w:hAnsi="Arial"/>
          <w:sz w:val="17"/>
          <w:szCs w:val="17"/>
          <w:color w:val="auto"/>
        </w:rPr>
        <w:t>The results of operations for the three and nine months ended September 30, 2021 are not necessarily indicative of the results to be expected for the year ending December 31, 2021. The Condensed Consolidated Balance Sheet as of December 31, 2020 has been derived from audited financial statements at that date, but does not include all of the information required by GAAP for complete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right="60" w:firstLine="509"/>
        <w:spacing w:after="0" w:line="270"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GAAP. The preparation of the Condensed Consolidated Financial Statements in conformity with GAAP requires management to make estimates and assumptions that affect the reported amounts of assets and liabilities, disclosure of contingent liabilities and the reported amounts of expenses in the Condensed Consolidated Financial Statements and the accompanying notes. On an ongoing basis, management evaluates its estimates, including those related to clinical trial accruals, fair value of assets and liabilities, income taxes, stock-based compensation, and the liability related to the sale of future royalties. Management bases its estimates on historical experience and on various other market-specific and relevant assumptions that management believes to be reasonable under the circumstances. Actual results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08" w:lineRule="exact"/>
        <w:rPr>
          <w:sz w:val="20"/>
          <w:szCs w:val="20"/>
          <w:color w:val="auto"/>
        </w:rPr>
      </w:pPr>
    </w:p>
    <w:p>
      <w:pPr>
        <w:ind w:right="20" w:firstLine="464"/>
        <w:spacing w:after="0" w:line="275" w:lineRule="auto"/>
        <w:rPr>
          <w:sz w:val="20"/>
          <w:szCs w:val="20"/>
          <w:color w:val="auto"/>
        </w:rPr>
      </w:pPr>
      <w:r>
        <w:rPr>
          <w:rFonts w:ascii="Arial" w:cs="Arial" w:eastAsia="Arial" w:hAnsi="Arial"/>
          <w:sz w:val="18"/>
          <w:szCs w:val="18"/>
          <w:color w:val="auto"/>
        </w:rPr>
        <w:t>Restricted cash primarily consists of money market accounts used as collateral for the Company’s obligations under its facility leases and the gene therapy building construction project. The following table provides a reconciliation of cash, cash equivalents, and restricted cash reported within the Condensed Consolidated Balance Sheets that sum to the total of the same such amounts shown in the Condensed Consolidated Statement of Cash Flows (in thousands):</w:t>
      </w:r>
    </w:p>
    <w:p>
      <w:pPr>
        <w:spacing w:after="0" w:line="123" w:lineRule="exact"/>
        <w:rPr>
          <w:sz w:val="20"/>
          <w:szCs w:val="20"/>
          <w:color w:val="auto"/>
        </w:rPr>
      </w:pPr>
    </w:p>
    <w:tbl>
      <w:tblPr>
        <w:tblLayout w:type="fixed"/>
        <w:tblInd w:w="226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00" w:type="dxa"/>
            <w:vAlign w:val="bottom"/>
            <w:shd w:val="clear" w:color="auto" w:fill="CCEC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C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197,538</w:t>
            </w:r>
          </w:p>
        </w:tc>
        <w:tc>
          <w:tcPr>
            <w:tcW w:w="58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197,486</w:t>
            </w:r>
          </w:p>
        </w:tc>
        <w:tc>
          <w:tcPr>
            <w:tcW w:w="12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100" w:type="dxa"/>
            <w:vAlign w:val="bottom"/>
          </w:tcPr>
          <w:p>
            <w:pPr>
              <w:spacing w:after="0"/>
              <w:rPr>
                <w:sz w:val="20"/>
                <w:szCs w:val="20"/>
                <w:color w:val="auto"/>
              </w:rPr>
            </w:pPr>
            <w:r>
              <w:rPr>
                <w:rFonts w:ascii="Arial" w:cs="Arial" w:eastAsia="Arial" w:hAnsi="Arial"/>
                <w:sz w:val="18"/>
                <w:szCs w:val="18"/>
                <w:color w:val="auto"/>
              </w:rPr>
              <w:t>Restricted cash included in prepaid expenses and</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1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Restricted cash included in other assets</w:t>
            </w:r>
          </w:p>
        </w:tc>
        <w:tc>
          <w:tcPr>
            <w:tcW w:w="260" w:type="dxa"/>
            <w:vAlign w:val="bottom"/>
            <w:tcBorders>
              <w:bottom w:val="single" w:sz="8" w:color="auto"/>
            </w:tcBorders>
            <w:shd w:val="clear" w:color="auto" w:fill="CCECFF"/>
          </w:tcPr>
          <w:p>
            <w:pPr>
              <w:spacing w:after="0"/>
              <w:rPr>
                <w:sz w:val="22"/>
                <w:szCs w:val="22"/>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2,001</w:t>
            </w:r>
          </w:p>
        </w:tc>
        <w:tc>
          <w:tcPr>
            <w:tcW w:w="220" w:type="dxa"/>
            <w:vAlign w:val="bottom"/>
            <w:tcBorders>
              <w:bottom w:val="single" w:sz="8" w:color="CCECFF"/>
            </w:tcBorders>
            <w:shd w:val="clear" w:color="auto" w:fill="CCECFF"/>
          </w:tcPr>
          <w:p>
            <w:pPr>
              <w:spacing w:after="0"/>
              <w:rPr>
                <w:sz w:val="22"/>
                <w:szCs w:val="22"/>
                <w:color w:val="auto"/>
              </w:rPr>
            </w:pPr>
          </w:p>
        </w:tc>
        <w:tc>
          <w:tcPr>
            <w:tcW w:w="360" w:type="dxa"/>
            <w:vAlign w:val="bottom"/>
            <w:tcBorders>
              <w:bottom w:val="single" w:sz="8" w:color="auto"/>
            </w:tcBorders>
            <w:shd w:val="clear" w:color="auto" w:fill="CCECFF"/>
          </w:tcPr>
          <w:p>
            <w:pPr>
              <w:spacing w:after="0"/>
              <w:rPr>
                <w:sz w:val="22"/>
                <w:szCs w:val="22"/>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1,921</w:t>
            </w:r>
          </w:p>
        </w:tc>
        <w:tc>
          <w:tcPr>
            <w:tcW w:w="12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10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260" w:type="dxa"/>
            <w:vAlign w:val="bottom"/>
            <w:vMerge w:val="restart"/>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209,539</w:t>
            </w: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200,254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100" w:type="dxa"/>
            <w:vAlign w:val="bottom"/>
          </w:tcPr>
          <w:p>
            <w:pPr>
              <w:ind w:left="180"/>
              <w:spacing w:after="0" w:line="203" w:lineRule="exact"/>
              <w:rPr>
                <w:sz w:val="20"/>
                <w:szCs w:val="20"/>
                <w:color w:val="auto"/>
              </w:rPr>
            </w:pPr>
            <w:r>
              <w:rPr>
                <w:rFonts w:ascii="Arial" w:cs="Arial" w:eastAsia="Arial" w:hAnsi="Arial"/>
                <w:sz w:val="18"/>
                <w:szCs w:val="18"/>
                <w:color w:val="auto"/>
              </w:rPr>
              <w:t>shown in the statements of cash flows</w:t>
            </w:r>
          </w:p>
        </w:tc>
        <w:tc>
          <w:tcPr>
            <w:tcW w:w="2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-313690</wp:posOffset>
            </wp:positionV>
            <wp:extent cx="14605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-313690</wp:posOffset>
            </wp:positionV>
            <wp:extent cx="7747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Losses</w:t>
      </w:r>
    </w:p>
    <w:p>
      <w:pPr>
        <w:spacing w:after="0" w:line="81" w:lineRule="exact"/>
        <w:rPr>
          <w:sz w:val="20"/>
          <w:szCs w:val="20"/>
          <w:color w:val="auto"/>
        </w:rPr>
      </w:pPr>
    </w:p>
    <w:p>
      <w:pPr>
        <w:ind w:right="240" w:firstLine="469"/>
        <w:spacing w:after="0" w:line="275" w:lineRule="auto"/>
        <w:rPr>
          <w:sz w:val="20"/>
          <w:szCs w:val="20"/>
          <w:color w:val="auto"/>
        </w:rPr>
      </w:pPr>
      <w:r>
        <w:rPr>
          <w:rFonts w:ascii="Arial" w:cs="Arial" w:eastAsia="Arial" w:hAnsi="Arial"/>
          <w:sz w:val="18"/>
          <w:szCs w:val="18"/>
          <w:color w:val="auto"/>
        </w:rPr>
        <w:t>The Company is exposed to credit losses primarily through receivables from customers and collaborators and through its available-for-sale debt securities. For trade receivables and other instruments, the Company uses a new forward-looking expected loss model that generally results in the earlier recognition of allowances for losses. For available-for-sale debt securities with unrealized losses, the losses are recognized as allowances rather than as reductions in the amortized cost of the securities.</w:t>
      </w:r>
    </w:p>
    <w:p>
      <w:pPr>
        <w:spacing w:after="0" w:line="50" w:lineRule="exact"/>
        <w:rPr>
          <w:sz w:val="20"/>
          <w:szCs w:val="20"/>
          <w:color w:val="auto"/>
        </w:rPr>
      </w:pPr>
    </w:p>
    <w:p>
      <w:pPr>
        <w:ind w:right="60" w:firstLine="509"/>
        <w:spacing w:after="0" w:line="309" w:lineRule="auto"/>
        <w:rPr>
          <w:sz w:val="20"/>
          <w:szCs w:val="20"/>
          <w:color w:val="auto"/>
        </w:rPr>
      </w:pPr>
      <w:r>
        <w:rPr>
          <w:rFonts w:ascii="Arial" w:cs="Arial" w:eastAsia="Arial" w:hAnsi="Arial"/>
          <w:sz w:val="16"/>
          <w:szCs w:val="16"/>
          <w:color w:val="auto"/>
        </w:rPr>
        <w:t>The Company’s expected loss allowance methodology for the receivables is developed using historical collection experience, current and future economic market conditions, a review of the current aging status and financial condition of the entities. Specific allowance amounts are established to record the appropriate allowance for customers that have a higher probability of default. Balances are written off when determined to be uncollectible. The Company’s expected loss allowance methodology for the debt securities is developed by reviewing the extent of the unrealized loss, the size, term, geographical location, and industry of the issuer, the issuers’ credit ratings and any changes in those ratings, as well as reviewing current and future economic market conditions and the issuers’ current status and financial condition. There was no material allowance recorded for losses on receivables and available-for-sale debt securities which were attributable to credit risk for the three and nine months ended September 30, 2021 and 2020.</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license revenue</w:t>
      </w:r>
    </w:p>
    <w:p>
      <w:pPr>
        <w:spacing w:after="0" w:line="90" w:lineRule="exact"/>
        <w:rPr>
          <w:sz w:val="20"/>
          <w:szCs w:val="20"/>
          <w:color w:val="auto"/>
        </w:rPr>
      </w:pPr>
    </w:p>
    <w:p>
      <w:pPr>
        <w:ind w:firstLine="526"/>
        <w:spacing w:after="0" w:line="306" w:lineRule="auto"/>
        <w:rPr>
          <w:sz w:val="20"/>
          <w:szCs w:val="20"/>
          <w:color w:val="auto"/>
        </w:rPr>
      </w:pPr>
      <w:r>
        <w:rPr>
          <w:rFonts w:ascii="Arial" w:cs="Arial" w:eastAsia="Arial" w:hAnsi="Arial"/>
          <w:sz w:val="16"/>
          <w:szCs w:val="16"/>
          <w:color w:val="auto"/>
        </w:rPr>
        <w:t xml:space="preserve">The Company has certain license and collaboration agreements that are within the scope of Accounting Standards Codification (ASC) 808, </w:t>
      </w:r>
      <w:r>
        <w:rPr>
          <w:rFonts w:ascii="Arial" w:cs="Arial" w:eastAsia="Arial" w:hAnsi="Arial"/>
          <w:sz w:val="16"/>
          <w:szCs w:val="16"/>
          <w:i w:val="1"/>
          <w:iCs w:val="1"/>
          <w:color w:val="auto"/>
        </w:rPr>
        <w:t>Collaborative Agreements</w:t>
      </w:r>
      <w:r>
        <w:rPr>
          <w:rFonts w:ascii="Arial" w:cs="Arial" w:eastAsia="Arial" w:hAnsi="Arial"/>
          <w:sz w:val="16"/>
          <w:szCs w:val="16"/>
          <w:color w:val="auto"/>
        </w:rPr>
        <w:t>, which provides guidance on the presentation and disclosure of collaborative arrangements. Generally, the classification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under the collaborative arrangements is determined based on the nature of contractual terms of the arrangement, along with the nature of the operations of the participants. The Company records its share of collaboration revenue, net of transfer pricing related to net sales in the period in which such sales occur, if the Company is considered as an agent in the arrangement. The Company is considered an agent when the collaboration partner controls the product before transfer to the customers and has the ability to direct the use of and obtain substantially all of the remaining benefits from the product. Funding received related to research and development services and commercialization costs is generally classified as a reduction of research and development expenses and selling, general and administrative expenses, respectively, in the Condensed Consolidated Statement of Operations, because the provision of such services for collaborative partners are not considered to be part of the Company’s ongoing major or central operations.</w:t>
      </w:r>
    </w:p>
    <w:p>
      <w:pPr>
        <w:spacing w:after="0" w:line="22" w:lineRule="exact"/>
        <w:rPr>
          <w:sz w:val="20"/>
          <w:szCs w:val="20"/>
          <w:color w:val="auto"/>
        </w:rPr>
      </w:pPr>
    </w:p>
    <w:p>
      <w:pPr>
        <w:jc w:val="both"/>
        <w:ind w:right="180" w:firstLine="526"/>
        <w:spacing w:after="0" w:line="279" w:lineRule="auto"/>
        <w:rPr>
          <w:sz w:val="20"/>
          <w:szCs w:val="20"/>
          <w:color w:val="auto"/>
        </w:rPr>
      </w:pPr>
      <w:r>
        <w:rPr>
          <w:rFonts w:ascii="Arial" w:cs="Arial" w:eastAsia="Arial" w:hAnsi="Arial"/>
          <w:sz w:val="18"/>
          <w:szCs w:val="18"/>
          <w:color w:val="auto"/>
        </w:rPr>
        <w:t>In order to record collaboration revenue, the Company utilizes certain information from its collaboration partners, including revenue from the sale of the product, associated reserves on revenue, and costs incurred for development and sales activities. For the periods covered in the financial statements presented, there have been no material changes to prior period estimates of revenues and expenses.</w:t>
      </w:r>
    </w:p>
    <w:p>
      <w:pPr>
        <w:spacing w:after="0" w:line="48" w:lineRule="exact"/>
        <w:rPr>
          <w:sz w:val="20"/>
          <w:szCs w:val="20"/>
          <w:color w:val="auto"/>
        </w:rPr>
      </w:pPr>
    </w:p>
    <w:p>
      <w:pPr>
        <w:ind w:right="100" w:firstLine="526"/>
        <w:spacing w:after="0" w:line="328" w:lineRule="auto"/>
        <w:rPr>
          <w:sz w:val="20"/>
          <w:szCs w:val="20"/>
          <w:color w:val="auto"/>
        </w:rPr>
      </w:pPr>
      <w:r>
        <w:rPr>
          <w:rFonts w:ascii="Arial" w:cs="Arial" w:eastAsia="Arial" w:hAnsi="Arial"/>
          <w:sz w:val="16"/>
          <w:szCs w:val="16"/>
          <w:color w:val="auto"/>
        </w:rPr>
        <w:t>The Company sold the right to receive certain royalty payments from net sales of Crysvita to RPI Finance Trust (RPI), an affiliate of Royalty Pharma, as further described in Note 7. The Company records the royalty revenue from the net sales of Crysvita in the applicable European territories on a prospective basis as non-cash royalty revenue in the Condensed Consolidated Statements of Operations over the term of the arrangement.</w:t>
      </w:r>
    </w:p>
    <w:p>
      <w:pPr>
        <w:spacing w:after="0" w:line="2" w:lineRule="exact"/>
        <w:rPr>
          <w:sz w:val="20"/>
          <w:szCs w:val="20"/>
          <w:color w:val="auto"/>
        </w:rPr>
      </w:pPr>
    </w:p>
    <w:p>
      <w:pPr>
        <w:ind w:right="20" w:firstLine="530"/>
        <w:spacing w:after="0" w:line="308" w:lineRule="auto"/>
        <w:rPr>
          <w:sz w:val="20"/>
          <w:szCs w:val="20"/>
          <w:color w:val="auto"/>
        </w:rPr>
      </w:pPr>
      <w:r>
        <w:rPr>
          <w:rFonts w:ascii="Arial" w:cs="Arial" w:eastAsia="Arial" w:hAnsi="Arial"/>
          <w:sz w:val="16"/>
          <w:szCs w:val="16"/>
          <w:color w:val="auto"/>
        </w:rPr>
        <w:t xml:space="preserve">The terms of the Company’s collaboration and license agreements may contain multiple performance obligations, which may include licenses and research and development activities. The Company evaluates these agreements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to determine the distinct performance obligations. The Company analogizes to ASC 606 for the accounting for distinct performance obligations for which there is a customer relationship. Prior to recognizing revenue, the Company makes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Total consideration may include nonrefundable upfront license fees, payments for research and development activities, reimbursement of certain third-party costs, payments based upon the achievement of specified milestones, and royalty payments based on product sales derived from the collaboration.</w:t>
      </w:r>
    </w:p>
    <w:p>
      <w:pPr>
        <w:spacing w:after="0" w:line="15" w:lineRule="exact"/>
        <w:rPr>
          <w:sz w:val="20"/>
          <w:szCs w:val="20"/>
          <w:color w:val="auto"/>
        </w:rPr>
      </w:pPr>
    </w:p>
    <w:p>
      <w:pPr>
        <w:ind w:right="120" w:firstLine="530"/>
        <w:spacing w:after="0" w:line="275" w:lineRule="auto"/>
        <w:rPr>
          <w:sz w:val="20"/>
          <w:szCs w:val="20"/>
          <w:color w:val="auto"/>
        </w:rPr>
      </w:pPr>
      <w:r>
        <w:rPr>
          <w:rFonts w:ascii="Arial" w:cs="Arial" w:eastAsia="Arial" w:hAnsi="Arial"/>
          <w:sz w:val="18"/>
          <w:szCs w:val="18"/>
          <w:color w:val="auto"/>
        </w:rPr>
        <w:t>If there are multiple distinct performance obligations, the Company allocates the transaction price to each distinct performance obligation based on its relative standalone selling price. The standalone selling price is generally determined based on the prices charged to customers or using expected cost-plus margin. The Company estimates the efforts needed to complete the performance obligations and recognizes revenue by measuring the progress towards complete satisfaction of the performance obligations using input measures.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90" w:lineRule="exact"/>
        <w:rPr>
          <w:sz w:val="20"/>
          <w:szCs w:val="20"/>
          <w:color w:val="auto"/>
        </w:rPr>
      </w:pPr>
    </w:p>
    <w:p>
      <w:pPr>
        <w:ind w:right="40" w:firstLine="530"/>
        <w:spacing w:after="0" w:line="309" w:lineRule="auto"/>
        <w:rPr>
          <w:sz w:val="20"/>
          <w:szCs w:val="20"/>
          <w:color w:val="auto"/>
        </w:rPr>
      </w:pPr>
      <w:r>
        <w:rPr>
          <w:rFonts w:ascii="Arial" w:cs="Arial" w:eastAsia="Arial" w:hAnsi="Arial"/>
          <w:sz w:val="16"/>
          <w:szCs w:val="16"/>
          <w:color w:val="auto"/>
        </w:rPr>
        <w:t>The Company sells its approved products through a limited number of distributors. Under ASC 606, revenue from product sales is recognized at the point in time when the delivery is made and when title and risk of loss transfers to these distributors. The Company also recognizes revenue from sales of certain products on a “named patient” basis, which are allowed in certain countries prior to the commercial approval of the product. Prior to recognizing revenue, the Company makes estimates of the transaction price, including any variable consideration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Product sales are recorded net of estimated government-mandated rebates and chargebacks, estimated product returns, and other deductions.</w:t>
      </w:r>
    </w:p>
    <w:p>
      <w:pPr>
        <w:spacing w:after="0" w:line="16" w:lineRule="exact"/>
        <w:rPr>
          <w:sz w:val="20"/>
          <w:szCs w:val="20"/>
          <w:color w:val="auto"/>
        </w:rPr>
      </w:pPr>
    </w:p>
    <w:p>
      <w:pPr>
        <w:ind w:right="20" w:firstLine="530"/>
        <w:spacing w:after="0" w:line="292" w:lineRule="auto"/>
        <w:rPr>
          <w:sz w:val="20"/>
          <w:szCs w:val="20"/>
          <w:color w:val="auto"/>
        </w:rPr>
      </w:pPr>
      <w:r>
        <w:rPr>
          <w:rFonts w:ascii="Arial" w:cs="Arial" w:eastAsia="Arial" w:hAnsi="Arial"/>
          <w:sz w:val="17"/>
          <w:szCs w:val="17"/>
          <w:color w:val="auto"/>
        </w:rPr>
        <w:t>Provisions for returns and other adjustments are provided for in the period the related revenue is recorded, as estimated by management. These reserves are based on estimates of the amounts earned or to be claimed on the related sales and are reviewed periodically and adjusted as necessary. The Company’s estimates of government mandated rebates, chargebacks, estimated product returns, and other deductions depends on the identification of key customer contract terms and conditions, as well as estimates of sales volumes to different classes of payors. If actual results vary, the Company may need to adjust these estimates, which could have an effect on earnings in the period of the adjustment.</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 w:name="page13"/>
    <w:bookmarkEnd w:id="12"/>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08"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Financial assets and liabilities are recorded at fair value. The carrying amount of certain financial instruments, including cash and cash equivalents, accounts receivable, accounts payable and accrued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authoritative guidance on fair value measurements establishes a three-tier fair value hierarchy for disclosure of fair value measurements as follows:</w:t>
      </w:r>
    </w:p>
    <w:p>
      <w:pPr>
        <w:spacing w:after="0" w:line="2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104" w:lineRule="exact"/>
        <w:rPr>
          <w:sz w:val="20"/>
          <w:szCs w:val="20"/>
          <w:color w:val="auto"/>
        </w:rPr>
      </w:pPr>
    </w:p>
    <w:p>
      <w:pPr>
        <w:ind w:left="520" w:right="140"/>
        <w:spacing w:after="0" w:line="27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markets that are not active, or other inputs that are observable or can be corroborated by observable market data for substantially the full term of the related assets or liabilities; and</w:t>
      </w:r>
    </w:p>
    <w:p>
      <w:pPr>
        <w:spacing w:after="0" w:line="48" w:lineRule="exact"/>
        <w:rPr>
          <w:sz w:val="20"/>
          <w:szCs w:val="20"/>
          <w:color w:val="auto"/>
        </w:rPr>
      </w:pPr>
    </w:p>
    <w:p>
      <w:pPr>
        <w:ind w:left="520" w:right="300"/>
        <w:spacing w:after="0" w:line="293"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significant to the measurement of the fair value of the assets or liabilities that are supported by little or no</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determines the fair value of its equity investments in Arcturus Therapeutics Holdings Inc. (Arcturus) and Solid Biosciences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(Solid) by using the quoted market prices, which are Level 1 fair value measurements.</w:t>
      </w:r>
    </w:p>
    <w:p>
      <w:pPr>
        <w:spacing w:after="0" w:line="103" w:lineRule="exact"/>
        <w:rPr>
          <w:sz w:val="20"/>
          <w:szCs w:val="20"/>
          <w:color w:val="auto"/>
        </w:rPr>
      </w:pPr>
    </w:p>
    <w:p>
      <w:pPr>
        <w:ind w:right="400" w:firstLine="509"/>
        <w:spacing w:after="0" w:line="293" w:lineRule="auto"/>
        <w:rPr>
          <w:sz w:val="20"/>
          <w:szCs w:val="20"/>
          <w:color w:val="auto"/>
        </w:rPr>
      </w:pPr>
      <w:r>
        <w:rPr>
          <w:rFonts w:ascii="Arial" w:cs="Arial" w:eastAsia="Arial" w:hAnsi="Arial"/>
          <w:sz w:val="18"/>
          <w:szCs w:val="18"/>
          <w:color w:val="auto"/>
        </w:rPr>
        <w:t>The following tables set forth the fair value of the Company’s financial assets remeasured on a recurring basis based on the three-tier fair value hierarchy (in thousands):</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4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20"/>
                <w:szCs w:val="20"/>
                <w:color w:val="auto"/>
              </w:rPr>
            </w:pPr>
          </w:p>
        </w:tc>
      </w:tr>
      <w:tr>
        <w:trPr>
          <w:trHeight w:val="256"/>
        </w:trPr>
        <w:tc>
          <w:tcPr>
            <w:tcW w:w="4040" w:type="dxa"/>
            <w:vAlign w:val="bottom"/>
            <w:shd w:val="clear" w:color="auto" w:fill="CCECFF"/>
          </w:tcPr>
          <w:p>
            <w:pPr>
              <w:ind w:left="18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133,111</w:t>
            </w:r>
          </w:p>
        </w:tc>
        <w:tc>
          <w:tcPr>
            <w:tcW w:w="20" w:type="dxa"/>
            <w:vAlign w:val="bottom"/>
            <w:shd w:val="clear" w:color="auto" w:fill="CCECFF"/>
          </w:tcPr>
          <w:p>
            <w:pPr>
              <w:spacing w:after="0"/>
              <w:rPr>
                <w:sz w:val="22"/>
                <w:szCs w:val="22"/>
                <w:color w:val="auto"/>
              </w:rPr>
            </w:pPr>
          </w:p>
        </w:tc>
        <w:tc>
          <w:tcPr>
            <w:tcW w:w="420" w:type="dxa"/>
            <w:vAlign w:val="bottom"/>
            <w:gridSpan w:val="3"/>
            <w:shd w:val="clear" w:color="auto" w:fill="CCEC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C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CFF"/>
          </w:tcPr>
          <w:p>
            <w:pPr>
              <w:ind w:left="460"/>
              <w:spacing w:after="0"/>
              <w:rPr>
                <w:sz w:val="20"/>
                <w:szCs w:val="20"/>
                <w:color w:val="auto"/>
              </w:rPr>
            </w:pPr>
            <w:r>
              <w:rPr>
                <w:rFonts w:ascii="Arial" w:cs="Arial" w:eastAsia="Arial" w:hAnsi="Arial"/>
                <w:sz w:val="18"/>
                <w:szCs w:val="18"/>
                <w:color w:val="auto"/>
                <w:w w:val="99"/>
              </w:rPr>
              <w:t>—</w:t>
            </w:r>
          </w:p>
        </w:tc>
        <w:tc>
          <w:tcPr>
            <w:tcW w:w="480" w:type="dxa"/>
            <w:vAlign w:val="bottom"/>
            <w:gridSpan w:val="4"/>
            <w:shd w:val="clear" w:color="auto" w:fill="CCEC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133,111</w:t>
            </w:r>
          </w:p>
        </w:tc>
        <w:tc>
          <w:tcPr>
            <w:tcW w:w="60" w:type="dxa"/>
            <w:vAlign w:val="bottom"/>
            <w:shd w:val="clear" w:color="auto" w:fill="CCECFF"/>
          </w:tcPr>
          <w:p>
            <w:pPr>
              <w:spacing w:after="0"/>
              <w:rPr>
                <w:sz w:val="22"/>
                <w:szCs w:val="22"/>
                <w:color w:val="auto"/>
              </w:rPr>
            </w:pPr>
          </w:p>
        </w:tc>
      </w:tr>
      <w:tr>
        <w:trPr>
          <w:trHeight w:val="250"/>
        </w:trPr>
        <w:tc>
          <w:tcPr>
            <w:tcW w:w="4040" w:type="dxa"/>
            <w:vAlign w:val="bottom"/>
          </w:tcPr>
          <w:p>
            <w:pPr>
              <w:ind w:left="180"/>
              <w:spacing w:after="0"/>
              <w:rPr>
                <w:sz w:val="20"/>
                <w:szCs w:val="20"/>
                <w:color w:val="auto"/>
              </w:rPr>
            </w:pPr>
            <w:r>
              <w:rPr>
                <w:rFonts w:ascii="Arial" w:cs="Arial" w:eastAsia="Arial" w:hAnsi="Arial"/>
                <w:sz w:val="18"/>
                <w:szCs w:val="18"/>
                <w:color w:val="auto"/>
              </w:rPr>
              <w:t>Certificate of deposits and time deposits</w:t>
            </w:r>
          </w:p>
        </w:tc>
        <w:tc>
          <w:tcPr>
            <w:tcW w:w="2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17,501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17,501</w:t>
            </w:r>
          </w:p>
        </w:tc>
        <w:tc>
          <w:tcPr>
            <w:tcW w:w="60" w:type="dxa"/>
            <w:vAlign w:val="bottom"/>
          </w:tcPr>
          <w:p>
            <w:pPr>
              <w:spacing w:after="0"/>
              <w:rPr>
                <w:sz w:val="21"/>
                <w:szCs w:val="21"/>
                <w:color w:val="auto"/>
              </w:rPr>
            </w:pPr>
          </w:p>
        </w:tc>
      </w:tr>
      <w:tr>
        <w:trPr>
          <w:trHeight w:val="263"/>
        </w:trPr>
        <w:tc>
          <w:tcPr>
            <w:tcW w:w="4040" w:type="dxa"/>
            <w:vAlign w:val="bottom"/>
            <w:shd w:val="clear" w:color="auto" w:fill="CCECFF"/>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CECFF"/>
          </w:tcPr>
          <w:p>
            <w:pPr>
              <w:spacing w:after="0"/>
              <w:rPr>
                <w:sz w:val="22"/>
                <w:szCs w:val="22"/>
                <w:color w:val="auto"/>
              </w:rPr>
            </w:pPr>
          </w:p>
        </w:tc>
        <w:tc>
          <w:tcPr>
            <w:tcW w:w="9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324,055</w:t>
            </w:r>
          </w:p>
        </w:tc>
        <w:tc>
          <w:tcPr>
            <w:tcW w:w="2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660" w:type="dxa"/>
            <w:vAlign w:val="bottom"/>
            <w:shd w:val="clear" w:color="auto" w:fill="CCECFF"/>
          </w:tcPr>
          <w:p>
            <w:pPr>
              <w:ind w:left="4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324,055</w:t>
            </w:r>
          </w:p>
        </w:tc>
        <w:tc>
          <w:tcPr>
            <w:tcW w:w="60" w:type="dxa"/>
            <w:vAlign w:val="bottom"/>
            <w:shd w:val="clear" w:color="auto" w:fill="CCECFF"/>
          </w:tcPr>
          <w:p>
            <w:pPr>
              <w:spacing w:after="0"/>
              <w:rPr>
                <w:sz w:val="22"/>
                <w:szCs w:val="22"/>
                <w:color w:val="auto"/>
              </w:rPr>
            </w:pPr>
          </w:p>
        </w:tc>
      </w:tr>
      <w:tr>
        <w:trPr>
          <w:trHeight w:val="250"/>
        </w:trPr>
        <w:tc>
          <w:tcPr>
            <w:tcW w:w="40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308,825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308,825</w:t>
            </w:r>
          </w:p>
        </w:tc>
        <w:tc>
          <w:tcPr>
            <w:tcW w:w="60" w:type="dxa"/>
            <w:vAlign w:val="bottom"/>
          </w:tcPr>
          <w:p>
            <w:pPr>
              <w:spacing w:after="0"/>
              <w:rPr>
                <w:sz w:val="21"/>
                <w:szCs w:val="21"/>
                <w:color w:val="auto"/>
              </w:rPr>
            </w:pPr>
          </w:p>
        </w:tc>
      </w:tr>
      <w:tr>
        <w:trPr>
          <w:trHeight w:val="263"/>
        </w:trPr>
        <w:tc>
          <w:tcPr>
            <w:tcW w:w="4040" w:type="dxa"/>
            <w:vAlign w:val="bottom"/>
            <w:shd w:val="clear" w:color="auto" w:fill="CCECFF"/>
          </w:tcPr>
          <w:p>
            <w:pPr>
              <w:ind w:left="18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CFF"/>
          </w:tcPr>
          <w:p>
            <w:pPr>
              <w:spacing w:after="0"/>
              <w:rPr>
                <w:sz w:val="22"/>
                <w:szCs w:val="22"/>
                <w:color w:val="auto"/>
              </w:rPr>
            </w:pPr>
          </w:p>
        </w:tc>
        <w:tc>
          <w:tcPr>
            <w:tcW w:w="9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44,457</w:t>
            </w:r>
          </w:p>
        </w:tc>
        <w:tc>
          <w:tcPr>
            <w:tcW w:w="2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660" w:type="dxa"/>
            <w:vAlign w:val="bottom"/>
            <w:shd w:val="clear" w:color="auto" w:fill="CCECFF"/>
          </w:tcPr>
          <w:p>
            <w:pPr>
              <w:ind w:left="4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44,457</w:t>
            </w:r>
          </w:p>
        </w:tc>
        <w:tc>
          <w:tcPr>
            <w:tcW w:w="60" w:type="dxa"/>
            <w:vAlign w:val="bottom"/>
            <w:shd w:val="clear" w:color="auto" w:fill="CCECFF"/>
          </w:tcPr>
          <w:p>
            <w:pPr>
              <w:spacing w:after="0"/>
              <w:rPr>
                <w:sz w:val="22"/>
                <w:szCs w:val="22"/>
                <w:color w:val="auto"/>
              </w:rPr>
            </w:pPr>
          </w:p>
        </w:tc>
      </w:tr>
      <w:tr>
        <w:trPr>
          <w:trHeight w:val="250"/>
        </w:trPr>
        <w:tc>
          <w:tcPr>
            <w:tcW w:w="4040" w:type="dxa"/>
            <w:vAlign w:val="bottom"/>
          </w:tcPr>
          <w:p>
            <w:pPr>
              <w:ind w:left="180"/>
              <w:spacing w:after="0"/>
              <w:rPr>
                <w:sz w:val="20"/>
                <w:szCs w:val="20"/>
                <w:color w:val="auto"/>
              </w:rPr>
            </w:pPr>
            <w:r>
              <w:rPr>
                <w:rFonts w:ascii="Arial" w:cs="Arial" w:eastAsia="Arial" w:hAnsi="Arial"/>
                <w:sz w:val="18"/>
                <w:szCs w:val="18"/>
                <w:color w:val="auto"/>
                <w:w w:val="97"/>
              </w:rPr>
              <w:t>U.S. Government Treasury and agency securities</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62,003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62,003</w:t>
            </w:r>
          </w:p>
        </w:tc>
        <w:tc>
          <w:tcPr>
            <w:tcW w:w="60" w:type="dxa"/>
            <w:vAlign w:val="bottom"/>
          </w:tcPr>
          <w:p>
            <w:pPr>
              <w:spacing w:after="0"/>
              <w:rPr>
                <w:sz w:val="21"/>
                <w:szCs w:val="21"/>
                <w:color w:val="auto"/>
              </w:rPr>
            </w:pPr>
          </w:p>
        </w:tc>
      </w:tr>
      <w:tr>
        <w:trPr>
          <w:trHeight w:val="263"/>
        </w:trPr>
        <w:tc>
          <w:tcPr>
            <w:tcW w:w="4040" w:type="dxa"/>
            <w:vAlign w:val="bottom"/>
            <w:shd w:val="clear" w:color="auto" w:fill="CCECFF"/>
          </w:tcPr>
          <w:p>
            <w:pPr>
              <w:ind w:left="180"/>
              <w:spacing w:after="0"/>
              <w:rPr>
                <w:sz w:val="20"/>
                <w:szCs w:val="20"/>
                <w:color w:val="auto"/>
              </w:rPr>
            </w:pPr>
            <w:r>
              <w:rPr>
                <w:rFonts w:ascii="Arial" w:cs="Arial" w:eastAsia="Arial" w:hAnsi="Arial"/>
                <w:sz w:val="18"/>
                <w:szCs w:val="18"/>
                <w:color w:val="auto"/>
                <w:w w:val="98"/>
              </w:rPr>
              <w:t>Debt securities in government-sponsored entities</w:t>
            </w:r>
          </w:p>
        </w:tc>
        <w:tc>
          <w:tcPr>
            <w:tcW w:w="200" w:type="dxa"/>
            <w:vAlign w:val="bottom"/>
            <w:shd w:val="clear" w:color="auto" w:fill="CCECFF"/>
          </w:tcPr>
          <w:p>
            <w:pPr>
              <w:spacing w:after="0"/>
              <w:rPr>
                <w:sz w:val="22"/>
                <w:szCs w:val="22"/>
                <w:color w:val="auto"/>
              </w:rPr>
            </w:pPr>
          </w:p>
        </w:tc>
        <w:tc>
          <w:tcPr>
            <w:tcW w:w="9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28,680</w:t>
            </w:r>
          </w:p>
        </w:tc>
        <w:tc>
          <w:tcPr>
            <w:tcW w:w="2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660" w:type="dxa"/>
            <w:vAlign w:val="bottom"/>
            <w:shd w:val="clear" w:color="auto" w:fill="CCECFF"/>
          </w:tcPr>
          <w:p>
            <w:pPr>
              <w:ind w:left="4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28,680</w:t>
            </w:r>
          </w:p>
        </w:tc>
        <w:tc>
          <w:tcPr>
            <w:tcW w:w="60" w:type="dxa"/>
            <w:vAlign w:val="bottom"/>
            <w:shd w:val="clear" w:color="auto" w:fill="CCECFF"/>
          </w:tcPr>
          <w:p>
            <w:pPr>
              <w:spacing w:after="0"/>
              <w:rPr>
                <w:sz w:val="22"/>
                <w:szCs w:val="22"/>
                <w:color w:val="auto"/>
              </w:rPr>
            </w:pPr>
          </w:p>
        </w:tc>
      </w:tr>
      <w:tr>
        <w:trPr>
          <w:trHeight w:val="250"/>
        </w:trPr>
        <w:tc>
          <w:tcPr>
            <w:tcW w:w="4040" w:type="dxa"/>
            <w:vAlign w:val="bottom"/>
          </w:tcPr>
          <w:p>
            <w:pPr>
              <w:ind w:left="180"/>
              <w:spacing w:after="0"/>
              <w:rPr>
                <w:sz w:val="20"/>
                <w:szCs w:val="20"/>
                <w:color w:val="auto"/>
              </w:rPr>
            </w:pPr>
            <w:r>
              <w:rPr>
                <w:rFonts w:ascii="Arial" w:cs="Arial" w:eastAsia="Arial" w:hAnsi="Arial"/>
                <w:sz w:val="18"/>
                <w:szCs w:val="18"/>
                <w:color w:val="auto"/>
                <w:w w:val="98"/>
              </w:rPr>
              <w:t>Investments in Arcturus and Solid common stock</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85,596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85,596</w:t>
            </w:r>
          </w:p>
        </w:tc>
        <w:tc>
          <w:tcPr>
            <w:tcW w:w="60" w:type="dxa"/>
            <w:vAlign w:val="bottom"/>
          </w:tcPr>
          <w:p>
            <w:pPr>
              <w:spacing w:after="0"/>
              <w:rPr>
                <w:sz w:val="21"/>
                <w:szCs w:val="21"/>
                <w:color w:val="auto"/>
              </w:rPr>
            </w:pPr>
          </w:p>
        </w:tc>
      </w:tr>
      <w:tr>
        <w:trPr>
          <w:trHeight w:val="263"/>
        </w:trPr>
        <w:tc>
          <w:tcPr>
            <w:tcW w:w="4040" w:type="dxa"/>
            <w:vAlign w:val="bottom"/>
            <w:tcBorders>
              <w:bottom w:val="single" w:sz="8" w:color="CCECFF"/>
            </w:tcBorders>
            <w:shd w:val="clear" w:color="auto" w:fill="CCEC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CFF"/>
          </w:tcPr>
          <w:p>
            <w:pPr>
              <w:spacing w:after="0"/>
              <w:rPr>
                <w:sz w:val="22"/>
                <w:szCs w:val="22"/>
                <w:color w:val="auto"/>
              </w:rPr>
            </w:pPr>
          </w:p>
        </w:tc>
        <w:tc>
          <w:tcPr>
            <w:tcW w:w="920" w:type="dxa"/>
            <w:vAlign w:val="bottom"/>
            <w:tcBorders>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CFF"/>
            </w:tcBorders>
            <w:shd w:val="clear" w:color="auto" w:fill="CCECFF"/>
          </w:tcPr>
          <w:p>
            <w:pPr>
              <w:spacing w:after="0"/>
              <w:rPr>
                <w:sz w:val="22"/>
                <w:szCs w:val="22"/>
                <w:color w:val="auto"/>
              </w:rPr>
            </w:pPr>
          </w:p>
        </w:tc>
        <w:tc>
          <w:tcPr>
            <w:tcW w:w="20" w:type="dxa"/>
            <w:vAlign w:val="bottom"/>
            <w:tcBorders>
              <w:bottom w:val="single" w:sz="8" w:color="CCECFF"/>
            </w:tcBorders>
            <w:shd w:val="clear" w:color="auto" w:fill="CCECFF"/>
          </w:tcPr>
          <w:p>
            <w:pPr>
              <w:spacing w:after="0"/>
              <w:rPr>
                <w:sz w:val="22"/>
                <w:szCs w:val="22"/>
                <w:color w:val="auto"/>
              </w:rPr>
            </w:pPr>
          </w:p>
        </w:tc>
        <w:tc>
          <w:tcPr>
            <w:tcW w:w="200" w:type="dxa"/>
            <w:vAlign w:val="bottom"/>
            <w:tcBorders>
              <w:bottom w:val="single" w:sz="8" w:color="auto"/>
            </w:tcBorders>
            <w:shd w:val="clear" w:color="auto" w:fill="CCECFF"/>
          </w:tcPr>
          <w:p>
            <w:pPr>
              <w:spacing w:after="0"/>
              <w:rPr>
                <w:sz w:val="22"/>
                <w:szCs w:val="22"/>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487</w:t>
            </w:r>
          </w:p>
        </w:tc>
        <w:tc>
          <w:tcPr>
            <w:tcW w:w="20" w:type="dxa"/>
            <w:vAlign w:val="bottom"/>
            <w:tcBorders>
              <w:bottom w:val="single" w:sz="8" w:color="auto"/>
            </w:tcBorders>
            <w:shd w:val="clear" w:color="auto" w:fill="CCECFF"/>
          </w:tcPr>
          <w:p>
            <w:pPr>
              <w:spacing w:after="0"/>
              <w:rPr>
                <w:sz w:val="22"/>
                <w:szCs w:val="22"/>
                <w:color w:val="auto"/>
              </w:rPr>
            </w:pPr>
          </w:p>
        </w:tc>
        <w:tc>
          <w:tcPr>
            <w:tcW w:w="200" w:type="dxa"/>
            <w:vAlign w:val="bottom"/>
            <w:tcBorders>
              <w:bottom w:val="single" w:sz="8" w:color="CCECFF"/>
            </w:tcBorders>
            <w:shd w:val="clear" w:color="auto" w:fill="CCECFF"/>
          </w:tcPr>
          <w:p>
            <w:pPr>
              <w:spacing w:after="0"/>
              <w:rPr>
                <w:sz w:val="22"/>
                <w:szCs w:val="22"/>
                <w:color w:val="auto"/>
              </w:rPr>
            </w:pPr>
          </w:p>
        </w:tc>
        <w:tc>
          <w:tcPr>
            <w:tcW w:w="20" w:type="dxa"/>
            <w:vAlign w:val="bottom"/>
            <w:tcBorders>
              <w:bottom w:val="single" w:sz="8" w:color="auto"/>
            </w:tcBorders>
            <w:shd w:val="clear" w:color="auto" w:fill="CCECFF"/>
          </w:tcPr>
          <w:p>
            <w:pPr>
              <w:spacing w:after="0"/>
              <w:rPr>
                <w:sz w:val="22"/>
                <w:szCs w:val="22"/>
                <w:color w:val="auto"/>
              </w:rPr>
            </w:pPr>
          </w:p>
        </w:tc>
        <w:tc>
          <w:tcPr>
            <w:tcW w:w="120" w:type="dxa"/>
            <w:vAlign w:val="bottom"/>
            <w:tcBorders>
              <w:bottom w:val="single" w:sz="8" w:color="auto"/>
            </w:tcBorders>
            <w:shd w:val="clear" w:color="auto" w:fill="CCECFF"/>
          </w:tcPr>
          <w:p>
            <w:pPr>
              <w:spacing w:after="0"/>
              <w:rPr>
                <w:sz w:val="22"/>
                <w:szCs w:val="22"/>
                <w:color w:val="auto"/>
              </w:rPr>
            </w:pPr>
          </w:p>
        </w:tc>
        <w:tc>
          <w:tcPr>
            <w:tcW w:w="660" w:type="dxa"/>
            <w:vAlign w:val="bottom"/>
            <w:tcBorders>
              <w:bottom w:val="single" w:sz="8" w:color="auto"/>
            </w:tcBorders>
            <w:shd w:val="clear" w:color="auto" w:fill="CCECFF"/>
          </w:tcPr>
          <w:p>
            <w:pPr>
              <w:ind w:left="46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CFF"/>
            </w:tcBorders>
            <w:shd w:val="clear" w:color="auto" w:fill="CCECFF"/>
          </w:tcPr>
          <w:p>
            <w:pPr>
              <w:spacing w:after="0"/>
              <w:rPr>
                <w:sz w:val="22"/>
                <w:szCs w:val="22"/>
                <w:color w:val="auto"/>
              </w:rPr>
            </w:pPr>
          </w:p>
        </w:tc>
        <w:tc>
          <w:tcPr>
            <w:tcW w:w="160" w:type="dxa"/>
            <w:vAlign w:val="bottom"/>
            <w:tcBorders>
              <w:bottom w:val="single" w:sz="8" w:color="CCECFF"/>
            </w:tcBorders>
            <w:shd w:val="clear" w:color="auto" w:fill="CCECFF"/>
          </w:tcPr>
          <w:p>
            <w:pPr>
              <w:spacing w:after="0"/>
              <w:rPr>
                <w:sz w:val="22"/>
                <w:szCs w:val="22"/>
                <w:color w:val="auto"/>
              </w:rPr>
            </w:pPr>
          </w:p>
        </w:tc>
        <w:tc>
          <w:tcPr>
            <w:tcW w:w="20" w:type="dxa"/>
            <w:vAlign w:val="bottom"/>
            <w:tcBorders>
              <w:bottom w:val="single" w:sz="8" w:color="auto"/>
            </w:tcBorders>
            <w:shd w:val="clear" w:color="auto" w:fill="CCECFF"/>
          </w:tcPr>
          <w:p>
            <w:pPr>
              <w:spacing w:after="0"/>
              <w:rPr>
                <w:sz w:val="22"/>
                <w:szCs w:val="22"/>
                <w:color w:val="auto"/>
              </w:rPr>
            </w:pPr>
          </w:p>
        </w:tc>
        <w:tc>
          <w:tcPr>
            <w:tcW w:w="280" w:type="dxa"/>
            <w:vAlign w:val="bottom"/>
            <w:tcBorders>
              <w:bottom w:val="single" w:sz="8" w:color="auto"/>
            </w:tcBorders>
            <w:shd w:val="clear" w:color="auto" w:fill="CCECFF"/>
          </w:tcPr>
          <w:p>
            <w:pPr>
              <w:spacing w:after="0"/>
              <w:rPr>
                <w:sz w:val="22"/>
                <w:szCs w:val="22"/>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487</w:t>
            </w:r>
          </w:p>
        </w:tc>
        <w:tc>
          <w:tcPr>
            <w:tcW w:w="60" w:type="dxa"/>
            <w:vAlign w:val="bottom"/>
            <w:tcBorders>
              <w:bottom w:val="single" w:sz="8" w:color="CCECFF"/>
            </w:tcBorders>
            <w:shd w:val="clear" w:color="auto" w:fill="CCECFF"/>
          </w:tcPr>
          <w:p>
            <w:pPr>
              <w:spacing w:after="0"/>
              <w:rPr>
                <w:sz w:val="22"/>
                <w:szCs w:val="22"/>
                <w:color w:val="auto"/>
              </w:rPr>
            </w:pPr>
          </w:p>
        </w:tc>
      </w:tr>
      <w:tr>
        <w:trPr>
          <w:trHeight w:val="250"/>
        </w:trPr>
        <w:tc>
          <w:tcPr>
            <w:tcW w:w="4040" w:type="dxa"/>
            <w:vAlign w:val="bottom"/>
          </w:tcPr>
          <w:p>
            <w:pPr>
              <w:ind w:left="46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218,707</w:t>
            </w:r>
          </w:p>
        </w:tc>
        <w:tc>
          <w:tcPr>
            <w:tcW w:w="2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786,008</w:t>
            </w:r>
          </w:p>
        </w:tc>
        <w:tc>
          <w:tcPr>
            <w:tcW w:w="20" w:type="dxa"/>
            <w:vAlign w:val="bottom"/>
          </w:tcPr>
          <w:p>
            <w:pPr>
              <w:spacing w:after="0"/>
              <w:rPr>
                <w:sz w:val="21"/>
                <w:szCs w:val="21"/>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ind w:left="460"/>
              <w:spacing w:after="0"/>
              <w:rPr>
                <w:sz w:val="20"/>
                <w:szCs w:val="20"/>
                <w:color w:val="auto"/>
              </w:rPr>
            </w:pPr>
            <w:r>
              <w:rPr>
                <w:rFonts w:ascii="Arial" w:cs="Arial" w:eastAsia="Arial" w:hAnsi="Arial"/>
                <w:sz w:val="18"/>
                <w:szCs w:val="18"/>
                <w:color w:val="auto"/>
                <w:w w:val="99"/>
              </w:rPr>
              <w:t>—</w:t>
            </w:r>
          </w:p>
        </w:tc>
        <w:tc>
          <w:tcPr>
            <w:tcW w:w="4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1,004,715</w:t>
            </w:r>
          </w:p>
        </w:tc>
        <w:tc>
          <w:tcPr>
            <w:tcW w:w="60" w:type="dxa"/>
            <w:vAlign w:val="bottom"/>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7"/>
        </w:trPr>
        <w:tc>
          <w:tcPr>
            <w:tcW w:w="4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4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20"/>
                <w:szCs w:val="20"/>
                <w:color w:val="auto"/>
              </w:rPr>
            </w:pPr>
          </w:p>
        </w:tc>
      </w:tr>
      <w:tr>
        <w:trPr>
          <w:trHeight w:val="256"/>
        </w:trPr>
        <w:tc>
          <w:tcPr>
            <w:tcW w:w="4040" w:type="dxa"/>
            <w:vAlign w:val="bottom"/>
            <w:shd w:val="clear" w:color="auto" w:fill="CCECFF"/>
          </w:tcPr>
          <w:p>
            <w:pPr>
              <w:ind w:left="18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598,392</w:t>
            </w:r>
          </w:p>
        </w:tc>
        <w:tc>
          <w:tcPr>
            <w:tcW w:w="20" w:type="dxa"/>
            <w:vAlign w:val="bottom"/>
            <w:shd w:val="clear" w:color="auto" w:fill="CCECFF"/>
          </w:tcPr>
          <w:p>
            <w:pPr>
              <w:spacing w:after="0"/>
              <w:rPr>
                <w:sz w:val="22"/>
                <w:szCs w:val="22"/>
                <w:color w:val="auto"/>
              </w:rPr>
            </w:pPr>
          </w:p>
        </w:tc>
        <w:tc>
          <w:tcPr>
            <w:tcW w:w="420" w:type="dxa"/>
            <w:vAlign w:val="bottom"/>
            <w:gridSpan w:val="3"/>
            <w:shd w:val="clear" w:color="auto" w:fill="CCEC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CFF"/>
          </w:tcPr>
          <w:p>
            <w:pPr>
              <w:ind w:left="480"/>
              <w:spacing w:after="0"/>
              <w:rPr>
                <w:sz w:val="20"/>
                <w:szCs w:val="20"/>
                <w:color w:val="auto"/>
              </w:rPr>
            </w:pPr>
            <w:r>
              <w:rPr>
                <w:rFonts w:ascii="Arial" w:cs="Arial" w:eastAsia="Arial" w:hAnsi="Arial"/>
                <w:sz w:val="18"/>
                <w:szCs w:val="18"/>
                <w:color w:val="auto"/>
                <w:w w:val="88"/>
              </w:rPr>
              <w:t>—</w:t>
            </w:r>
          </w:p>
        </w:tc>
        <w:tc>
          <w:tcPr>
            <w:tcW w:w="480" w:type="dxa"/>
            <w:vAlign w:val="bottom"/>
            <w:gridSpan w:val="4"/>
            <w:shd w:val="clear" w:color="auto" w:fill="CCEC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598,392</w:t>
            </w:r>
          </w:p>
        </w:tc>
        <w:tc>
          <w:tcPr>
            <w:tcW w:w="60" w:type="dxa"/>
            <w:vAlign w:val="bottom"/>
            <w:shd w:val="clear" w:color="auto" w:fill="CCECFF"/>
          </w:tcPr>
          <w:p>
            <w:pPr>
              <w:spacing w:after="0"/>
              <w:rPr>
                <w:sz w:val="22"/>
                <w:szCs w:val="22"/>
                <w:color w:val="auto"/>
              </w:rPr>
            </w:pPr>
          </w:p>
        </w:tc>
      </w:tr>
      <w:tr>
        <w:trPr>
          <w:trHeight w:val="250"/>
        </w:trPr>
        <w:tc>
          <w:tcPr>
            <w:tcW w:w="404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20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21"/>
                <w:szCs w:val="21"/>
                <w:color w:val="auto"/>
              </w:rPr>
            </w:pPr>
          </w:p>
        </w:tc>
      </w:tr>
      <w:tr>
        <w:trPr>
          <w:trHeight w:val="263"/>
        </w:trPr>
        <w:tc>
          <w:tcPr>
            <w:tcW w:w="4040" w:type="dxa"/>
            <w:vAlign w:val="bottom"/>
            <w:shd w:val="clear" w:color="auto" w:fill="CCECFF"/>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CECFF"/>
          </w:tcPr>
          <w:p>
            <w:pPr>
              <w:spacing w:after="0"/>
              <w:rPr>
                <w:sz w:val="22"/>
                <w:szCs w:val="22"/>
                <w:color w:val="auto"/>
              </w:rPr>
            </w:pPr>
          </w:p>
        </w:tc>
        <w:tc>
          <w:tcPr>
            <w:tcW w:w="9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193,802</w:t>
            </w:r>
          </w:p>
        </w:tc>
        <w:tc>
          <w:tcPr>
            <w:tcW w:w="2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660" w:type="dxa"/>
            <w:vAlign w:val="bottom"/>
            <w:shd w:val="clear" w:color="auto" w:fill="CCECFF"/>
          </w:tcPr>
          <w:p>
            <w:pPr>
              <w:ind w:left="48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193,802</w:t>
            </w:r>
          </w:p>
        </w:tc>
        <w:tc>
          <w:tcPr>
            <w:tcW w:w="60" w:type="dxa"/>
            <w:vAlign w:val="bottom"/>
            <w:shd w:val="clear" w:color="auto" w:fill="CCECFF"/>
          </w:tcPr>
          <w:p>
            <w:pPr>
              <w:spacing w:after="0"/>
              <w:rPr>
                <w:sz w:val="22"/>
                <w:szCs w:val="22"/>
                <w:color w:val="auto"/>
              </w:rPr>
            </w:pPr>
          </w:p>
        </w:tc>
      </w:tr>
      <w:tr>
        <w:trPr>
          <w:trHeight w:val="250"/>
        </w:trPr>
        <w:tc>
          <w:tcPr>
            <w:tcW w:w="40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173,859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173,859</w:t>
            </w:r>
          </w:p>
        </w:tc>
        <w:tc>
          <w:tcPr>
            <w:tcW w:w="60" w:type="dxa"/>
            <w:vAlign w:val="bottom"/>
          </w:tcPr>
          <w:p>
            <w:pPr>
              <w:spacing w:after="0"/>
              <w:rPr>
                <w:sz w:val="21"/>
                <w:szCs w:val="21"/>
                <w:color w:val="auto"/>
              </w:rPr>
            </w:pPr>
          </w:p>
        </w:tc>
      </w:tr>
      <w:tr>
        <w:trPr>
          <w:trHeight w:val="263"/>
        </w:trPr>
        <w:tc>
          <w:tcPr>
            <w:tcW w:w="4040" w:type="dxa"/>
            <w:vAlign w:val="bottom"/>
            <w:shd w:val="clear" w:color="auto" w:fill="CCECFF"/>
          </w:tcPr>
          <w:p>
            <w:pPr>
              <w:ind w:left="18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CFF"/>
          </w:tcPr>
          <w:p>
            <w:pPr>
              <w:spacing w:after="0"/>
              <w:rPr>
                <w:sz w:val="22"/>
                <w:szCs w:val="22"/>
                <w:color w:val="auto"/>
              </w:rPr>
            </w:pPr>
          </w:p>
        </w:tc>
        <w:tc>
          <w:tcPr>
            <w:tcW w:w="9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11,225</w:t>
            </w:r>
          </w:p>
        </w:tc>
        <w:tc>
          <w:tcPr>
            <w:tcW w:w="2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660" w:type="dxa"/>
            <w:vAlign w:val="bottom"/>
            <w:shd w:val="clear" w:color="auto" w:fill="CCECFF"/>
          </w:tcPr>
          <w:p>
            <w:pPr>
              <w:ind w:left="48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11,225</w:t>
            </w:r>
          </w:p>
        </w:tc>
        <w:tc>
          <w:tcPr>
            <w:tcW w:w="60" w:type="dxa"/>
            <w:vAlign w:val="bottom"/>
            <w:shd w:val="clear" w:color="auto" w:fill="CCECFF"/>
          </w:tcPr>
          <w:p>
            <w:pPr>
              <w:spacing w:after="0"/>
              <w:rPr>
                <w:sz w:val="22"/>
                <w:szCs w:val="22"/>
                <w:color w:val="auto"/>
              </w:rPr>
            </w:pPr>
          </w:p>
        </w:tc>
      </w:tr>
      <w:tr>
        <w:trPr>
          <w:trHeight w:val="250"/>
        </w:trPr>
        <w:tc>
          <w:tcPr>
            <w:tcW w:w="4040" w:type="dxa"/>
            <w:vAlign w:val="bottom"/>
          </w:tcPr>
          <w:p>
            <w:pPr>
              <w:ind w:left="180"/>
              <w:spacing w:after="0"/>
              <w:rPr>
                <w:sz w:val="20"/>
                <w:szCs w:val="20"/>
                <w:color w:val="auto"/>
              </w:rPr>
            </w:pPr>
            <w:r>
              <w:rPr>
                <w:rFonts w:ascii="Arial" w:cs="Arial" w:eastAsia="Arial" w:hAnsi="Arial"/>
                <w:sz w:val="18"/>
                <w:szCs w:val="18"/>
                <w:color w:val="auto"/>
                <w:w w:val="97"/>
              </w:rPr>
              <w:t>U.S. Government Treasury and agency securities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167,967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17,661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185,628</w:t>
            </w:r>
          </w:p>
        </w:tc>
        <w:tc>
          <w:tcPr>
            <w:tcW w:w="60" w:type="dxa"/>
            <w:vAlign w:val="bottom"/>
          </w:tcPr>
          <w:p>
            <w:pPr>
              <w:spacing w:after="0"/>
              <w:rPr>
                <w:sz w:val="21"/>
                <w:szCs w:val="21"/>
                <w:color w:val="auto"/>
              </w:rPr>
            </w:pPr>
          </w:p>
        </w:tc>
      </w:tr>
      <w:tr>
        <w:trPr>
          <w:trHeight w:val="263"/>
        </w:trPr>
        <w:tc>
          <w:tcPr>
            <w:tcW w:w="4040" w:type="dxa"/>
            <w:vAlign w:val="bottom"/>
            <w:tcBorders>
              <w:bottom w:val="single" w:sz="8" w:color="CCECFF"/>
            </w:tcBorders>
            <w:shd w:val="clear" w:color="auto" w:fill="CCECFF"/>
          </w:tcPr>
          <w:p>
            <w:pPr>
              <w:ind w:left="180"/>
              <w:spacing w:after="0"/>
              <w:rPr>
                <w:sz w:val="20"/>
                <w:szCs w:val="20"/>
                <w:color w:val="auto"/>
              </w:rPr>
            </w:pPr>
            <w:r>
              <w:rPr>
                <w:rFonts w:ascii="Arial" w:cs="Arial" w:eastAsia="Arial" w:hAnsi="Arial"/>
                <w:sz w:val="18"/>
                <w:szCs w:val="18"/>
                <w:color w:val="auto"/>
                <w:w w:val="98"/>
              </w:rPr>
              <w:t>Investments in Arcturus and Solid common stock</w:t>
            </w:r>
          </w:p>
        </w:tc>
        <w:tc>
          <w:tcPr>
            <w:tcW w:w="200" w:type="dxa"/>
            <w:vAlign w:val="bottom"/>
            <w:tcBorders>
              <w:bottom w:val="single" w:sz="8" w:color="auto"/>
            </w:tcBorders>
            <w:shd w:val="clear" w:color="auto" w:fill="CCECFF"/>
          </w:tcPr>
          <w:p>
            <w:pPr>
              <w:spacing w:after="0"/>
              <w:rPr>
                <w:sz w:val="22"/>
                <w:szCs w:val="22"/>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154,756</w:t>
            </w:r>
          </w:p>
        </w:tc>
        <w:tc>
          <w:tcPr>
            <w:tcW w:w="20" w:type="dxa"/>
            <w:vAlign w:val="bottom"/>
            <w:tcBorders>
              <w:bottom w:val="single" w:sz="8" w:color="CCECFF"/>
            </w:tcBorders>
            <w:shd w:val="clear" w:color="auto" w:fill="CCECFF"/>
          </w:tcPr>
          <w:p>
            <w:pPr>
              <w:spacing w:after="0"/>
              <w:rPr>
                <w:sz w:val="22"/>
                <w:szCs w:val="22"/>
                <w:color w:val="auto"/>
              </w:rPr>
            </w:pPr>
          </w:p>
        </w:tc>
        <w:tc>
          <w:tcPr>
            <w:tcW w:w="200" w:type="dxa"/>
            <w:vAlign w:val="bottom"/>
            <w:tcBorders>
              <w:bottom w:val="single" w:sz="8" w:color="CCECFF"/>
            </w:tcBorders>
            <w:shd w:val="clear" w:color="auto" w:fill="CCECFF"/>
          </w:tcPr>
          <w:p>
            <w:pPr>
              <w:spacing w:after="0"/>
              <w:rPr>
                <w:sz w:val="22"/>
                <w:szCs w:val="22"/>
                <w:color w:val="auto"/>
              </w:rPr>
            </w:pPr>
          </w:p>
        </w:tc>
        <w:tc>
          <w:tcPr>
            <w:tcW w:w="20" w:type="dxa"/>
            <w:vAlign w:val="bottom"/>
            <w:tcBorders>
              <w:bottom w:val="single" w:sz="8" w:color="auto"/>
            </w:tcBorders>
            <w:shd w:val="clear" w:color="auto" w:fill="CCECFF"/>
          </w:tcPr>
          <w:p>
            <w:pPr>
              <w:spacing w:after="0"/>
              <w:rPr>
                <w:sz w:val="22"/>
                <w:szCs w:val="22"/>
                <w:color w:val="auto"/>
              </w:rPr>
            </w:pPr>
          </w:p>
        </w:tc>
        <w:tc>
          <w:tcPr>
            <w:tcW w:w="200" w:type="dxa"/>
            <w:vAlign w:val="bottom"/>
            <w:tcBorders>
              <w:bottom w:val="single" w:sz="8" w:color="auto"/>
            </w:tcBorders>
            <w:shd w:val="clear" w:color="auto" w:fill="CCECFF"/>
          </w:tcPr>
          <w:p>
            <w:pPr>
              <w:spacing w:after="0"/>
              <w:rPr>
                <w:sz w:val="22"/>
                <w:szCs w:val="22"/>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CFF"/>
            </w:tcBorders>
            <w:shd w:val="clear" w:color="auto" w:fill="CCECFF"/>
          </w:tcPr>
          <w:p>
            <w:pPr>
              <w:spacing w:after="0"/>
              <w:rPr>
                <w:sz w:val="22"/>
                <w:szCs w:val="22"/>
                <w:color w:val="auto"/>
              </w:rPr>
            </w:pPr>
          </w:p>
        </w:tc>
        <w:tc>
          <w:tcPr>
            <w:tcW w:w="200" w:type="dxa"/>
            <w:vAlign w:val="bottom"/>
            <w:tcBorders>
              <w:bottom w:val="single" w:sz="8" w:color="CCECFF"/>
            </w:tcBorders>
            <w:shd w:val="clear" w:color="auto" w:fill="CCECFF"/>
          </w:tcPr>
          <w:p>
            <w:pPr>
              <w:spacing w:after="0"/>
              <w:rPr>
                <w:sz w:val="22"/>
                <w:szCs w:val="22"/>
                <w:color w:val="auto"/>
              </w:rPr>
            </w:pPr>
          </w:p>
        </w:tc>
        <w:tc>
          <w:tcPr>
            <w:tcW w:w="20" w:type="dxa"/>
            <w:vAlign w:val="bottom"/>
            <w:tcBorders>
              <w:bottom w:val="single" w:sz="8" w:color="CCECFF"/>
            </w:tcBorders>
            <w:shd w:val="clear" w:color="auto" w:fill="CCECFF"/>
          </w:tcPr>
          <w:p>
            <w:pPr>
              <w:spacing w:after="0"/>
              <w:rPr>
                <w:sz w:val="22"/>
                <w:szCs w:val="22"/>
                <w:color w:val="auto"/>
              </w:rPr>
            </w:pPr>
          </w:p>
        </w:tc>
        <w:tc>
          <w:tcPr>
            <w:tcW w:w="120" w:type="dxa"/>
            <w:vAlign w:val="bottom"/>
            <w:tcBorders>
              <w:bottom w:val="single" w:sz="8" w:color="auto"/>
            </w:tcBorders>
            <w:shd w:val="clear" w:color="auto" w:fill="CCECFF"/>
          </w:tcPr>
          <w:p>
            <w:pPr>
              <w:spacing w:after="0"/>
              <w:rPr>
                <w:sz w:val="22"/>
                <w:szCs w:val="22"/>
                <w:color w:val="auto"/>
              </w:rPr>
            </w:pPr>
          </w:p>
        </w:tc>
        <w:tc>
          <w:tcPr>
            <w:tcW w:w="660" w:type="dxa"/>
            <w:vAlign w:val="bottom"/>
            <w:tcBorders>
              <w:bottom w:val="single" w:sz="8" w:color="auto"/>
            </w:tcBorders>
            <w:shd w:val="clear" w:color="auto" w:fill="CCECFF"/>
          </w:tcPr>
          <w:p>
            <w:pPr>
              <w:ind w:left="48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shd w:val="clear" w:color="auto" w:fill="CCECFF"/>
          </w:tcPr>
          <w:p>
            <w:pPr>
              <w:spacing w:after="0"/>
              <w:rPr>
                <w:sz w:val="22"/>
                <w:szCs w:val="22"/>
                <w:color w:val="auto"/>
              </w:rPr>
            </w:pPr>
          </w:p>
        </w:tc>
        <w:tc>
          <w:tcPr>
            <w:tcW w:w="160" w:type="dxa"/>
            <w:vAlign w:val="bottom"/>
            <w:tcBorders>
              <w:bottom w:val="single" w:sz="8" w:color="CCECFF"/>
            </w:tcBorders>
            <w:shd w:val="clear" w:color="auto" w:fill="CCECFF"/>
          </w:tcPr>
          <w:p>
            <w:pPr>
              <w:spacing w:after="0"/>
              <w:rPr>
                <w:sz w:val="22"/>
                <w:szCs w:val="22"/>
                <w:color w:val="auto"/>
              </w:rPr>
            </w:pPr>
          </w:p>
        </w:tc>
        <w:tc>
          <w:tcPr>
            <w:tcW w:w="20" w:type="dxa"/>
            <w:vAlign w:val="bottom"/>
            <w:tcBorders>
              <w:bottom w:val="single" w:sz="8" w:color="CCECFF"/>
            </w:tcBorders>
            <w:shd w:val="clear" w:color="auto" w:fill="CCECFF"/>
          </w:tcPr>
          <w:p>
            <w:pPr>
              <w:spacing w:after="0"/>
              <w:rPr>
                <w:sz w:val="22"/>
                <w:szCs w:val="22"/>
                <w:color w:val="auto"/>
              </w:rPr>
            </w:pPr>
          </w:p>
        </w:tc>
        <w:tc>
          <w:tcPr>
            <w:tcW w:w="280" w:type="dxa"/>
            <w:vAlign w:val="bottom"/>
            <w:tcBorders>
              <w:bottom w:val="single" w:sz="8" w:color="auto"/>
            </w:tcBorders>
            <w:shd w:val="clear" w:color="auto" w:fill="CCECFF"/>
          </w:tcPr>
          <w:p>
            <w:pPr>
              <w:spacing w:after="0"/>
              <w:rPr>
                <w:sz w:val="22"/>
                <w:szCs w:val="22"/>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154,756</w:t>
            </w:r>
          </w:p>
        </w:tc>
        <w:tc>
          <w:tcPr>
            <w:tcW w:w="60" w:type="dxa"/>
            <w:vAlign w:val="bottom"/>
            <w:tcBorders>
              <w:bottom w:val="single" w:sz="8" w:color="CCECFF"/>
            </w:tcBorders>
            <w:shd w:val="clear" w:color="auto" w:fill="CCECFF"/>
          </w:tcPr>
          <w:p>
            <w:pPr>
              <w:spacing w:after="0"/>
              <w:rPr>
                <w:sz w:val="22"/>
                <w:szCs w:val="22"/>
                <w:color w:val="auto"/>
              </w:rPr>
            </w:pPr>
          </w:p>
        </w:tc>
      </w:tr>
      <w:tr>
        <w:trPr>
          <w:trHeight w:val="250"/>
        </w:trPr>
        <w:tc>
          <w:tcPr>
            <w:tcW w:w="4040" w:type="dxa"/>
            <w:vAlign w:val="bottom"/>
          </w:tcPr>
          <w:p>
            <w:pPr>
              <w:ind w:left="46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921,115</w:t>
            </w:r>
          </w:p>
        </w:tc>
        <w:tc>
          <w:tcPr>
            <w:tcW w:w="20" w:type="dxa"/>
            <w:vAlign w:val="bottom"/>
          </w:tcPr>
          <w:p>
            <w:pPr>
              <w:spacing w:after="0"/>
              <w:rPr>
                <w:sz w:val="21"/>
                <w:szCs w:val="21"/>
                <w:color w:val="auto"/>
              </w:rPr>
            </w:pP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406,547</w:t>
            </w:r>
          </w:p>
        </w:tc>
        <w:tc>
          <w:tcPr>
            <w:tcW w:w="20" w:type="dxa"/>
            <w:vAlign w:val="bottom"/>
          </w:tcPr>
          <w:p>
            <w:pPr>
              <w:spacing w:after="0"/>
              <w:rPr>
                <w:sz w:val="21"/>
                <w:szCs w:val="21"/>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4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1,327,662</w:t>
            </w:r>
          </w:p>
        </w:tc>
        <w:tc>
          <w:tcPr>
            <w:tcW w:w="60" w:type="dxa"/>
            <w:vAlign w:val="bottom"/>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-2002155</wp:posOffset>
            </wp:positionV>
            <wp:extent cx="13716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-2002155</wp:posOffset>
            </wp:positionV>
            <wp:extent cx="12001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-2002155</wp:posOffset>
            </wp:positionV>
            <wp:extent cx="12001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-2002155</wp:posOffset>
            </wp:positionV>
            <wp:extent cx="431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-193675</wp:posOffset>
            </wp:positionV>
            <wp:extent cx="13716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-193675</wp:posOffset>
            </wp:positionV>
            <wp:extent cx="13716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-193675</wp:posOffset>
            </wp:positionV>
            <wp:extent cx="12001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-193675</wp:posOffset>
            </wp:positionV>
            <wp:extent cx="431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ind w:right="20" w:firstLine="509"/>
        <w:spacing w:after="0" w:line="299" w:lineRule="auto"/>
        <w:rPr>
          <w:sz w:val="20"/>
          <w:szCs w:val="20"/>
          <w:color w:val="auto"/>
        </w:rPr>
      </w:pPr>
      <w:r>
        <w:rPr>
          <w:rFonts w:ascii="Arial" w:cs="Arial" w:eastAsia="Arial" w:hAnsi="Arial"/>
          <w:sz w:val="16"/>
          <w:szCs w:val="16"/>
          <w:color w:val="auto"/>
        </w:rPr>
        <w:t>In July 2020, the Company invested $2.5 million in a private diagnostic company, in the form of a convertible promissory note that matures in two years, if not converted earlier. The Company was also issued a warrant to purchase up to $1.0 million of the entity’s preferred stock. The fair value of the warrant to purchase shares of the entity was based on unobservable inputs that are significant to the measurement of the fair value of the asset and is supported by little or no market data; accordingly, the warrant is considered a Level 3 financial asset and is remeasured on a nonrecurring basis. The Company measured the fair value of the warrant by applying the Black-Scholes option pricing method and utilizing the following inputs: stock price, strike price, volatility, risk-free interest rate, and expected term. The Company recognizes the interest income on the convertible promissory note based on the effective interest rate method over the life of the note. As of September 30, 2021, the balance of the convertible promissory note was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3" w:name="page14"/>
    <w:bookmarkEnd w:id="13"/>
    <w:p>
      <w:pPr>
        <w:ind w:right="60"/>
        <w:spacing w:after="0" w:line="324" w:lineRule="auto"/>
        <w:rPr>
          <w:sz w:val="20"/>
          <w:szCs w:val="20"/>
          <w:color w:val="auto"/>
        </w:rPr>
      </w:pPr>
      <w:r>
        <w:rPr>
          <w:rFonts w:ascii="Arial" w:cs="Arial" w:eastAsia="Arial" w:hAnsi="Arial"/>
          <w:sz w:val="18"/>
          <w:szCs w:val="18"/>
          <w:color w:val="auto"/>
        </w:rPr>
        <w:t>$2.3 million, including $0.4 million in interest receivable, and was recorded in other assets, and the allocated fair value of the warrant was $0.6 million and was recorded in equity investments.</w:t>
      </w:r>
    </w:p>
    <w:p>
      <w:pPr>
        <w:spacing w:after="0" w:line="2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In December 2020, the Company invested $1.4 million in Mahzi Therapeutics, Inc. (Mahzi), a private pharmaceutical company founded by a former employee of the Company, in the form of a convertible promissory note (Note) that matures in two years, if not converted earlier. As of September 30, 2021, the balance of the Note was $1.5 million. In October 2021, pursuant to a qualified financing event, in accordance with the terms of the Note, the outstanding balance of the Note was fully converted into 606,506 shares of preferred stock of Mahzi.</w:t>
      </w:r>
    </w:p>
    <w:p>
      <w:pPr>
        <w:spacing w:after="0" w:line="303" w:lineRule="exact"/>
        <w:rPr>
          <w:sz w:val="20"/>
          <w:szCs w:val="20"/>
          <w:color w:val="auto"/>
        </w:rPr>
      </w:pPr>
    </w:p>
    <w:p>
      <w:pPr>
        <w:ind w:right="8580" w:firstLine="8"/>
        <w:spacing w:after="0" w:line="407" w:lineRule="auto"/>
        <w:tabs>
          <w:tab w:leader="none" w:pos="3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Balance Sheet Components Cash Equivalents and Investments</w:t>
      </w:r>
    </w:p>
    <w:p>
      <w:pPr>
        <w:ind w:left="560"/>
        <w:spacing w:after="0"/>
        <w:rPr>
          <w:rFonts w:ascii="Arial" w:cs="Arial" w:eastAsia="Arial" w:hAnsi="Arial"/>
          <w:sz w:val="16"/>
          <w:szCs w:val="16"/>
          <w:b w:val="1"/>
          <w:bCs w:val="1"/>
          <w:color w:val="auto"/>
        </w:rPr>
      </w:pPr>
      <w:r>
        <w:rPr>
          <w:rFonts w:ascii="Arial" w:cs="Arial" w:eastAsia="Arial" w:hAnsi="Arial"/>
          <w:sz w:val="17"/>
          <w:szCs w:val="17"/>
          <w:color w:val="auto"/>
        </w:rPr>
        <w:t>The fair values of cash equivalents and investments classified as available-for-sale securities consisted of the following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36"/>
        </w:trPr>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Gross Unrealized</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80"/>
        </w:trPr>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w:t>
            </w: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ind w:left="100"/>
              <w:spacing w:after="0"/>
              <w:rPr>
                <w:sz w:val="20"/>
                <w:szCs w:val="20"/>
                <w:color w:val="auto"/>
              </w:rPr>
            </w:pPr>
            <w:r>
              <w:rPr>
                <w:rFonts w:ascii="Arial" w:cs="Arial" w:eastAsia="Arial" w:hAnsi="Arial"/>
                <w:sz w:val="14"/>
                <w:szCs w:val="14"/>
                <w:b w:val="1"/>
                <w:bCs w:val="1"/>
                <w:color w:val="auto"/>
              </w:rPr>
              <w:t>Estimated</w:t>
            </w:r>
          </w:p>
        </w:tc>
      </w:tr>
      <w:tr>
        <w:trPr>
          <w:trHeight w:val="192"/>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Losses</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4080" w:type="dxa"/>
            <w:vAlign w:val="bottom"/>
            <w:tcBorders>
              <w:right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Borders>
              <w:lef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133,111</w:t>
            </w:r>
          </w:p>
        </w:tc>
        <w:tc>
          <w:tcPr>
            <w:tcW w:w="200" w:type="dxa"/>
            <w:vAlign w:val="bottom"/>
            <w:shd w:val="clear" w:color="auto" w:fill="CCECFF"/>
          </w:tcPr>
          <w:p>
            <w:pPr>
              <w:spacing w:after="0"/>
              <w:rPr>
                <w:sz w:val="22"/>
                <w:szCs w:val="22"/>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CFF"/>
          </w:tcPr>
          <w:p>
            <w:pPr>
              <w:jc w:val="right"/>
              <w:ind w:right="3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133,111</w:t>
            </w:r>
          </w:p>
        </w:tc>
      </w:tr>
      <w:tr>
        <w:trPr>
          <w:trHeight w:val="250"/>
        </w:trPr>
        <w:tc>
          <w:tcPr>
            <w:tcW w:w="4080" w:type="dxa"/>
            <w:vAlign w:val="bottom"/>
            <w:gridSpan w:val="2"/>
          </w:tcPr>
          <w:p>
            <w:pPr>
              <w:spacing w:after="0"/>
              <w:rPr>
                <w:sz w:val="20"/>
                <w:szCs w:val="20"/>
                <w:color w:val="auto"/>
              </w:rPr>
            </w:pPr>
            <w:r>
              <w:rPr>
                <w:rFonts w:ascii="Arial" w:cs="Arial" w:eastAsia="Arial" w:hAnsi="Arial"/>
                <w:sz w:val="18"/>
                <w:szCs w:val="18"/>
                <w:color w:val="auto"/>
              </w:rPr>
              <w:t>Certificate of deposits and time deposits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17,501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17,501</w:t>
            </w:r>
          </w:p>
        </w:tc>
      </w:tr>
      <w:tr>
        <w:trPr>
          <w:trHeight w:val="263"/>
        </w:trPr>
        <w:tc>
          <w:tcPr>
            <w:tcW w:w="4080" w:type="dxa"/>
            <w:vAlign w:val="bottom"/>
            <w:tcBorders>
              <w:right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Corporate bonds</w:t>
            </w:r>
          </w:p>
        </w:tc>
        <w:tc>
          <w:tcPr>
            <w:tcW w:w="220" w:type="dxa"/>
            <w:vAlign w:val="bottom"/>
            <w:tcBorders>
              <w:left w:val="single" w:sz="8" w:color="CCECFF"/>
            </w:tcBorders>
            <w:shd w:val="clear" w:color="auto" w:fill="CCECFF"/>
          </w:tcPr>
          <w:p>
            <w:pPr>
              <w:spacing w:after="0"/>
              <w:rPr>
                <w:sz w:val="22"/>
                <w:szCs w:val="22"/>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324,109</w:t>
            </w:r>
          </w:p>
        </w:tc>
        <w:tc>
          <w:tcPr>
            <w:tcW w:w="20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right w:val="single" w:sz="8" w:color="CCECFF"/>
            </w:tcBorders>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9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(109 )</w:t>
            </w:r>
          </w:p>
        </w:tc>
        <w:tc>
          <w:tcPr>
            <w:tcW w:w="200" w:type="dxa"/>
            <w:vAlign w:val="bottom"/>
            <w:tcBorders>
              <w:left w:val="single" w:sz="8" w:color="CCECFF"/>
            </w:tcBorders>
            <w:shd w:val="clear" w:color="auto" w:fill="CCECFF"/>
          </w:tcPr>
          <w:p>
            <w:pPr>
              <w:spacing w:after="0"/>
              <w:rPr>
                <w:sz w:val="22"/>
                <w:szCs w:val="22"/>
                <w:color w:val="auto"/>
              </w:rPr>
            </w:pPr>
          </w:p>
        </w:tc>
        <w:tc>
          <w:tcPr>
            <w:tcW w:w="108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324,055</w:t>
            </w:r>
          </w:p>
        </w:tc>
      </w:tr>
      <w:tr>
        <w:trPr>
          <w:trHeight w:val="250"/>
        </w:trPr>
        <w:tc>
          <w:tcPr>
            <w:tcW w:w="408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308,824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308,825</w:t>
            </w:r>
          </w:p>
        </w:tc>
      </w:tr>
      <w:tr>
        <w:trPr>
          <w:trHeight w:val="263"/>
        </w:trPr>
        <w:tc>
          <w:tcPr>
            <w:tcW w:w="4080" w:type="dxa"/>
            <w:vAlign w:val="bottom"/>
            <w:tcBorders>
              <w:right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left w:val="single" w:sz="8" w:color="CCECFF"/>
            </w:tcBorders>
            <w:shd w:val="clear" w:color="auto" w:fill="CCECFF"/>
          </w:tcPr>
          <w:p>
            <w:pPr>
              <w:spacing w:after="0"/>
              <w:rPr>
                <w:sz w:val="22"/>
                <w:szCs w:val="22"/>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44,445</w:t>
            </w:r>
          </w:p>
        </w:tc>
        <w:tc>
          <w:tcPr>
            <w:tcW w:w="20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right w:val="single" w:sz="8" w:color="CCECFF"/>
            </w:tcBorders>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9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(7 )</w:t>
            </w:r>
          </w:p>
        </w:tc>
        <w:tc>
          <w:tcPr>
            <w:tcW w:w="200" w:type="dxa"/>
            <w:vAlign w:val="bottom"/>
            <w:tcBorders>
              <w:left w:val="single" w:sz="8" w:color="CCECFF"/>
            </w:tcBorders>
            <w:shd w:val="clear" w:color="auto" w:fill="CCECFF"/>
          </w:tcPr>
          <w:p>
            <w:pPr>
              <w:spacing w:after="0"/>
              <w:rPr>
                <w:sz w:val="22"/>
                <w:szCs w:val="22"/>
                <w:color w:val="auto"/>
              </w:rPr>
            </w:pPr>
          </w:p>
        </w:tc>
        <w:tc>
          <w:tcPr>
            <w:tcW w:w="108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44,457</w:t>
            </w:r>
          </w:p>
        </w:tc>
      </w:tr>
      <w:tr>
        <w:trPr>
          <w:trHeight w:val="250"/>
        </w:trPr>
        <w:tc>
          <w:tcPr>
            <w:tcW w:w="4080" w:type="dxa"/>
            <w:vAlign w:val="bottom"/>
            <w:gridSpan w:val="2"/>
          </w:tcPr>
          <w:p>
            <w:pPr>
              <w:spacing w:after="0"/>
              <w:rPr>
                <w:sz w:val="20"/>
                <w:szCs w:val="20"/>
                <w:color w:val="auto"/>
              </w:rPr>
            </w:pPr>
            <w:r>
              <w:rPr>
                <w:rFonts w:ascii="Arial" w:cs="Arial" w:eastAsia="Arial" w:hAnsi="Arial"/>
                <w:sz w:val="18"/>
                <w:szCs w:val="18"/>
                <w:color w:val="auto"/>
              </w:rPr>
              <w:t>U.S. Government Treasury and agency securities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61,987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(2 )</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62,003</w:t>
            </w:r>
          </w:p>
        </w:tc>
      </w:tr>
      <w:tr>
        <w:trPr>
          <w:trHeight w:val="263"/>
        </w:trPr>
        <w:tc>
          <w:tcPr>
            <w:tcW w:w="4080" w:type="dxa"/>
            <w:vAlign w:val="bottom"/>
            <w:tcBorders>
              <w:right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Debt securities in government-sponsored entities</w:t>
            </w:r>
          </w:p>
        </w:tc>
        <w:tc>
          <w:tcPr>
            <w:tcW w:w="220" w:type="dxa"/>
            <w:vAlign w:val="bottom"/>
            <w:tcBorders>
              <w:left w:val="single" w:sz="8" w:color="CCECFF"/>
            </w:tcBorders>
            <w:shd w:val="clear" w:color="auto" w:fill="CCECFF"/>
          </w:tcPr>
          <w:p>
            <w:pPr>
              <w:spacing w:after="0"/>
              <w:rPr>
                <w:sz w:val="22"/>
                <w:szCs w:val="22"/>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28,682</w:t>
            </w:r>
          </w:p>
        </w:tc>
        <w:tc>
          <w:tcPr>
            <w:tcW w:w="20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CCECFF"/>
            </w:tcBorders>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9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(5 )</w:t>
            </w:r>
          </w:p>
        </w:tc>
        <w:tc>
          <w:tcPr>
            <w:tcW w:w="200" w:type="dxa"/>
            <w:vAlign w:val="bottom"/>
            <w:tcBorders>
              <w:left w:val="single" w:sz="8" w:color="CCECFF"/>
            </w:tcBorders>
            <w:shd w:val="clear" w:color="auto" w:fill="CCECFF"/>
          </w:tcPr>
          <w:p>
            <w:pPr>
              <w:spacing w:after="0"/>
              <w:rPr>
                <w:sz w:val="22"/>
                <w:szCs w:val="22"/>
                <w:color w:val="auto"/>
              </w:rPr>
            </w:pPr>
          </w:p>
        </w:tc>
        <w:tc>
          <w:tcPr>
            <w:tcW w:w="108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28,680</w:t>
            </w:r>
          </w:p>
        </w:tc>
      </w:tr>
      <w:tr>
        <w:trPr>
          <w:trHeight w:val="20"/>
        </w:trPr>
        <w:tc>
          <w:tcPr>
            <w:tcW w:w="3960" w:type="dxa"/>
            <w:vAlign w:val="bottom"/>
            <w:shd w:val="clear" w:color="auto" w:fill="CCECFF"/>
          </w:tcPr>
          <w:p>
            <w:pPr>
              <w:spacing w:after="0" w:line="20" w:lineRule="exact"/>
              <w:rPr>
                <w:sz w:val="1"/>
                <w:szCs w:val="1"/>
                <w:color w:val="auto"/>
              </w:rPr>
            </w:pPr>
          </w:p>
        </w:tc>
        <w:tc>
          <w:tcPr>
            <w:tcW w:w="120" w:type="dxa"/>
            <w:vAlign w:val="bottom"/>
            <w:tcBorders>
              <w:right w:val="single" w:sz="8" w:color="CCECFF"/>
            </w:tcBorders>
            <w:shd w:val="clear" w:color="auto" w:fill="CCECFF"/>
          </w:tcPr>
          <w:p>
            <w:pPr>
              <w:spacing w:after="0" w:line="20" w:lineRule="exact"/>
              <w:rPr>
                <w:sz w:val="1"/>
                <w:szCs w:val="1"/>
                <w:color w:val="auto"/>
              </w:rPr>
            </w:pPr>
          </w:p>
        </w:tc>
        <w:tc>
          <w:tcPr>
            <w:tcW w:w="220" w:type="dxa"/>
            <w:vAlign w:val="bottom"/>
            <w:tcBorders>
              <w:left w:val="single" w:sz="8" w:color="CCECFF"/>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CECFF"/>
            </w:tcBorders>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200" w:type="dxa"/>
            <w:vAlign w:val="bottom"/>
            <w:tcBorders>
              <w:left w:val="single" w:sz="8" w:color="CCECFF"/>
            </w:tcBorders>
            <w:shd w:val="clear" w:color="auto" w:fill="000000"/>
          </w:tcPr>
          <w:p>
            <w:pPr>
              <w:spacing w:after="0" w:line="20" w:lineRule="exact"/>
              <w:rPr>
                <w:sz w:val="1"/>
                <w:szCs w:val="1"/>
                <w:color w:val="auto"/>
              </w:rPr>
            </w:pPr>
          </w:p>
        </w:tc>
        <w:tc>
          <w:tcPr>
            <w:tcW w:w="1080" w:type="dxa"/>
            <w:vAlign w:val="bottom"/>
            <w:tcBorders>
              <w:right w:val="single" w:sz="8" w:color="CCECFF"/>
            </w:tcBorders>
            <w:shd w:val="clear" w:color="auto" w:fill="000000"/>
          </w:tcPr>
          <w:p>
            <w:pPr>
              <w:spacing w:after="0" w:line="20" w:lineRule="exact"/>
              <w:rPr>
                <w:sz w:val="1"/>
                <w:szCs w:val="1"/>
                <w:color w:val="auto"/>
              </w:rPr>
            </w:pPr>
          </w:p>
        </w:tc>
      </w:tr>
      <w:tr>
        <w:trPr>
          <w:trHeight w:val="250"/>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918,659</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c>
          <w:tcPr>
            <w:tcW w:w="36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(123 )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918,632</w:t>
            </w: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569"/>
        </w:trPr>
        <w:tc>
          <w:tcPr>
            <w:tcW w:w="3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36"/>
        </w:trPr>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Gross Unrealized</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80"/>
        </w:trPr>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w:t>
            </w: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294"/>
              <w:spacing w:after="0"/>
              <w:rPr>
                <w:sz w:val="20"/>
                <w:szCs w:val="20"/>
                <w:color w:val="auto"/>
              </w:rPr>
            </w:pPr>
            <w:r>
              <w:rPr>
                <w:rFonts w:ascii="Arial" w:cs="Arial" w:eastAsia="Arial" w:hAnsi="Arial"/>
                <w:sz w:val="14"/>
                <w:szCs w:val="14"/>
                <w:b w:val="1"/>
                <w:bCs w:val="1"/>
                <w:color w:val="auto"/>
              </w:rPr>
              <w:t>Estimated</w:t>
            </w:r>
          </w:p>
        </w:tc>
      </w:tr>
      <w:tr>
        <w:trPr>
          <w:trHeight w:val="192"/>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86"/>
              </w:rPr>
              <w:t>Losses</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4080" w:type="dxa"/>
            <w:vAlign w:val="bottom"/>
            <w:tcBorders>
              <w:right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Borders>
              <w:left w:val="single" w:sz="8" w:color="CCECFF"/>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598,392</w:t>
            </w:r>
          </w:p>
        </w:tc>
        <w:tc>
          <w:tcPr>
            <w:tcW w:w="200" w:type="dxa"/>
            <w:vAlign w:val="bottom"/>
            <w:shd w:val="clear" w:color="auto" w:fill="CCECFF"/>
          </w:tcPr>
          <w:p>
            <w:pPr>
              <w:spacing w:after="0"/>
              <w:rPr>
                <w:sz w:val="22"/>
                <w:szCs w:val="22"/>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CFF"/>
          </w:tcPr>
          <w:p>
            <w:pPr>
              <w:jc w:val="right"/>
              <w:ind w:right="7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CFF"/>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598,392</w:t>
            </w:r>
          </w:p>
        </w:tc>
      </w:tr>
      <w:tr>
        <w:trPr>
          <w:trHeight w:val="250"/>
        </w:trPr>
        <w:tc>
          <w:tcPr>
            <w:tcW w:w="408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63"/>
        </w:trPr>
        <w:tc>
          <w:tcPr>
            <w:tcW w:w="4080" w:type="dxa"/>
            <w:vAlign w:val="bottom"/>
            <w:tcBorders>
              <w:right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Corporate bonds</w:t>
            </w:r>
          </w:p>
        </w:tc>
        <w:tc>
          <w:tcPr>
            <w:tcW w:w="220" w:type="dxa"/>
            <w:vAlign w:val="bottom"/>
            <w:tcBorders>
              <w:left w:val="single" w:sz="8" w:color="CCECFF"/>
            </w:tcBorders>
            <w:shd w:val="clear" w:color="auto" w:fill="CCECFF"/>
          </w:tcPr>
          <w:p>
            <w:pPr>
              <w:spacing w:after="0"/>
              <w:rPr>
                <w:sz w:val="22"/>
                <w:szCs w:val="22"/>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193,610</w:t>
            </w:r>
          </w:p>
        </w:tc>
        <w:tc>
          <w:tcPr>
            <w:tcW w:w="20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Borders>
              <w:right w:val="single" w:sz="8" w:color="CCECFF"/>
            </w:tcBorders>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(17 )</w:t>
            </w:r>
          </w:p>
        </w:tc>
        <w:tc>
          <w:tcPr>
            <w:tcW w:w="200" w:type="dxa"/>
            <w:vAlign w:val="bottom"/>
            <w:tcBorders>
              <w:left w:val="single" w:sz="8" w:color="CCECFF"/>
            </w:tcBorders>
            <w:shd w:val="clear" w:color="auto" w:fill="CCECFF"/>
          </w:tcPr>
          <w:p>
            <w:pPr>
              <w:spacing w:after="0"/>
              <w:rPr>
                <w:sz w:val="22"/>
                <w:szCs w:val="22"/>
                <w:color w:val="auto"/>
              </w:rPr>
            </w:pPr>
          </w:p>
        </w:tc>
        <w:tc>
          <w:tcPr>
            <w:tcW w:w="108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193,802</w:t>
            </w:r>
          </w:p>
        </w:tc>
      </w:tr>
      <w:tr>
        <w:trPr>
          <w:trHeight w:val="250"/>
        </w:trPr>
        <w:tc>
          <w:tcPr>
            <w:tcW w:w="408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173,859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173,859</w:t>
            </w:r>
          </w:p>
        </w:tc>
      </w:tr>
      <w:tr>
        <w:trPr>
          <w:trHeight w:val="263"/>
        </w:trPr>
        <w:tc>
          <w:tcPr>
            <w:tcW w:w="4080" w:type="dxa"/>
            <w:vAlign w:val="bottom"/>
            <w:tcBorders>
              <w:right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left w:val="single" w:sz="8" w:color="CCECFF"/>
            </w:tcBorders>
            <w:shd w:val="clear" w:color="auto" w:fill="CCECFF"/>
          </w:tcPr>
          <w:p>
            <w:pPr>
              <w:spacing w:after="0"/>
              <w:rPr>
                <w:sz w:val="22"/>
                <w:szCs w:val="22"/>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11,224</w:t>
            </w:r>
          </w:p>
        </w:tc>
        <w:tc>
          <w:tcPr>
            <w:tcW w:w="20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CCECFF"/>
            </w:tcBorders>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CFF"/>
            </w:tcBorders>
            <w:shd w:val="clear" w:color="auto" w:fill="CCECFF"/>
          </w:tcPr>
          <w:p>
            <w:pPr>
              <w:spacing w:after="0"/>
              <w:rPr>
                <w:sz w:val="22"/>
                <w:szCs w:val="22"/>
                <w:color w:val="auto"/>
              </w:rPr>
            </w:pPr>
          </w:p>
        </w:tc>
        <w:tc>
          <w:tcPr>
            <w:tcW w:w="108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11,225</w:t>
            </w:r>
          </w:p>
        </w:tc>
      </w:tr>
      <w:tr>
        <w:trPr>
          <w:trHeight w:val="257"/>
        </w:trPr>
        <w:tc>
          <w:tcPr>
            <w:tcW w:w="4080" w:type="dxa"/>
            <w:vAlign w:val="bottom"/>
            <w:gridSpan w:val="2"/>
          </w:tcPr>
          <w:p>
            <w:pPr>
              <w:spacing w:after="0"/>
              <w:rPr>
                <w:sz w:val="20"/>
                <w:szCs w:val="20"/>
                <w:color w:val="auto"/>
              </w:rPr>
            </w:pPr>
            <w:r>
              <w:rPr>
                <w:rFonts w:ascii="Arial" w:cs="Arial" w:eastAsia="Arial" w:hAnsi="Arial"/>
                <w:sz w:val="18"/>
                <w:szCs w:val="18"/>
                <w:color w:val="auto"/>
              </w:rPr>
              <w:t>U.S. Government Treasury and agency securities</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185,561</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185,628</w:t>
            </w:r>
          </w:p>
        </w:tc>
      </w:tr>
      <w:tr>
        <w:trPr>
          <w:trHeight w:val="270"/>
        </w:trPr>
        <w:tc>
          <w:tcPr>
            <w:tcW w:w="4080" w:type="dxa"/>
            <w:vAlign w:val="bottom"/>
            <w:tcBorders>
              <w:right w:val="single" w:sz="8" w:color="CCECFF"/>
            </w:tcBorders>
            <w:gridSpan w:val="2"/>
            <w:shd w:val="clear" w:color="auto" w:fill="CCEC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left w:val="single" w:sz="8" w:color="CCECFF"/>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1,172,646</w:t>
            </w:r>
          </w:p>
        </w:tc>
        <w:tc>
          <w:tcPr>
            <w:tcW w:w="200" w:type="dxa"/>
            <w:vAlign w:val="bottom"/>
            <w:shd w:val="clear" w:color="auto" w:fill="CCECFF"/>
          </w:tcPr>
          <w:p>
            <w:pPr>
              <w:spacing w:after="0"/>
              <w:rPr>
                <w:sz w:val="23"/>
                <w:szCs w:val="23"/>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Borders>
              <w:right w:val="single" w:sz="8" w:color="CCECFF"/>
            </w:tcBorders>
            <w:shd w:val="clear" w:color="auto" w:fill="CCECFF"/>
          </w:tcPr>
          <w:p>
            <w:pPr>
              <w:spacing w:after="0"/>
              <w:rPr>
                <w:sz w:val="23"/>
                <w:szCs w:val="23"/>
                <w:color w:val="auto"/>
              </w:rPr>
            </w:pPr>
          </w:p>
        </w:tc>
        <w:tc>
          <w:tcPr>
            <w:tcW w:w="140" w:type="dxa"/>
            <w:vAlign w:val="bottom"/>
            <w:shd w:val="clear" w:color="auto" w:fill="CCECFF"/>
          </w:tcPr>
          <w:p>
            <w:pPr>
              <w:jc w:val="right"/>
              <w:ind w:right="78"/>
              <w:spacing w:after="0"/>
              <w:rPr>
                <w:sz w:val="20"/>
                <w:szCs w:val="20"/>
                <w:color w:val="auto"/>
              </w:rPr>
            </w:pPr>
            <w:r>
              <w:rPr>
                <w:rFonts w:ascii="Arial" w:cs="Arial" w:eastAsia="Arial" w:hAnsi="Arial"/>
                <w:sz w:val="4"/>
                <w:szCs w:val="4"/>
                <w:color w:val="auto"/>
                <w:w w:val="87"/>
              </w:rPr>
              <w:t>$</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(17 )</w:t>
            </w:r>
          </w:p>
        </w:tc>
        <w:tc>
          <w:tcPr>
            <w:tcW w:w="200" w:type="dxa"/>
            <w:vAlign w:val="bottom"/>
            <w:tcBorders>
              <w:left w:val="single" w:sz="8" w:color="CCECFF"/>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1,172,906</w:t>
            </w:r>
          </w:p>
        </w:tc>
      </w:tr>
      <w:tr>
        <w:trPr>
          <w:trHeight w:val="20"/>
        </w:trPr>
        <w:tc>
          <w:tcPr>
            <w:tcW w:w="396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right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right w:val="single" w:sz="8" w:color="auto"/>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CFF"/>
            </w:tcBorders>
            <w:shd w:val="clear" w:color="auto" w:fill="000000"/>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CEC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-2165350</wp:posOffset>
            </wp:positionV>
            <wp:extent cx="12890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-2165350</wp:posOffset>
            </wp:positionV>
            <wp:extent cx="12890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-2165350</wp:posOffset>
            </wp:positionV>
            <wp:extent cx="13716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-2165350</wp:posOffset>
            </wp:positionV>
            <wp:extent cx="4318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-24765</wp:posOffset>
            </wp:positionV>
            <wp:extent cx="1289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1289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1117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1117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137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431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43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60" w:lineRule="exact"/>
        <w:rPr>
          <w:sz w:val="20"/>
          <w:szCs w:val="20"/>
          <w:color w:val="auto"/>
        </w:rPr>
      </w:pPr>
    </w:p>
    <w:p>
      <w:pPr>
        <w:ind w:right="220" w:firstLine="509"/>
        <w:spacing w:after="0" w:line="296" w:lineRule="auto"/>
        <w:rPr>
          <w:sz w:val="20"/>
          <w:szCs w:val="20"/>
          <w:color w:val="auto"/>
        </w:rPr>
      </w:pPr>
      <w:r>
        <w:rPr>
          <w:rFonts w:ascii="Arial" w:cs="Arial" w:eastAsia="Arial" w:hAnsi="Arial"/>
          <w:sz w:val="17"/>
          <w:szCs w:val="17"/>
          <w:color w:val="auto"/>
        </w:rPr>
        <w:t xml:space="preserve">At September 30, 2021, the remaining contractual maturities of available-for-sale securities were less than four years. There have been no significant realized gains or losses on available-for-sale securities for the three and nine months ended September 30, 2021 and 2020. </w:t>
      </w:r>
      <w:r>
        <w:rPr>
          <w:rFonts w:ascii="Arial" w:cs="Arial" w:eastAsia="Arial" w:hAnsi="Arial"/>
          <w:sz w:val="17"/>
          <w:szCs w:val="17"/>
          <w:color w:val="212529"/>
        </w:rPr>
        <w:t>All marketable</w:t>
      </w:r>
      <w:r>
        <w:rPr>
          <w:rFonts w:ascii="Arial" w:cs="Arial" w:eastAsia="Arial" w:hAnsi="Arial"/>
          <w:sz w:val="17"/>
          <w:szCs w:val="17"/>
          <w:color w:val="auto"/>
        </w:rPr>
        <w:t xml:space="preserve"> </w:t>
      </w:r>
      <w:r>
        <w:rPr>
          <w:rFonts w:ascii="Arial" w:cs="Arial" w:eastAsia="Arial" w:hAnsi="Arial"/>
          <w:sz w:val="17"/>
          <w:szCs w:val="17"/>
          <w:color w:val="212529"/>
        </w:rPr>
        <w:t xml:space="preserve">securities with unrealized losses at </w:t>
      </w:r>
      <w:r>
        <w:rPr>
          <w:rFonts w:ascii="Arial" w:cs="Arial" w:eastAsia="Arial" w:hAnsi="Arial"/>
          <w:sz w:val="17"/>
          <w:szCs w:val="17"/>
          <w:color w:val="000000"/>
        </w:rPr>
        <w:t>September 30, 2021</w:t>
      </w:r>
      <w:r>
        <w:rPr>
          <w:rFonts w:ascii="Arial" w:cs="Arial" w:eastAsia="Arial" w:hAnsi="Arial"/>
          <w:sz w:val="17"/>
          <w:szCs w:val="17"/>
          <w:color w:val="212529"/>
        </w:rPr>
        <w:t xml:space="preserve"> have been in a loss position for less than twelve months and were temporary in nature. </w:t>
      </w:r>
      <w:r>
        <w:rPr>
          <w:rFonts w:ascii="Arial" w:cs="Arial" w:eastAsia="Arial" w:hAnsi="Arial"/>
          <w:sz w:val="17"/>
          <w:szCs w:val="17"/>
          <w:color w:val="000000"/>
        </w:rPr>
        <w:t>We do not</w:t>
      </w:r>
      <w:r>
        <w:rPr>
          <w:rFonts w:ascii="Arial" w:cs="Arial" w:eastAsia="Arial" w:hAnsi="Arial"/>
          <w:sz w:val="17"/>
          <w:szCs w:val="17"/>
          <w:color w:val="212529"/>
        </w:rPr>
        <w:t xml:space="preserve"> </w:t>
      </w:r>
      <w:r>
        <w:rPr>
          <w:rFonts w:ascii="Arial" w:cs="Arial" w:eastAsia="Arial" w:hAnsi="Arial"/>
          <w:sz w:val="17"/>
          <w:szCs w:val="17"/>
          <w:color w:val="000000"/>
        </w:rPr>
        <w:t>intend to sell the investments that are in an unrealized loss position before recovery of their amortized cost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Inventory consists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317"/>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317"/>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9"/>
        </w:trPr>
        <w:tc>
          <w:tcPr>
            <w:tcW w:w="11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1140" w:type="dxa"/>
            <w:vAlign w:val="bottom"/>
          </w:tcPr>
          <w:p>
            <w:pPr>
              <w:spacing w:after="0"/>
              <w:rPr>
                <w:sz w:val="22"/>
                <w:szCs w:val="22"/>
                <w:color w:val="auto"/>
              </w:rPr>
            </w:pPr>
          </w:p>
        </w:tc>
        <w:tc>
          <w:tcPr>
            <w:tcW w:w="2840" w:type="dxa"/>
            <w:vAlign w:val="bottom"/>
            <w:shd w:val="clear" w:color="auto" w:fill="CCECFF"/>
          </w:tcPr>
          <w:p>
            <w:pPr>
              <w:spacing w:after="0"/>
              <w:rPr>
                <w:sz w:val="20"/>
                <w:szCs w:val="20"/>
                <w:color w:val="auto"/>
              </w:rPr>
            </w:pPr>
            <w:r>
              <w:rPr>
                <w:rFonts w:ascii="Arial" w:cs="Arial" w:eastAsia="Arial" w:hAnsi="Arial"/>
                <w:sz w:val="18"/>
                <w:szCs w:val="18"/>
                <w:color w:val="auto"/>
              </w:rPr>
              <w:t>Work-in-process</w:t>
            </w:r>
          </w:p>
        </w:tc>
        <w:tc>
          <w:tcPr>
            <w:tcW w:w="272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9,546</w:t>
            </w:r>
          </w:p>
        </w:tc>
        <w:tc>
          <w:tcPr>
            <w:tcW w:w="50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7,184</w:t>
            </w:r>
          </w:p>
        </w:tc>
        <w:tc>
          <w:tcPr>
            <w:tcW w:w="80" w:type="dxa"/>
            <w:vAlign w:val="bottom"/>
            <w:shd w:val="clear" w:color="auto" w:fill="CCECFF"/>
          </w:tcPr>
          <w:p>
            <w:pPr>
              <w:spacing w:after="0"/>
              <w:rPr>
                <w:sz w:val="22"/>
                <w:szCs w:val="22"/>
                <w:color w:val="auto"/>
              </w:rPr>
            </w:pPr>
          </w:p>
        </w:tc>
        <w:tc>
          <w:tcPr>
            <w:tcW w:w="1120" w:type="dxa"/>
            <w:vAlign w:val="bottom"/>
          </w:tcPr>
          <w:p>
            <w:pPr>
              <w:spacing w:after="0"/>
              <w:rPr>
                <w:sz w:val="22"/>
                <w:szCs w:val="22"/>
                <w:color w:val="auto"/>
              </w:rPr>
            </w:pPr>
          </w:p>
        </w:tc>
      </w:tr>
      <w:tr>
        <w:trPr>
          <w:trHeight w:val="256"/>
        </w:trPr>
        <w:tc>
          <w:tcPr>
            <w:tcW w:w="1140" w:type="dxa"/>
            <w:vAlign w:val="bottom"/>
          </w:tcPr>
          <w:p>
            <w:pPr>
              <w:spacing w:after="0"/>
              <w:rPr>
                <w:sz w:val="22"/>
                <w:szCs w:val="22"/>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Finished goods</w:t>
            </w:r>
          </w:p>
        </w:tc>
        <w:tc>
          <w:tcPr>
            <w:tcW w:w="24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w:t>
            </w:r>
          </w:p>
        </w:tc>
        <w:tc>
          <w:tcPr>
            <w:tcW w:w="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5,864</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90"/>
        </w:trPr>
        <w:tc>
          <w:tcPr>
            <w:tcW w:w="1140" w:type="dxa"/>
            <w:vAlign w:val="bottom"/>
          </w:tcPr>
          <w:p>
            <w:pPr>
              <w:spacing w:after="0"/>
              <w:rPr>
                <w:sz w:val="24"/>
                <w:szCs w:val="24"/>
                <w:color w:val="auto"/>
              </w:rPr>
            </w:pPr>
          </w:p>
        </w:tc>
        <w:tc>
          <w:tcPr>
            <w:tcW w:w="2840" w:type="dxa"/>
            <w:vAlign w:val="bottom"/>
            <w:shd w:val="clear" w:color="auto" w:fill="CCECFF"/>
          </w:tcPr>
          <w:p>
            <w:pPr>
              <w:ind w:left="180"/>
              <w:spacing w:after="0"/>
              <w:rPr>
                <w:sz w:val="20"/>
                <w:szCs w:val="20"/>
                <w:color w:val="auto"/>
              </w:rPr>
            </w:pPr>
            <w:r>
              <w:rPr>
                <w:rFonts w:ascii="Arial" w:cs="Arial" w:eastAsia="Arial" w:hAnsi="Arial"/>
                <w:sz w:val="18"/>
                <w:szCs w:val="18"/>
                <w:color w:val="auto"/>
              </w:rPr>
              <w:t>Total inventory</w:t>
            </w:r>
          </w:p>
        </w:tc>
        <w:tc>
          <w:tcPr>
            <w:tcW w:w="272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15,191</w:t>
            </w:r>
          </w:p>
        </w:tc>
        <w:tc>
          <w:tcPr>
            <w:tcW w:w="50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13,048</w:t>
            </w:r>
          </w:p>
        </w:tc>
        <w:tc>
          <w:tcPr>
            <w:tcW w:w="80" w:type="dxa"/>
            <w:vAlign w:val="bottom"/>
            <w:shd w:val="clear" w:color="auto" w:fill="CCECFF"/>
          </w:tcPr>
          <w:p>
            <w:pPr>
              <w:spacing w:after="0"/>
              <w:rPr>
                <w:sz w:val="24"/>
                <w:szCs w:val="24"/>
                <w:color w:val="auto"/>
              </w:rPr>
            </w:pPr>
          </w:p>
        </w:tc>
        <w:tc>
          <w:tcPr>
            <w:tcW w:w="1120" w:type="dxa"/>
            <w:vAlign w:val="bottom"/>
          </w:tcPr>
          <w:p>
            <w:pPr>
              <w:spacing w:after="0"/>
              <w:rPr>
                <w:sz w:val="24"/>
                <w:szCs w:val="24"/>
                <w:color w:val="auto"/>
              </w:rPr>
            </w:pPr>
          </w:p>
        </w:tc>
      </w:tr>
      <w:tr>
        <w:trPr>
          <w:trHeight w:val="440"/>
        </w:trPr>
        <w:tc>
          <w:tcPr>
            <w:tcW w:w="1140" w:type="dxa"/>
            <w:vAlign w:val="bottom"/>
          </w:tcPr>
          <w:p>
            <w:pPr>
              <w:spacing w:after="0"/>
              <w:rPr>
                <w:sz w:val="24"/>
                <w:szCs w:val="24"/>
                <w:color w:val="auto"/>
              </w:rPr>
            </w:pPr>
          </w:p>
        </w:tc>
        <w:tc>
          <w:tcPr>
            <w:tcW w:w="2840" w:type="dxa"/>
            <w:vAlign w:val="bottom"/>
            <w:tcBorders>
              <w:top w:val="single" w:sz="8" w:color="CCECFF"/>
            </w:tcBorders>
          </w:tcPr>
          <w:p>
            <w:pPr>
              <w:spacing w:after="0"/>
              <w:rPr>
                <w:sz w:val="24"/>
                <w:szCs w:val="24"/>
                <w:color w:val="auto"/>
              </w:rPr>
            </w:pPr>
          </w:p>
        </w:tc>
        <w:tc>
          <w:tcPr>
            <w:tcW w:w="2480" w:type="dxa"/>
            <w:vAlign w:val="bottom"/>
            <w:tcBorders>
              <w:top w:val="single" w:sz="8" w:color="CCECFF"/>
            </w:tcBorders>
          </w:tcPr>
          <w:p>
            <w:pPr>
              <w:jc w:val="right"/>
              <w:ind w:right="650"/>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60" w:type="dxa"/>
            <w:vAlign w:val="bottom"/>
            <w:tcBorders>
              <w:top w:val="single" w:sz="8" w:color="CCEC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80" w:type="dxa"/>
            <w:vAlign w:val="bottom"/>
            <w:tcBorders>
              <w:top w:val="single" w:sz="8" w:color="CCECFF"/>
            </w:tcBorders>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284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-385445</wp:posOffset>
            </wp:positionV>
            <wp:extent cx="1714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-367665</wp:posOffset>
            </wp:positionV>
            <wp:extent cx="1714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-385445</wp:posOffset>
            </wp:positionV>
            <wp:extent cx="51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-367665</wp:posOffset>
            </wp:positionV>
            <wp:extent cx="514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Accrued Liabilities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w w:val="94"/>
              </w:rPr>
              <w:t>December 31,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3960" w:type="dxa"/>
            <w:vAlign w:val="bottom"/>
            <w:gridSpan w:val="2"/>
            <w:shd w:val="clear" w:color="auto" w:fill="CCECFF"/>
          </w:tcPr>
          <w:p>
            <w:pPr>
              <w:spacing w:after="0"/>
              <w:rPr>
                <w:sz w:val="20"/>
                <w:szCs w:val="20"/>
                <w:color w:val="auto"/>
              </w:rPr>
            </w:pPr>
            <w:r>
              <w:rPr>
                <w:rFonts w:ascii="Arial" w:cs="Arial" w:eastAsia="Arial" w:hAnsi="Arial"/>
                <w:sz w:val="18"/>
                <w:szCs w:val="18"/>
                <w:color w:val="auto"/>
                <w:w w:val="91"/>
              </w:rPr>
              <w:t>Research, clinical study, and manufacturing expenses</w:t>
            </w:r>
          </w:p>
        </w:tc>
        <w:tc>
          <w:tcPr>
            <w:tcW w:w="84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800" w:type="dxa"/>
            <w:vAlign w:val="bottom"/>
            <w:shd w:val="clear" w:color="auto" w:fill="CCECFF"/>
          </w:tcPr>
          <w:p>
            <w:pPr>
              <w:jc w:val="right"/>
              <w:ind w:right="614"/>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0"/>
              </w:rPr>
              <w:t>22,258</w:t>
            </w:r>
          </w:p>
        </w:tc>
        <w:tc>
          <w:tcPr>
            <w:tcW w:w="560" w:type="dxa"/>
            <w:vAlign w:val="bottom"/>
            <w:gridSpan w:val="3"/>
            <w:shd w:val="clear" w:color="auto" w:fill="CCEC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520" w:type="dxa"/>
            <w:vAlign w:val="bottom"/>
            <w:shd w:val="clear" w:color="auto" w:fill="CCECFF"/>
          </w:tcPr>
          <w:p>
            <w:pPr>
              <w:spacing w:after="0"/>
              <w:rPr>
                <w:sz w:val="22"/>
                <w:szCs w:val="2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25,875</w:t>
            </w:r>
          </w:p>
        </w:tc>
        <w:tc>
          <w:tcPr>
            <w:tcW w:w="20" w:type="dxa"/>
            <w:vAlign w:val="bottom"/>
            <w:shd w:val="clear" w:color="auto" w:fill="CCECFF"/>
          </w:tcPr>
          <w:p>
            <w:pPr>
              <w:spacing w:after="0"/>
              <w:rPr>
                <w:sz w:val="22"/>
                <w:szCs w:val="22"/>
                <w:color w:val="auto"/>
              </w:rPr>
            </w:pPr>
          </w:p>
        </w:tc>
        <w:tc>
          <w:tcPr>
            <w:tcW w:w="6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55,164</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58,176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2"/>
                <w:szCs w:val="22"/>
                <w:color w:val="auto"/>
              </w:rPr>
            </w:pPr>
          </w:p>
        </w:tc>
        <w:tc>
          <w:tcPr>
            <w:tcW w:w="36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CFF"/>
            </w:tcBorders>
            <w:shd w:val="clear" w:color="auto" w:fill="CCECFF"/>
          </w:tcPr>
          <w:p>
            <w:pPr>
              <w:spacing w:after="0"/>
              <w:rPr>
                <w:sz w:val="22"/>
                <w:szCs w:val="22"/>
                <w:color w:val="auto"/>
              </w:rPr>
            </w:pPr>
          </w:p>
        </w:tc>
        <w:tc>
          <w:tcPr>
            <w:tcW w:w="840" w:type="dxa"/>
            <w:vAlign w:val="bottom"/>
            <w:tcBorders>
              <w:bottom w:val="single" w:sz="8" w:color="CCECFF"/>
            </w:tcBorders>
            <w:shd w:val="clear" w:color="auto" w:fill="CCECFF"/>
          </w:tcPr>
          <w:p>
            <w:pPr>
              <w:spacing w:after="0"/>
              <w:rPr>
                <w:sz w:val="22"/>
                <w:szCs w:val="22"/>
                <w:color w:val="auto"/>
              </w:rPr>
            </w:pPr>
          </w:p>
        </w:tc>
        <w:tc>
          <w:tcPr>
            <w:tcW w:w="200" w:type="dxa"/>
            <w:vAlign w:val="bottom"/>
            <w:tcBorders>
              <w:bottom w:val="single" w:sz="8" w:color="CCECFF"/>
            </w:tcBorders>
            <w:shd w:val="clear" w:color="auto" w:fill="CCECFF"/>
          </w:tcPr>
          <w:p>
            <w:pPr>
              <w:spacing w:after="0"/>
              <w:rPr>
                <w:sz w:val="22"/>
                <w:szCs w:val="22"/>
                <w:color w:val="auto"/>
              </w:rPr>
            </w:pPr>
          </w:p>
        </w:tc>
        <w:tc>
          <w:tcPr>
            <w:tcW w:w="360" w:type="dxa"/>
            <w:vAlign w:val="bottom"/>
            <w:tcBorders>
              <w:bottom w:val="single" w:sz="8" w:color="CCECFF"/>
            </w:tcBorders>
            <w:shd w:val="clear" w:color="auto" w:fill="CCECFF"/>
          </w:tcPr>
          <w:p>
            <w:pPr>
              <w:spacing w:after="0"/>
              <w:rPr>
                <w:sz w:val="22"/>
                <w:szCs w:val="22"/>
                <w:color w:val="auto"/>
              </w:rPr>
            </w:pPr>
          </w:p>
        </w:tc>
        <w:tc>
          <w:tcPr>
            <w:tcW w:w="800" w:type="dxa"/>
            <w:vAlign w:val="bottom"/>
            <w:tcBorders>
              <w:bottom w:val="single" w:sz="8" w:color="auto"/>
            </w:tcBorders>
            <w:shd w:val="clear" w:color="auto" w:fill="CCECFF"/>
          </w:tcPr>
          <w:p>
            <w:pPr>
              <w:spacing w:after="0"/>
              <w:rPr>
                <w:sz w:val="22"/>
                <w:szCs w:val="22"/>
                <w:color w:val="auto"/>
              </w:rPr>
            </w:pPr>
          </w:p>
        </w:tc>
        <w:tc>
          <w:tcPr>
            <w:tcW w:w="200" w:type="dxa"/>
            <w:vAlign w:val="bottom"/>
            <w:tcBorders>
              <w:bottom w:val="single" w:sz="8" w:color="auto"/>
            </w:tcBorders>
            <w:shd w:val="clear" w:color="auto" w:fill="CCECFF"/>
          </w:tcPr>
          <w:p>
            <w:pPr>
              <w:spacing w:after="0"/>
              <w:rPr>
                <w:sz w:val="22"/>
                <w:szCs w:val="22"/>
                <w:color w:val="auto"/>
              </w:rPr>
            </w:pPr>
          </w:p>
        </w:tc>
        <w:tc>
          <w:tcPr>
            <w:tcW w:w="120" w:type="dxa"/>
            <w:vAlign w:val="bottom"/>
            <w:tcBorders>
              <w:bottom w:val="single" w:sz="8" w:color="auto"/>
            </w:tcBorders>
            <w:shd w:val="clear" w:color="auto" w:fill="CCECFF"/>
          </w:tcPr>
          <w:p>
            <w:pPr>
              <w:spacing w:after="0"/>
              <w:rPr>
                <w:sz w:val="22"/>
                <w:szCs w:val="2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0"/>
              </w:rPr>
              <w:t>32,238</w:t>
            </w:r>
          </w:p>
        </w:tc>
        <w:tc>
          <w:tcPr>
            <w:tcW w:w="20" w:type="dxa"/>
            <w:vAlign w:val="bottom"/>
            <w:tcBorders>
              <w:bottom w:val="single" w:sz="8" w:color="auto"/>
            </w:tcBorders>
            <w:shd w:val="clear" w:color="auto" w:fill="CCECFF"/>
          </w:tcPr>
          <w:p>
            <w:pPr>
              <w:spacing w:after="0"/>
              <w:rPr>
                <w:sz w:val="22"/>
                <w:szCs w:val="22"/>
                <w:color w:val="auto"/>
              </w:rPr>
            </w:pPr>
          </w:p>
        </w:tc>
        <w:tc>
          <w:tcPr>
            <w:tcW w:w="240" w:type="dxa"/>
            <w:vAlign w:val="bottom"/>
            <w:tcBorders>
              <w:bottom w:val="single" w:sz="8" w:color="CCECFF"/>
            </w:tcBorders>
            <w:shd w:val="clear" w:color="auto" w:fill="CCECFF"/>
          </w:tcPr>
          <w:p>
            <w:pPr>
              <w:spacing w:after="0"/>
              <w:rPr>
                <w:sz w:val="22"/>
                <w:szCs w:val="22"/>
                <w:color w:val="auto"/>
              </w:rPr>
            </w:pPr>
          </w:p>
        </w:tc>
        <w:tc>
          <w:tcPr>
            <w:tcW w:w="300" w:type="dxa"/>
            <w:vAlign w:val="bottom"/>
            <w:tcBorders>
              <w:bottom w:val="single" w:sz="8" w:color="auto"/>
            </w:tcBorders>
            <w:shd w:val="clear" w:color="auto" w:fill="CCECFF"/>
          </w:tcPr>
          <w:p>
            <w:pPr>
              <w:spacing w:after="0"/>
              <w:rPr>
                <w:sz w:val="22"/>
                <w:szCs w:val="22"/>
                <w:color w:val="auto"/>
              </w:rPr>
            </w:pPr>
          </w:p>
        </w:tc>
        <w:tc>
          <w:tcPr>
            <w:tcW w:w="60" w:type="dxa"/>
            <w:vAlign w:val="bottom"/>
            <w:tcBorders>
              <w:bottom w:val="single" w:sz="8" w:color="auto"/>
            </w:tcBorders>
            <w:shd w:val="clear" w:color="auto" w:fill="CCECFF"/>
          </w:tcPr>
          <w:p>
            <w:pPr>
              <w:spacing w:after="0"/>
              <w:rPr>
                <w:sz w:val="22"/>
                <w:szCs w:val="22"/>
                <w:color w:val="auto"/>
              </w:rPr>
            </w:pPr>
          </w:p>
        </w:tc>
        <w:tc>
          <w:tcPr>
            <w:tcW w:w="120" w:type="dxa"/>
            <w:vAlign w:val="bottom"/>
            <w:tcBorders>
              <w:bottom w:val="single" w:sz="8" w:color="auto"/>
            </w:tcBorders>
            <w:shd w:val="clear" w:color="auto" w:fill="CCECFF"/>
          </w:tcPr>
          <w:p>
            <w:pPr>
              <w:spacing w:after="0"/>
              <w:rPr>
                <w:sz w:val="22"/>
                <w:szCs w:val="22"/>
                <w:color w:val="auto"/>
              </w:rPr>
            </w:pPr>
          </w:p>
        </w:tc>
        <w:tc>
          <w:tcPr>
            <w:tcW w:w="520" w:type="dxa"/>
            <w:vAlign w:val="bottom"/>
            <w:tcBorders>
              <w:bottom w:val="single" w:sz="8" w:color="auto"/>
            </w:tcBorders>
            <w:shd w:val="clear" w:color="auto" w:fill="CCECFF"/>
          </w:tcPr>
          <w:p>
            <w:pPr>
              <w:spacing w:after="0"/>
              <w:rPr>
                <w:sz w:val="22"/>
                <w:szCs w:val="2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24,440</w:t>
            </w:r>
          </w:p>
        </w:tc>
        <w:tc>
          <w:tcPr>
            <w:tcW w:w="20" w:type="dxa"/>
            <w:vAlign w:val="bottom"/>
            <w:tcBorders>
              <w:bottom w:val="single" w:sz="8" w:color="CCECFF"/>
            </w:tcBorders>
            <w:shd w:val="clear" w:color="auto" w:fill="CCECFF"/>
          </w:tcPr>
          <w:p>
            <w:pPr>
              <w:spacing w:after="0"/>
              <w:rPr>
                <w:sz w:val="22"/>
                <w:szCs w:val="22"/>
                <w:color w:val="auto"/>
              </w:rPr>
            </w:pPr>
          </w:p>
        </w:tc>
        <w:tc>
          <w:tcPr>
            <w:tcW w:w="6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Total accrued liabilities</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614"/>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109,660</w:t>
            </w: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108,491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Revenue</w:t>
            </w: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7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500" w:type="dxa"/>
            <w:vAlign w:val="bottom"/>
            <w:gridSpan w:val="6"/>
          </w:tcPr>
          <w:p>
            <w:pPr>
              <w:jc w:val="right"/>
              <w:ind w:right="200"/>
              <w:spacing w:after="0"/>
              <w:rPr>
                <w:sz w:val="20"/>
                <w:szCs w:val="20"/>
                <w:color w:val="auto"/>
              </w:rPr>
            </w:pPr>
            <w:r>
              <w:rPr>
                <w:rFonts w:ascii="Arial" w:cs="Arial" w:eastAsia="Arial" w:hAnsi="Arial"/>
                <w:sz w:val="18"/>
                <w:szCs w:val="18"/>
                <w:color w:val="auto"/>
                <w:w w:val="98"/>
              </w:rPr>
              <w:t>The following table disaggregates total revenues from customers (in thousands):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1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93"/>
              </w:rPr>
              <w:t>Nine Months Ended</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21"/>
                <w:szCs w:val="21"/>
                <w:color w:val="auto"/>
              </w:rPr>
            </w:pPr>
          </w:p>
        </w:tc>
        <w:tc>
          <w:tcPr>
            <w:tcW w:w="134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3640" w:type="dxa"/>
            <w:vAlign w:val="bottom"/>
            <w:shd w:val="clear" w:color="auto" w:fill="CCECFF"/>
          </w:tcPr>
          <w:p>
            <w:pPr>
              <w:spacing w:after="0"/>
              <w:rPr>
                <w:sz w:val="20"/>
                <w:szCs w:val="20"/>
                <w:color w:val="auto"/>
              </w:rPr>
            </w:pPr>
            <w:r>
              <w:rPr>
                <w:rFonts w:ascii="Arial" w:cs="Arial" w:eastAsia="Arial" w:hAnsi="Arial"/>
                <w:sz w:val="18"/>
                <w:szCs w:val="18"/>
                <w:color w:val="auto"/>
              </w:rPr>
              <w:t>Collaboration and license revenue:</w:t>
            </w:r>
          </w:p>
        </w:tc>
        <w:tc>
          <w:tcPr>
            <w:tcW w:w="320" w:type="dxa"/>
            <w:vAlign w:val="bottom"/>
            <w:tcBorders>
              <w:top w:val="single" w:sz="8" w:color="auto"/>
            </w:tcBorders>
            <w:shd w:val="clear" w:color="auto" w:fill="CCECFF"/>
          </w:tcPr>
          <w:p>
            <w:pPr>
              <w:spacing w:after="0"/>
              <w:rPr>
                <w:sz w:val="22"/>
                <w:szCs w:val="22"/>
                <w:color w:val="auto"/>
              </w:rPr>
            </w:pPr>
          </w:p>
        </w:tc>
        <w:tc>
          <w:tcPr>
            <w:tcW w:w="840" w:type="dxa"/>
            <w:vAlign w:val="bottom"/>
            <w:tcBorders>
              <w:top w:val="single" w:sz="8" w:color="auto"/>
            </w:tcBorders>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360" w:type="dxa"/>
            <w:vAlign w:val="bottom"/>
            <w:tcBorders>
              <w:top w:val="single" w:sz="8" w:color="auto"/>
            </w:tcBorders>
            <w:shd w:val="clear" w:color="auto" w:fill="CCECFF"/>
          </w:tcPr>
          <w:p>
            <w:pPr>
              <w:spacing w:after="0"/>
              <w:rPr>
                <w:sz w:val="22"/>
                <w:szCs w:val="22"/>
                <w:color w:val="auto"/>
              </w:rPr>
            </w:pPr>
          </w:p>
        </w:tc>
        <w:tc>
          <w:tcPr>
            <w:tcW w:w="800" w:type="dxa"/>
            <w:vAlign w:val="bottom"/>
            <w:tcBorders>
              <w:top w:val="single" w:sz="8" w:color="auto"/>
            </w:tcBorders>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120" w:type="dxa"/>
            <w:vAlign w:val="bottom"/>
            <w:tcBorders>
              <w:top w:val="single" w:sz="8" w:color="auto"/>
            </w:tcBorders>
            <w:shd w:val="clear" w:color="auto" w:fill="CCECFF"/>
          </w:tcPr>
          <w:p>
            <w:pPr>
              <w:spacing w:after="0"/>
              <w:rPr>
                <w:sz w:val="22"/>
                <w:szCs w:val="22"/>
                <w:color w:val="auto"/>
              </w:rPr>
            </w:pPr>
          </w:p>
        </w:tc>
        <w:tc>
          <w:tcPr>
            <w:tcW w:w="520" w:type="dxa"/>
            <w:vAlign w:val="bottom"/>
            <w:tcBorders>
              <w:top w:val="single" w:sz="8" w:color="auto"/>
            </w:tcBorders>
            <w:shd w:val="clear" w:color="auto" w:fill="CCECFF"/>
          </w:tcPr>
          <w:p>
            <w:pPr>
              <w:spacing w:after="0"/>
              <w:rPr>
                <w:sz w:val="22"/>
                <w:szCs w:val="22"/>
                <w:color w:val="auto"/>
              </w:rPr>
            </w:pPr>
          </w:p>
        </w:tc>
        <w:tc>
          <w:tcPr>
            <w:tcW w:w="20" w:type="dxa"/>
            <w:vAlign w:val="bottom"/>
            <w:tcBorders>
              <w:top w:val="single" w:sz="8" w:color="auto"/>
            </w:tcBorders>
            <w:shd w:val="clear" w:color="auto" w:fill="CCECFF"/>
          </w:tcPr>
          <w:p>
            <w:pPr>
              <w:spacing w:after="0"/>
              <w:rPr>
                <w:sz w:val="22"/>
                <w:szCs w:val="22"/>
                <w:color w:val="auto"/>
              </w:rPr>
            </w:pPr>
          </w:p>
        </w:tc>
        <w:tc>
          <w:tcPr>
            <w:tcW w:w="240" w:type="dxa"/>
            <w:vAlign w:val="bottom"/>
            <w:tcBorders>
              <w:top w:val="single" w:sz="8" w:color="auto"/>
            </w:tcBorders>
            <w:shd w:val="clear" w:color="auto" w:fill="CCECFF"/>
          </w:tcPr>
          <w:p>
            <w:pPr>
              <w:spacing w:after="0"/>
              <w:rPr>
                <w:sz w:val="22"/>
                <w:szCs w:val="22"/>
                <w:color w:val="auto"/>
              </w:rPr>
            </w:pPr>
          </w:p>
        </w:tc>
        <w:tc>
          <w:tcPr>
            <w:tcW w:w="300" w:type="dxa"/>
            <w:vAlign w:val="bottom"/>
            <w:tcBorders>
              <w:top w:val="single" w:sz="8" w:color="auto"/>
            </w:tcBorders>
            <w:shd w:val="clear" w:color="auto" w:fill="CCECFF"/>
          </w:tcPr>
          <w:p>
            <w:pPr>
              <w:spacing w:after="0"/>
              <w:rPr>
                <w:sz w:val="22"/>
                <w:szCs w:val="22"/>
                <w:color w:val="auto"/>
              </w:rPr>
            </w:pPr>
          </w:p>
        </w:tc>
        <w:tc>
          <w:tcPr>
            <w:tcW w:w="6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520" w:type="dxa"/>
            <w:vAlign w:val="bottom"/>
            <w:tcBorders>
              <w:top w:val="single" w:sz="8" w:color="auto"/>
            </w:tcBorders>
            <w:shd w:val="clear" w:color="auto" w:fill="CCECFF"/>
          </w:tcPr>
          <w:p>
            <w:pPr>
              <w:spacing w:after="0"/>
              <w:rPr>
                <w:sz w:val="22"/>
                <w:szCs w:val="22"/>
                <w:color w:val="auto"/>
              </w:rPr>
            </w:pPr>
          </w:p>
        </w:tc>
        <w:tc>
          <w:tcPr>
            <w:tcW w:w="640" w:type="dxa"/>
            <w:vAlign w:val="bottom"/>
            <w:tcBorders>
              <w:top w:val="single" w:sz="8" w:color="auto"/>
            </w:tcBorders>
            <w:shd w:val="clear" w:color="auto" w:fill="CCECFF"/>
          </w:tcPr>
          <w:p>
            <w:pPr>
              <w:spacing w:after="0"/>
              <w:rPr>
                <w:sz w:val="22"/>
                <w:szCs w:val="22"/>
                <w:color w:val="auto"/>
              </w:rPr>
            </w:pPr>
          </w:p>
        </w:tc>
        <w:tc>
          <w:tcPr>
            <w:tcW w:w="20" w:type="dxa"/>
            <w:vAlign w:val="bottom"/>
            <w:tcBorders>
              <w:top w:val="single" w:sz="8" w:color="auto"/>
            </w:tcBorders>
            <w:shd w:val="clear" w:color="auto" w:fill="CCECFF"/>
          </w:tcPr>
          <w:p>
            <w:pPr>
              <w:spacing w:after="0"/>
              <w:rPr>
                <w:sz w:val="22"/>
                <w:szCs w:val="22"/>
                <w:color w:val="auto"/>
              </w:rPr>
            </w:pPr>
          </w:p>
        </w:tc>
        <w:tc>
          <w:tcPr>
            <w:tcW w:w="6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Crysvita collaboration revenue in profit-</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640" w:type="dxa"/>
            <w:vAlign w:val="bottom"/>
          </w:tcPr>
          <w:p>
            <w:pPr>
              <w:ind w:left="280"/>
              <w:spacing w:after="0"/>
              <w:rPr>
                <w:sz w:val="20"/>
                <w:szCs w:val="20"/>
                <w:color w:val="auto"/>
              </w:rPr>
            </w:pPr>
            <w:r>
              <w:rPr>
                <w:rFonts w:ascii="Arial" w:cs="Arial" w:eastAsia="Arial" w:hAnsi="Arial"/>
                <w:sz w:val="18"/>
                <w:szCs w:val="18"/>
                <w:color w:val="auto"/>
              </w:rPr>
              <w:t>share territory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42,971</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34,058</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120,987</w:t>
            </w:r>
          </w:p>
        </w:tc>
        <w:tc>
          <w:tcPr>
            <w:tcW w:w="7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91,079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640" w:type="dxa"/>
            <w:vAlign w:val="bottom"/>
            <w:shd w:val="clear" w:color="auto" w:fill="CCECFF"/>
          </w:tcPr>
          <w:p>
            <w:pPr>
              <w:ind w:left="100"/>
              <w:spacing w:after="0"/>
              <w:rPr>
                <w:sz w:val="20"/>
                <w:szCs w:val="20"/>
                <w:color w:val="auto"/>
              </w:rPr>
            </w:pPr>
            <w:r>
              <w:rPr>
                <w:rFonts w:ascii="Arial" w:cs="Arial" w:eastAsia="Arial" w:hAnsi="Arial"/>
                <w:sz w:val="18"/>
                <w:szCs w:val="18"/>
                <w:color w:val="auto"/>
              </w:rPr>
              <w:t>Crysvita royalty revenue in European</w:t>
            </w:r>
          </w:p>
        </w:tc>
        <w:tc>
          <w:tcPr>
            <w:tcW w:w="32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80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520" w:type="dxa"/>
            <w:vAlign w:val="bottom"/>
            <w:shd w:val="clear" w:color="auto" w:fill="CCECFF"/>
          </w:tcPr>
          <w:p>
            <w:pPr>
              <w:spacing w:after="0"/>
              <w:rPr>
                <w:sz w:val="21"/>
                <w:szCs w:val="21"/>
                <w:color w:val="auto"/>
              </w:rPr>
            </w:pPr>
          </w:p>
        </w:tc>
        <w:tc>
          <w:tcPr>
            <w:tcW w:w="2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520" w:type="dxa"/>
            <w:vAlign w:val="bottom"/>
            <w:shd w:val="clear" w:color="auto" w:fill="CCECFF"/>
          </w:tcPr>
          <w:p>
            <w:pPr>
              <w:spacing w:after="0"/>
              <w:rPr>
                <w:sz w:val="21"/>
                <w:szCs w:val="21"/>
                <w:color w:val="auto"/>
              </w:rPr>
            </w:pPr>
          </w:p>
        </w:tc>
        <w:tc>
          <w:tcPr>
            <w:tcW w:w="640" w:type="dxa"/>
            <w:vAlign w:val="bottom"/>
            <w:shd w:val="clear" w:color="auto" w:fill="CCECFF"/>
          </w:tcPr>
          <w:p>
            <w:pPr>
              <w:spacing w:after="0"/>
              <w:rPr>
                <w:sz w:val="21"/>
                <w:szCs w:val="21"/>
                <w:color w:val="auto"/>
              </w:rPr>
            </w:pPr>
          </w:p>
        </w:tc>
        <w:tc>
          <w:tcPr>
            <w:tcW w:w="20" w:type="dxa"/>
            <w:vAlign w:val="bottom"/>
            <w:shd w:val="clear" w:color="auto" w:fill="CCECFF"/>
          </w:tcPr>
          <w:p>
            <w:pPr>
              <w:spacing w:after="0"/>
              <w:rPr>
                <w:sz w:val="21"/>
                <w:szCs w:val="21"/>
                <w:color w:val="auto"/>
              </w:rPr>
            </w:pPr>
          </w:p>
        </w:tc>
        <w:tc>
          <w:tcPr>
            <w:tcW w:w="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140" w:type="dxa"/>
            <w:vAlign w:val="bottom"/>
          </w:tcPr>
          <w:p>
            <w:pPr>
              <w:spacing w:after="0"/>
              <w:rPr>
                <w:sz w:val="21"/>
                <w:szCs w:val="21"/>
                <w:color w:val="auto"/>
              </w:rPr>
            </w:pPr>
          </w:p>
        </w:tc>
        <w:tc>
          <w:tcPr>
            <w:tcW w:w="3640" w:type="dxa"/>
            <w:vAlign w:val="bottom"/>
            <w:shd w:val="clear" w:color="auto" w:fill="CCECFF"/>
          </w:tcPr>
          <w:p>
            <w:pPr>
              <w:ind w:left="280"/>
              <w:spacing w:after="0"/>
              <w:rPr>
                <w:sz w:val="20"/>
                <w:szCs w:val="20"/>
                <w:color w:val="auto"/>
              </w:rPr>
            </w:pPr>
            <w:r>
              <w:rPr>
                <w:rFonts w:ascii="Arial" w:cs="Arial" w:eastAsia="Arial" w:hAnsi="Arial"/>
                <w:sz w:val="18"/>
                <w:szCs w:val="18"/>
                <w:color w:val="auto"/>
              </w:rPr>
              <w:t>territory</w:t>
            </w:r>
          </w:p>
        </w:tc>
        <w:tc>
          <w:tcPr>
            <w:tcW w:w="32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00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CFF"/>
          </w:tcPr>
          <w:p>
            <w:pPr>
              <w:spacing w:after="0"/>
              <w:rPr>
                <w:sz w:val="21"/>
                <w:szCs w:val="21"/>
                <w:color w:val="auto"/>
              </w:rPr>
            </w:pPr>
          </w:p>
        </w:tc>
        <w:tc>
          <w:tcPr>
            <w:tcW w:w="520" w:type="dxa"/>
            <w:vAlign w:val="bottom"/>
            <w:shd w:val="clear" w:color="auto" w:fill="CCECFF"/>
          </w:tcPr>
          <w:p>
            <w:pPr>
              <w:spacing w:after="0"/>
              <w:rPr>
                <w:sz w:val="21"/>
                <w:szCs w:val="21"/>
                <w:color w:val="auto"/>
              </w:rPr>
            </w:pPr>
          </w:p>
        </w:tc>
        <w:tc>
          <w:tcPr>
            <w:tcW w:w="560" w:type="dxa"/>
            <w:vAlign w:val="bottom"/>
            <w:gridSpan w:val="3"/>
            <w:shd w:val="clear" w:color="auto" w:fill="CCECFF"/>
          </w:tcPr>
          <w:p>
            <w:pPr>
              <w:jc w:val="right"/>
              <w:ind w:right="20"/>
              <w:spacing w:after="0"/>
              <w:rPr>
                <w:sz w:val="20"/>
                <w:szCs w:val="20"/>
                <w:color w:val="auto"/>
              </w:rPr>
            </w:pPr>
            <w:r>
              <w:rPr>
                <w:rFonts w:ascii="Arial" w:cs="Arial" w:eastAsia="Arial" w:hAnsi="Arial"/>
                <w:sz w:val="18"/>
                <w:szCs w:val="18"/>
                <w:color w:val="auto"/>
              </w:rPr>
              <w:t>244</w:t>
            </w:r>
          </w:p>
        </w:tc>
        <w:tc>
          <w:tcPr>
            <w:tcW w:w="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520" w:type="dxa"/>
            <w:vAlign w:val="bottom"/>
            <w:shd w:val="clear" w:color="auto" w:fill="CCECFF"/>
          </w:tcPr>
          <w:p>
            <w:pPr>
              <w:spacing w:after="0"/>
              <w:rPr>
                <w:sz w:val="21"/>
                <w:szCs w:val="2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1,498</w:t>
            </w:r>
          </w:p>
        </w:tc>
        <w:tc>
          <w:tcPr>
            <w:tcW w:w="20" w:type="dxa"/>
            <w:vAlign w:val="bottom"/>
            <w:shd w:val="clear" w:color="auto" w:fill="CCECFF"/>
          </w:tcPr>
          <w:p>
            <w:pPr>
              <w:spacing w:after="0"/>
              <w:rPr>
                <w:sz w:val="21"/>
                <w:szCs w:val="21"/>
                <w:color w:val="auto"/>
              </w:rPr>
            </w:pPr>
          </w:p>
        </w:tc>
        <w:tc>
          <w:tcPr>
            <w:tcW w:w="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Daiichi Sankyo</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12,061</w:t>
            </w:r>
          </w:p>
        </w:tc>
        <w:tc>
          <w:tcPr>
            <w:tcW w:w="2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32,866</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94"/>
              </w:rPr>
              <w:t>76,767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51,723</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640" w:type="dxa"/>
            <w:vAlign w:val="bottom"/>
            <w:tcBorders>
              <w:bottom w:val="single" w:sz="8" w:color="CCECFF"/>
            </w:tcBorders>
            <w:shd w:val="clear" w:color="auto" w:fill="CCECFF"/>
          </w:tcPr>
          <w:p>
            <w:pPr>
              <w:ind w:left="180"/>
              <w:spacing w:after="0"/>
              <w:rPr>
                <w:sz w:val="20"/>
                <w:szCs w:val="20"/>
                <w:color w:val="auto"/>
              </w:rPr>
            </w:pPr>
            <w:r>
              <w:rPr>
                <w:rFonts w:ascii="Arial" w:cs="Arial" w:eastAsia="Arial" w:hAnsi="Arial"/>
                <w:sz w:val="18"/>
                <w:szCs w:val="18"/>
                <w:color w:val="auto"/>
              </w:rPr>
              <w:t>Total collaboration and license revenue</w:t>
            </w:r>
          </w:p>
        </w:tc>
        <w:tc>
          <w:tcPr>
            <w:tcW w:w="320" w:type="dxa"/>
            <w:vAlign w:val="bottom"/>
            <w:tcBorders>
              <w:bottom w:val="single" w:sz="8" w:color="auto"/>
            </w:tcBorders>
            <w:shd w:val="clear" w:color="auto" w:fill="CCECFF"/>
          </w:tcPr>
          <w:p>
            <w:pPr>
              <w:spacing w:after="0"/>
              <w:rPr>
                <w:sz w:val="21"/>
                <w:szCs w:val="21"/>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55,048</w:t>
            </w:r>
          </w:p>
        </w:tc>
        <w:tc>
          <w:tcPr>
            <w:tcW w:w="20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auto"/>
            </w:tcBorders>
            <w:shd w:val="clear" w:color="auto" w:fill="CCECFF"/>
          </w:tcPr>
          <w:p>
            <w:pPr>
              <w:spacing w:after="0"/>
              <w:rPr>
                <w:sz w:val="21"/>
                <w:szCs w:val="21"/>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66,924</w:t>
            </w:r>
          </w:p>
        </w:tc>
        <w:tc>
          <w:tcPr>
            <w:tcW w:w="20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auto"/>
            </w:tcBorders>
            <w:shd w:val="clear" w:color="auto" w:fill="CCECFF"/>
          </w:tcPr>
          <w:p>
            <w:pPr>
              <w:spacing w:after="0"/>
              <w:rPr>
                <w:sz w:val="21"/>
                <w:szCs w:val="21"/>
                <w:color w:val="auto"/>
              </w:rPr>
            </w:pPr>
          </w:p>
        </w:tc>
        <w:tc>
          <w:tcPr>
            <w:tcW w:w="1080" w:type="dxa"/>
            <w:vAlign w:val="bottom"/>
            <w:tcBorders>
              <w:bottom w:val="single" w:sz="8" w:color="auto"/>
            </w:tcBorders>
            <w:gridSpan w:val="4"/>
            <w:shd w:val="clear" w:color="auto" w:fill="CCECFF"/>
          </w:tcPr>
          <w:p>
            <w:pPr>
              <w:jc w:val="right"/>
              <w:ind w:right="20"/>
              <w:spacing w:after="0"/>
              <w:rPr>
                <w:sz w:val="20"/>
                <w:szCs w:val="20"/>
                <w:color w:val="auto"/>
              </w:rPr>
            </w:pPr>
            <w:r>
              <w:rPr>
                <w:rFonts w:ascii="Arial" w:cs="Arial" w:eastAsia="Arial" w:hAnsi="Arial"/>
                <w:sz w:val="18"/>
                <w:szCs w:val="18"/>
                <w:color w:val="auto"/>
              </w:rPr>
              <w:t>197,998</w:t>
            </w:r>
          </w:p>
        </w:tc>
        <w:tc>
          <w:tcPr>
            <w:tcW w:w="6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520" w:type="dxa"/>
            <w:vAlign w:val="bottom"/>
            <w:tcBorders>
              <w:bottom w:val="single" w:sz="8" w:color="auto"/>
            </w:tcBorders>
            <w:shd w:val="clear" w:color="auto" w:fill="CCECFF"/>
          </w:tcPr>
          <w:p>
            <w:pPr>
              <w:spacing w:after="0"/>
              <w:rPr>
                <w:sz w:val="21"/>
                <w:szCs w:val="2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5"/>
              </w:rPr>
              <w:t>144,300</w:t>
            </w:r>
          </w:p>
        </w:tc>
        <w:tc>
          <w:tcPr>
            <w:tcW w:w="20" w:type="dxa"/>
            <w:vAlign w:val="bottom"/>
            <w:tcBorders>
              <w:bottom w:val="single" w:sz="8" w:color="auto"/>
            </w:tcBorders>
            <w:shd w:val="clear" w:color="auto" w:fill="CCECFF"/>
          </w:tcPr>
          <w:p>
            <w:pPr>
              <w:spacing w:after="0"/>
              <w:rPr>
                <w:sz w:val="21"/>
                <w:szCs w:val="21"/>
                <w:color w:val="auto"/>
              </w:rPr>
            </w:pPr>
          </w:p>
        </w:tc>
        <w:tc>
          <w:tcPr>
            <w:tcW w:w="6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Product sales:</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2"/>
                <w:szCs w:val="22"/>
                <w:color w:val="auto"/>
              </w:rPr>
            </w:pPr>
          </w:p>
        </w:tc>
        <w:tc>
          <w:tcPr>
            <w:tcW w:w="3640" w:type="dxa"/>
            <w:vAlign w:val="bottom"/>
            <w:shd w:val="clear" w:color="auto" w:fill="CCECFF"/>
          </w:tcPr>
          <w:p>
            <w:pPr>
              <w:ind w:left="100"/>
              <w:spacing w:after="0"/>
              <w:rPr>
                <w:sz w:val="20"/>
                <w:szCs w:val="20"/>
                <w:color w:val="auto"/>
              </w:rPr>
            </w:pPr>
            <w:r>
              <w:rPr>
                <w:rFonts w:ascii="Arial" w:cs="Arial" w:eastAsia="Arial" w:hAnsi="Arial"/>
                <w:sz w:val="18"/>
                <w:szCs w:val="18"/>
                <w:color w:val="auto"/>
              </w:rPr>
              <w:t>Crysvita</w:t>
            </w:r>
          </w:p>
        </w:tc>
        <w:tc>
          <w:tcPr>
            <w:tcW w:w="320" w:type="dxa"/>
            <w:vAlign w:val="bottom"/>
            <w:shd w:val="clear" w:color="auto" w:fill="CCECFF"/>
          </w:tcPr>
          <w:p>
            <w:pPr>
              <w:spacing w:after="0"/>
              <w:rPr>
                <w:sz w:val="22"/>
                <w:szCs w:val="2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7,378</w:t>
            </w:r>
          </w:p>
        </w:tc>
        <w:tc>
          <w:tcPr>
            <w:tcW w:w="20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3,277</w:t>
            </w:r>
          </w:p>
        </w:tc>
        <w:tc>
          <w:tcPr>
            <w:tcW w:w="20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520" w:type="dxa"/>
            <w:vAlign w:val="bottom"/>
            <w:shd w:val="clear" w:color="auto" w:fill="CCECFF"/>
          </w:tcPr>
          <w:p>
            <w:pPr>
              <w:spacing w:after="0"/>
              <w:rPr>
                <w:sz w:val="22"/>
                <w:szCs w:val="22"/>
                <w:color w:val="auto"/>
              </w:rPr>
            </w:pPr>
          </w:p>
        </w:tc>
        <w:tc>
          <w:tcPr>
            <w:tcW w:w="560" w:type="dxa"/>
            <w:vAlign w:val="bottom"/>
            <w:gridSpan w:val="3"/>
            <w:shd w:val="clear" w:color="auto" w:fill="CCECFF"/>
          </w:tcPr>
          <w:p>
            <w:pPr>
              <w:jc w:val="right"/>
              <w:ind w:right="20"/>
              <w:spacing w:after="0"/>
              <w:rPr>
                <w:sz w:val="20"/>
                <w:szCs w:val="20"/>
                <w:color w:val="auto"/>
              </w:rPr>
            </w:pPr>
            <w:r>
              <w:rPr>
                <w:rFonts w:ascii="Arial" w:cs="Arial" w:eastAsia="Arial" w:hAnsi="Arial"/>
                <w:sz w:val="18"/>
                <w:szCs w:val="18"/>
                <w:color w:val="auto"/>
                <w:w w:val="94"/>
              </w:rPr>
              <w:t>16,150</w:t>
            </w:r>
          </w:p>
        </w:tc>
        <w:tc>
          <w:tcPr>
            <w:tcW w:w="6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520" w:type="dxa"/>
            <w:vAlign w:val="bottom"/>
            <w:shd w:val="clear" w:color="auto" w:fill="CCECFF"/>
          </w:tcPr>
          <w:p>
            <w:pPr>
              <w:spacing w:after="0"/>
              <w:rPr>
                <w:sz w:val="22"/>
                <w:szCs w:val="2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7,436</w:t>
            </w:r>
          </w:p>
        </w:tc>
        <w:tc>
          <w:tcPr>
            <w:tcW w:w="20" w:type="dxa"/>
            <w:vAlign w:val="bottom"/>
            <w:shd w:val="clear" w:color="auto" w:fill="CCECFF"/>
          </w:tcPr>
          <w:p>
            <w:pPr>
              <w:spacing w:after="0"/>
              <w:rPr>
                <w:sz w:val="22"/>
                <w:szCs w:val="22"/>
                <w:color w:val="auto"/>
              </w:rPr>
            </w:pPr>
          </w:p>
        </w:tc>
        <w:tc>
          <w:tcPr>
            <w:tcW w:w="6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Mepsevii</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3,918</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4,076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12,924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11,686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3640" w:type="dxa"/>
            <w:vAlign w:val="bottom"/>
            <w:tcBorders>
              <w:bottom w:val="single" w:sz="8" w:color="CCECFF"/>
            </w:tcBorders>
            <w:shd w:val="clear" w:color="auto" w:fill="CCECFF"/>
          </w:tcPr>
          <w:p>
            <w:pPr>
              <w:ind w:left="100"/>
              <w:spacing w:after="0"/>
              <w:rPr>
                <w:sz w:val="20"/>
                <w:szCs w:val="20"/>
                <w:color w:val="auto"/>
              </w:rPr>
            </w:pPr>
            <w:r>
              <w:rPr>
                <w:rFonts w:ascii="Arial" w:cs="Arial" w:eastAsia="Arial" w:hAnsi="Arial"/>
                <w:sz w:val="18"/>
                <w:szCs w:val="18"/>
                <w:color w:val="auto"/>
              </w:rPr>
              <w:t>Dojolvi</w:t>
            </w:r>
          </w:p>
        </w:tc>
        <w:tc>
          <w:tcPr>
            <w:tcW w:w="320" w:type="dxa"/>
            <w:vAlign w:val="bottom"/>
            <w:tcBorders>
              <w:bottom w:val="single" w:sz="8" w:color="auto"/>
            </w:tcBorders>
            <w:shd w:val="clear" w:color="auto" w:fill="CCECFF"/>
          </w:tcPr>
          <w:p>
            <w:pPr>
              <w:spacing w:after="0"/>
              <w:rPr>
                <w:sz w:val="22"/>
                <w:szCs w:val="22"/>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10,654</w:t>
            </w:r>
          </w:p>
        </w:tc>
        <w:tc>
          <w:tcPr>
            <w:tcW w:w="200" w:type="dxa"/>
            <w:vAlign w:val="bottom"/>
            <w:tcBorders>
              <w:bottom w:val="single" w:sz="8" w:color="CCECFF"/>
            </w:tcBorders>
            <w:shd w:val="clear" w:color="auto" w:fill="CCECFF"/>
          </w:tcPr>
          <w:p>
            <w:pPr>
              <w:spacing w:after="0"/>
              <w:rPr>
                <w:sz w:val="22"/>
                <w:szCs w:val="22"/>
                <w:color w:val="auto"/>
              </w:rPr>
            </w:pPr>
          </w:p>
        </w:tc>
        <w:tc>
          <w:tcPr>
            <w:tcW w:w="360" w:type="dxa"/>
            <w:vAlign w:val="bottom"/>
            <w:tcBorders>
              <w:bottom w:val="single" w:sz="8" w:color="auto"/>
            </w:tcBorders>
            <w:shd w:val="clear" w:color="auto" w:fill="CCECFF"/>
          </w:tcPr>
          <w:p>
            <w:pPr>
              <w:spacing w:after="0"/>
              <w:rPr>
                <w:sz w:val="22"/>
                <w:szCs w:val="22"/>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3,862</w:t>
            </w:r>
          </w:p>
        </w:tc>
        <w:tc>
          <w:tcPr>
            <w:tcW w:w="200" w:type="dxa"/>
            <w:vAlign w:val="bottom"/>
            <w:tcBorders>
              <w:bottom w:val="single" w:sz="8" w:color="CCECFF"/>
            </w:tcBorders>
            <w:shd w:val="clear" w:color="auto" w:fill="CCECFF"/>
          </w:tcPr>
          <w:p>
            <w:pPr>
              <w:spacing w:after="0"/>
              <w:rPr>
                <w:sz w:val="22"/>
                <w:szCs w:val="22"/>
                <w:color w:val="auto"/>
              </w:rPr>
            </w:pPr>
          </w:p>
        </w:tc>
        <w:tc>
          <w:tcPr>
            <w:tcW w:w="120" w:type="dxa"/>
            <w:vAlign w:val="bottom"/>
            <w:tcBorders>
              <w:bottom w:val="single" w:sz="8" w:color="auto"/>
            </w:tcBorders>
            <w:shd w:val="clear" w:color="auto" w:fill="CCECFF"/>
          </w:tcPr>
          <w:p>
            <w:pPr>
              <w:spacing w:after="0"/>
              <w:rPr>
                <w:sz w:val="22"/>
                <w:szCs w:val="22"/>
                <w:color w:val="auto"/>
              </w:rPr>
            </w:pPr>
          </w:p>
        </w:tc>
        <w:tc>
          <w:tcPr>
            <w:tcW w:w="520" w:type="dxa"/>
            <w:vAlign w:val="bottom"/>
            <w:tcBorders>
              <w:bottom w:val="single" w:sz="8" w:color="auto"/>
            </w:tcBorders>
            <w:shd w:val="clear" w:color="auto" w:fill="CCECFF"/>
          </w:tcPr>
          <w:p>
            <w:pPr>
              <w:spacing w:after="0"/>
              <w:rPr>
                <w:sz w:val="22"/>
                <w:szCs w:val="22"/>
                <w:color w:val="auto"/>
              </w:rPr>
            </w:pPr>
          </w:p>
        </w:tc>
        <w:tc>
          <w:tcPr>
            <w:tcW w:w="560" w:type="dxa"/>
            <w:vAlign w:val="bottom"/>
            <w:tcBorders>
              <w:bottom w:val="single" w:sz="8" w:color="auto"/>
            </w:tcBorders>
            <w:gridSpan w:val="3"/>
            <w:shd w:val="clear" w:color="auto" w:fill="CCECFF"/>
          </w:tcPr>
          <w:p>
            <w:pPr>
              <w:jc w:val="right"/>
              <w:ind w:right="20"/>
              <w:spacing w:after="0"/>
              <w:rPr>
                <w:sz w:val="20"/>
                <w:szCs w:val="20"/>
                <w:color w:val="auto"/>
              </w:rPr>
            </w:pPr>
            <w:r>
              <w:rPr>
                <w:rFonts w:ascii="Arial" w:cs="Arial" w:eastAsia="Arial" w:hAnsi="Arial"/>
                <w:sz w:val="18"/>
                <w:szCs w:val="18"/>
                <w:color w:val="auto"/>
                <w:w w:val="94"/>
              </w:rPr>
              <w:t>27,735</w:t>
            </w:r>
          </w:p>
        </w:tc>
        <w:tc>
          <w:tcPr>
            <w:tcW w:w="60" w:type="dxa"/>
            <w:vAlign w:val="bottom"/>
            <w:tcBorders>
              <w:bottom w:val="single" w:sz="8" w:color="CCECFF"/>
            </w:tcBorders>
            <w:shd w:val="clear" w:color="auto" w:fill="CCECFF"/>
          </w:tcPr>
          <w:p>
            <w:pPr>
              <w:spacing w:after="0"/>
              <w:rPr>
                <w:sz w:val="22"/>
                <w:szCs w:val="22"/>
                <w:color w:val="auto"/>
              </w:rPr>
            </w:pPr>
          </w:p>
        </w:tc>
        <w:tc>
          <w:tcPr>
            <w:tcW w:w="120" w:type="dxa"/>
            <w:vAlign w:val="bottom"/>
            <w:tcBorders>
              <w:bottom w:val="single" w:sz="8" w:color="auto"/>
            </w:tcBorders>
            <w:shd w:val="clear" w:color="auto" w:fill="CCECFF"/>
          </w:tcPr>
          <w:p>
            <w:pPr>
              <w:spacing w:after="0"/>
              <w:rPr>
                <w:sz w:val="22"/>
                <w:szCs w:val="22"/>
                <w:color w:val="auto"/>
              </w:rPr>
            </w:pPr>
          </w:p>
        </w:tc>
        <w:tc>
          <w:tcPr>
            <w:tcW w:w="520" w:type="dxa"/>
            <w:vAlign w:val="bottom"/>
            <w:tcBorders>
              <w:bottom w:val="single" w:sz="8" w:color="auto"/>
            </w:tcBorders>
            <w:shd w:val="clear" w:color="auto" w:fill="CCECFF"/>
          </w:tcPr>
          <w:p>
            <w:pPr>
              <w:spacing w:after="0"/>
              <w:rPr>
                <w:sz w:val="22"/>
                <w:szCs w:val="2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6,638</w:t>
            </w:r>
          </w:p>
        </w:tc>
        <w:tc>
          <w:tcPr>
            <w:tcW w:w="20" w:type="dxa"/>
            <w:vAlign w:val="bottom"/>
            <w:tcBorders>
              <w:bottom w:val="single" w:sz="8" w:color="auto"/>
            </w:tcBorders>
            <w:shd w:val="clear" w:color="auto" w:fill="CCECFF"/>
          </w:tcPr>
          <w:p>
            <w:pPr>
              <w:spacing w:after="0"/>
              <w:rPr>
                <w:sz w:val="22"/>
                <w:szCs w:val="22"/>
                <w:color w:val="auto"/>
              </w:rPr>
            </w:pPr>
          </w:p>
        </w:tc>
        <w:tc>
          <w:tcPr>
            <w:tcW w:w="6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Total product sales</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21,950</w:t>
            </w:r>
          </w:p>
        </w:tc>
        <w:tc>
          <w:tcPr>
            <w:tcW w:w="2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11,215</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94"/>
              </w:rPr>
              <w:t>56,809</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25,760</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640" w:type="dxa"/>
            <w:vAlign w:val="bottom"/>
            <w:shd w:val="clear" w:color="auto" w:fill="CCECFF"/>
          </w:tcPr>
          <w:p>
            <w:pPr>
              <w:spacing w:after="0"/>
              <w:rPr>
                <w:sz w:val="20"/>
                <w:szCs w:val="20"/>
                <w:color w:val="auto"/>
              </w:rPr>
            </w:pPr>
            <w:r>
              <w:rPr>
                <w:rFonts w:ascii="Arial" w:cs="Arial" w:eastAsia="Arial" w:hAnsi="Arial"/>
                <w:sz w:val="18"/>
                <w:szCs w:val="18"/>
                <w:color w:val="auto"/>
              </w:rPr>
              <w:t>Crysvita non-cash collaboration royalty</w:t>
            </w:r>
          </w:p>
        </w:tc>
        <w:tc>
          <w:tcPr>
            <w:tcW w:w="320" w:type="dxa"/>
            <w:vAlign w:val="bottom"/>
            <w:shd w:val="clear" w:color="auto" w:fill="CCECFF"/>
          </w:tcPr>
          <w:p>
            <w:pPr>
              <w:spacing w:after="0"/>
              <w:rPr>
                <w:sz w:val="20"/>
                <w:szCs w:val="20"/>
                <w:color w:val="auto"/>
              </w:rPr>
            </w:pPr>
          </w:p>
        </w:tc>
        <w:tc>
          <w:tcPr>
            <w:tcW w:w="84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4,649</w:t>
            </w:r>
          </w:p>
        </w:tc>
        <w:tc>
          <w:tcPr>
            <w:tcW w:w="20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80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3,331</w:t>
            </w:r>
          </w:p>
        </w:tc>
        <w:tc>
          <w:tcPr>
            <w:tcW w:w="2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520" w:type="dxa"/>
            <w:vAlign w:val="bottom"/>
            <w:shd w:val="clear" w:color="auto" w:fill="CCECFF"/>
          </w:tcPr>
          <w:p>
            <w:pPr>
              <w:spacing w:after="0"/>
              <w:rPr>
                <w:sz w:val="20"/>
                <w:szCs w:val="20"/>
                <w:color w:val="auto"/>
              </w:rPr>
            </w:pPr>
          </w:p>
        </w:tc>
        <w:tc>
          <w:tcPr>
            <w:tcW w:w="560" w:type="dxa"/>
            <w:vAlign w:val="bottom"/>
            <w:gridSpan w:val="3"/>
            <w:vMerge w:val="restart"/>
            <w:shd w:val="clear" w:color="auto" w:fill="CCECFF"/>
          </w:tcPr>
          <w:p>
            <w:pPr>
              <w:jc w:val="right"/>
              <w:ind w:right="20"/>
              <w:spacing w:after="0"/>
              <w:rPr>
                <w:sz w:val="20"/>
                <w:szCs w:val="20"/>
                <w:color w:val="auto"/>
              </w:rPr>
            </w:pPr>
            <w:r>
              <w:rPr>
                <w:rFonts w:ascii="Arial" w:cs="Arial" w:eastAsia="Arial" w:hAnsi="Arial"/>
                <w:sz w:val="18"/>
                <w:szCs w:val="18"/>
                <w:color w:val="auto"/>
                <w:w w:val="94"/>
              </w:rPr>
              <w:t>13,210</w:t>
            </w:r>
          </w:p>
        </w:tc>
        <w:tc>
          <w:tcPr>
            <w:tcW w:w="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520" w:type="dxa"/>
            <w:vAlign w:val="bottom"/>
            <w:shd w:val="clear" w:color="auto" w:fill="CCECFF"/>
          </w:tcPr>
          <w:p>
            <w:pPr>
              <w:spacing w:after="0"/>
              <w:rPr>
                <w:sz w:val="20"/>
                <w:szCs w:val="20"/>
                <w:color w:val="auto"/>
              </w:rPr>
            </w:pPr>
          </w:p>
        </w:tc>
        <w:tc>
          <w:tcPr>
            <w:tcW w:w="64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9,428</w:t>
            </w:r>
          </w:p>
        </w:tc>
        <w:tc>
          <w:tcPr>
            <w:tcW w:w="20" w:type="dxa"/>
            <w:vAlign w:val="bottom"/>
            <w:shd w:val="clear" w:color="auto" w:fill="CCECFF"/>
          </w:tcPr>
          <w:p>
            <w:pPr>
              <w:spacing w:after="0"/>
              <w:rPr>
                <w:sz w:val="20"/>
                <w:szCs w:val="20"/>
                <w:color w:val="auto"/>
              </w:rPr>
            </w:pPr>
          </w:p>
        </w:tc>
        <w:tc>
          <w:tcPr>
            <w:tcW w:w="6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640" w:type="dxa"/>
            <w:vAlign w:val="bottom"/>
            <w:tcBorders>
              <w:bottom w:val="single" w:sz="8" w:color="CCECFF"/>
            </w:tcBorders>
            <w:shd w:val="clear" w:color="auto" w:fill="CCECFF"/>
          </w:tcPr>
          <w:p>
            <w:pPr>
              <w:ind w:left="18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CCECFF"/>
          </w:tcPr>
          <w:p>
            <w:pPr>
              <w:spacing w:after="0"/>
              <w:rPr>
                <w:sz w:val="20"/>
                <w:szCs w:val="20"/>
                <w:color w:val="auto"/>
              </w:rPr>
            </w:pPr>
          </w:p>
        </w:tc>
        <w:tc>
          <w:tcPr>
            <w:tcW w:w="840" w:type="dxa"/>
            <w:vAlign w:val="bottom"/>
            <w:tcBorders>
              <w:bottom w:val="single" w:sz="8" w:color="auto"/>
            </w:tcBorders>
            <w:vMerge w:val="continue"/>
            <w:shd w:val="clear" w:color="auto" w:fill="CCECFF"/>
          </w:tcPr>
          <w:p>
            <w:pPr>
              <w:spacing w:after="0"/>
              <w:rPr>
                <w:sz w:val="20"/>
                <w:szCs w:val="20"/>
                <w:color w:val="auto"/>
              </w:rPr>
            </w:pPr>
          </w:p>
        </w:tc>
        <w:tc>
          <w:tcPr>
            <w:tcW w:w="200" w:type="dxa"/>
            <w:vAlign w:val="bottom"/>
            <w:tcBorders>
              <w:bottom w:val="single" w:sz="8" w:color="CCECFF"/>
            </w:tcBorders>
            <w:shd w:val="clear" w:color="auto" w:fill="CCECFF"/>
          </w:tcPr>
          <w:p>
            <w:pPr>
              <w:spacing w:after="0"/>
              <w:rPr>
                <w:sz w:val="20"/>
                <w:szCs w:val="20"/>
                <w:color w:val="auto"/>
              </w:rPr>
            </w:pPr>
          </w:p>
        </w:tc>
        <w:tc>
          <w:tcPr>
            <w:tcW w:w="360" w:type="dxa"/>
            <w:vAlign w:val="bottom"/>
            <w:tcBorders>
              <w:bottom w:val="single" w:sz="8" w:color="auto"/>
            </w:tcBorders>
            <w:shd w:val="clear" w:color="auto" w:fill="CCECFF"/>
          </w:tcPr>
          <w:p>
            <w:pPr>
              <w:spacing w:after="0"/>
              <w:rPr>
                <w:sz w:val="20"/>
                <w:szCs w:val="20"/>
                <w:color w:val="auto"/>
              </w:rPr>
            </w:pPr>
          </w:p>
        </w:tc>
        <w:tc>
          <w:tcPr>
            <w:tcW w:w="800" w:type="dxa"/>
            <w:vAlign w:val="bottom"/>
            <w:tcBorders>
              <w:bottom w:val="single" w:sz="8" w:color="auto"/>
            </w:tcBorders>
            <w:vMerge w:val="continue"/>
            <w:shd w:val="clear" w:color="auto" w:fill="CCECFF"/>
          </w:tcPr>
          <w:p>
            <w:pPr>
              <w:spacing w:after="0"/>
              <w:rPr>
                <w:sz w:val="20"/>
                <w:szCs w:val="20"/>
                <w:color w:val="auto"/>
              </w:rPr>
            </w:pPr>
          </w:p>
        </w:tc>
        <w:tc>
          <w:tcPr>
            <w:tcW w:w="20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auto"/>
            </w:tcBorders>
            <w:shd w:val="clear" w:color="auto" w:fill="CCECFF"/>
          </w:tcPr>
          <w:p>
            <w:pPr>
              <w:spacing w:after="0"/>
              <w:rPr>
                <w:sz w:val="20"/>
                <w:szCs w:val="20"/>
                <w:color w:val="auto"/>
              </w:rPr>
            </w:pPr>
          </w:p>
        </w:tc>
        <w:tc>
          <w:tcPr>
            <w:tcW w:w="520" w:type="dxa"/>
            <w:vAlign w:val="bottom"/>
            <w:tcBorders>
              <w:bottom w:val="single" w:sz="8" w:color="auto"/>
            </w:tcBorders>
            <w:shd w:val="clear" w:color="auto" w:fill="CCECFF"/>
          </w:tcPr>
          <w:p>
            <w:pPr>
              <w:spacing w:after="0"/>
              <w:rPr>
                <w:sz w:val="20"/>
                <w:szCs w:val="20"/>
                <w:color w:val="auto"/>
              </w:rPr>
            </w:pPr>
          </w:p>
        </w:tc>
        <w:tc>
          <w:tcPr>
            <w:tcW w:w="560" w:type="dxa"/>
            <w:vAlign w:val="bottom"/>
            <w:tcBorders>
              <w:bottom w:val="single" w:sz="8" w:color="auto"/>
            </w:tcBorders>
            <w:gridSpan w:val="3"/>
            <w:vMerge w:val="continue"/>
            <w:shd w:val="clear" w:color="auto" w:fill="CCECFF"/>
          </w:tcPr>
          <w:p>
            <w:pPr>
              <w:spacing w:after="0"/>
              <w:rPr>
                <w:sz w:val="20"/>
                <w:szCs w:val="20"/>
                <w:color w:val="auto"/>
              </w:rPr>
            </w:pPr>
          </w:p>
        </w:tc>
        <w:tc>
          <w:tcPr>
            <w:tcW w:w="6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auto"/>
            </w:tcBorders>
            <w:shd w:val="clear" w:color="auto" w:fill="CCECFF"/>
          </w:tcPr>
          <w:p>
            <w:pPr>
              <w:spacing w:after="0"/>
              <w:rPr>
                <w:sz w:val="20"/>
                <w:szCs w:val="20"/>
                <w:color w:val="auto"/>
              </w:rPr>
            </w:pPr>
          </w:p>
        </w:tc>
        <w:tc>
          <w:tcPr>
            <w:tcW w:w="520" w:type="dxa"/>
            <w:vAlign w:val="bottom"/>
            <w:tcBorders>
              <w:bottom w:val="single" w:sz="8" w:color="auto"/>
            </w:tcBorders>
            <w:shd w:val="clear" w:color="auto" w:fill="CCECFF"/>
          </w:tcPr>
          <w:p>
            <w:pPr>
              <w:spacing w:after="0"/>
              <w:rPr>
                <w:sz w:val="20"/>
                <w:szCs w:val="20"/>
                <w:color w:val="auto"/>
              </w:rPr>
            </w:pPr>
          </w:p>
        </w:tc>
        <w:tc>
          <w:tcPr>
            <w:tcW w:w="640" w:type="dxa"/>
            <w:vAlign w:val="bottom"/>
            <w:tcBorders>
              <w:bottom w:val="single" w:sz="8" w:color="auto"/>
            </w:tcBorders>
            <w:vMerge w:val="continue"/>
            <w:shd w:val="clear" w:color="auto" w:fill="CCECFF"/>
          </w:tcPr>
          <w:p>
            <w:pPr>
              <w:spacing w:after="0"/>
              <w:rPr>
                <w:sz w:val="20"/>
                <w:szCs w:val="20"/>
                <w:color w:val="auto"/>
              </w:rPr>
            </w:pPr>
          </w:p>
        </w:tc>
        <w:tc>
          <w:tcPr>
            <w:tcW w:w="20" w:type="dxa"/>
            <w:vAlign w:val="bottom"/>
            <w:tcBorders>
              <w:bottom w:val="single" w:sz="8" w:color="auto"/>
            </w:tcBorders>
            <w:shd w:val="clear" w:color="auto" w:fill="CCECFF"/>
          </w:tcPr>
          <w:p>
            <w:pPr>
              <w:spacing w:after="0"/>
              <w:rPr>
                <w:sz w:val="20"/>
                <w:szCs w:val="20"/>
                <w:color w:val="auto"/>
              </w:rPr>
            </w:pPr>
          </w:p>
        </w:tc>
        <w:tc>
          <w:tcPr>
            <w:tcW w:w="6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81,647</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81,470</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268,017</w:t>
            </w:r>
          </w:p>
        </w:tc>
        <w:tc>
          <w:tcPr>
            <w:tcW w:w="7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179,488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-3794125</wp:posOffset>
            </wp:positionV>
            <wp:extent cx="15430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-3794125</wp:posOffset>
            </wp:positionV>
            <wp:extent cx="5143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-1333500</wp:posOffset>
            </wp:positionV>
            <wp:extent cx="12890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-1333500</wp:posOffset>
            </wp:positionV>
            <wp:extent cx="12890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-1333500</wp:posOffset>
            </wp:positionV>
            <wp:extent cx="11112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-1333500</wp:posOffset>
            </wp:positionV>
            <wp:extent cx="431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-673735</wp:posOffset>
            </wp:positionV>
            <wp:extent cx="12890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-673735</wp:posOffset>
            </wp:positionV>
            <wp:extent cx="12890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-673735</wp:posOffset>
            </wp:positionV>
            <wp:extent cx="431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-673735</wp:posOffset>
            </wp:positionV>
            <wp:extent cx="431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-193675</wp:posOffset>
            </wp:positionV>
            <wp:extent cx="12890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-193675</wp:posOffset>
            </wp:positionV>
            <wp:extent cx="12890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-193675</wp:posOffset>
            </wp:positionV>
            <wp:extent cx="4318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-193675</wp:posOffset>
            </wp:positionV>
            <wp:extent cx="4318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3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disaggregates total revenues based on geographic location (in thousands):</w:t>
      </w:r>
    </w:p>
    <w:p>
      <w:pPr>
        <w:spacing w:after="0" w:line="271"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6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0" w:type="dxa"/>
            <w:vAlign w:val="bottom"/>
            <w:gridSpan w:val="5"/>
          </w:tcPr>
          <w:p>
            <w:pPr>
              <w:jc w:val="right"/>
              <w:ind w:right="55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center"/>
              <w:ind w:left="188"/>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3580" w:type="dxa"/>
            <w:vAlign w:val="bottom"/>
            <w:shd w:val="clear" w:color="auto" w:fill="CCECFF"/>
          </w:tcPr>
          <w:p>
            <w:pPr>
              <w:spacing w:after="0"/>
              <w:rPr>
                <w:sz w:val="20"/>
                <w:szCs w:val="20"/>
                <w:color w:val="auto"/>
              </w:rPr>
            </w:pPr>
            <w:r>
              <w:rPr>
                <w:rFonts w:ascii="Arial" w:cs="Arial" w:eastAsia="Arial" w:hAnsi="Arial"/>
                <w:sz w:val="18"/>
                <w:szCs w:val="18"/>
                <w:color w:val="auto"/>
              </w:rPr>
              <w:t>North America</w:t>
            </w:r>
          </w:p>
        </w:tc>
        <w:tc>
          <w:tcPr>
            <w:tcW w:w="380" w:type="dxa"/>
            <w:vAlign w:val="bottom"/>
            <w:shd w:val="clear" w:color="auto" w:fill="CCEC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66,911</w:t>
            </w:r>
          </w:p>
        </w:tc>
        <w:tc>
          <w:tcPr>
            <w:tcW w:w="600" w:type="dxa"/>
            <w:vAlign w:val="bottom"/>
            <w:gridSpan w:val="3"/>
            <w:shd w:val="clear" w:color="auto" w:fill="CCEC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72,651</w:t>
            </w:r>
          </w:p>
        </w:tc>
        <w:tc>
          <w:tcPr>
            <w:tcW w:w="44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CFF"/>
          </w:tcPr>
          <w:p>
            <w:pPr>
              <w:spacing w:after="0"/>
              <w:rPr>
                <w:sz w:val="22"/>
                <w:szCs w:val="22"/>
                <w:color w:val="auto"/>
              </w:rPr>
            </w:pPr>
          </w:p>
        </w:tc>
        <w:tc>
          <w:tcPr>
            <w:tcW w:w="8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230,220</w:t>
            </w:r>
          </w:p>
        </w:tc>
        <w:tc>
          <w:tcPr>
            <w:tcW w:w="560" w:type="dxa"/>
            <w:vAlign w:val="bottom"/>
            <w:gridSpan w:val="2"/>
            <w:shd w:val="clear" w:color="auto" w:fill="CCEC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154,939</w:t>
            </w:r>
          </w:p>
        </w:tc>
        <w:tc>
          <w:tcPr>
            <w:tcW w:w="6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Europe</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7,244</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19,581</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15,707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20" w:type="dxa"/>
            <w:vAlign w:val="bottom"/>
          </w:tcPr>
          <w:p>
            <w:pPr>
              <w:spacing w:after="0"/>
              <w:rPr>
                <w:sz w:val="22"/>
                <w:szCs w:val="22"/>
                <w:color w:val="auto"/>
              </w:rPr>
            </w:pPr>
          </w:p>
        </w:tc>
        <w:tc>
          <w:tcPr>
            <w:tcW w:w="358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Latin America</w:t>
            </w:r>
          </w:p>
        </w:tc>
        <w:tc>
          <w:tcPr>
            <w:tcW w:w="380" w:type="dxa"/>
            <w:vAlign w:val="bottom"/>
            <w:tcBorders>
              <w:bottom w:val="single" w:sz="8" w:color="auto"/>
            </w:tcBorders>
            <w:shd w:val="clear" w:color="auto" w:fill="CCECFF"/>
          </w:tcPr>
          <w:p>
            <w:pPr>
              <w:spacing w:after="0"/>
              <w:rPr>
                <w:sz w:val="22"/>
                <w:szCs w:val="22"/>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7,492</w:t>
            </w:r>
          </w:p>
        </w:tc>
        <w:tc>
          <w:tcPr>
            <w:tcW w:w="200" w:type="dxa"/>
            <w:vAlign w:val="bottom"/>
            <w:tcBorders>
              <w:bottom w:val="single" w:sz="8" w:color="CCECFF"/>
            </w:tcBorders>
            <w:shd w:val="clear" w:color="auto" w:fill="CCECFF"/>
          </w:tcPr>
          <w:p>
            <w:pPr>
              <w:spacing w:after="0"/>
              <w:rPr>
                <w:sz w:val="22"/>
                <w:szCs w:val="22"/>
                <w:color w:val="auto"/>
              </w:rPr>
            </w:pPr>
          </w:p>
        </w:tc>
        <w:tc>
          <w:tcPr>
            <w:tcW w:w="60" w:type="dxa"/>
            <w:vAlign w:val="bottom"/>
            <w:tcBorders>
              <w:bottom w:val="single" w:sz="8" w:color="auto"/>
            </w:tcBorders>
            <w:shd w:val="clear" w:color="auto" w:fill="CCECFF"/>
          </w:tcPr>
          <w:p>
            <w:pPr>
              <w:spacing w:after="0"/>
              <w:rPr>
                <w:sz w:val="22"/>
                <w:szCs w:val="22"/>
                <w:color w:val="auto"/>
              </w:rPr>
            </w:pPr>
          </w:p>
        </w:tc>
        <w:tc>
          <w:tcPr>
            <w:tcW w:w="340" w:type="dxa"/>
            <w:vAlign w:val="bottom"/>
            <w:tcBorders>
              <w:bottom w:val="single" w:sz="8" w:color="auto"/>
            </w:tcBorders>
            <w:shd w:val="clear" w:color="auto" w:fill="CCECFF"/>
          </w:tcPr>
          <w:p>
            <w:pPr>
              <w:spacing w:after="0"/>
              <w:rPr>
                <w:sz w:val="22"/>
                <w:szCs w:val="22"/>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3,817</w:t>
            </w:r>
          </w:p>
        </w:tc>
        <w:tc>
          <w:tcPr>
            <w:tcW w:w="180" w:type="dxa"/>
            <w:vAlign w:val="bottom"/>
            <w:tcBorders>
              <w:bottom w:val="single" w:sz="8" w:color="CCECFF"/>
            </w:tcBorders>
            <w:shd w:val="clear" w:color="auto" w:fill="CCECFF"/>
          </w:tcPr>
          <w:p>
            <w:pPr>
              <w:spacing w:after="0"/>
              <w:rPr>
                <w:sz w:val="22"/>
                <w:szCs w:val="22"/>
                <w:color w:val="auto"/>
              </w:rPr>
            </w:pPr>
          </w:p>
        </w:tc>
        <w:tc>
          <w:tcPr>
            <w:tcW w:w="260" w:type="dxa"/>
            <w:vAlign w:val="bottom"/>
            <w:tcBorders>
              <w:bottom w:val="single" w:sz="8" w:color="auto"/>
            </w:tcBorders>
            <w:shd w:val="clear" w:color="auto" w:fill="CCECFF"/>
          </w:tcPr>
          <w:p>
            <w:pPr>
              <w:spacing w:after="0"/>
              <w:rPr>
                <w:sz w:val="22"/>
                <w:szCs w:val="22"/>
                <w:color w:val="auto"/>
              </w:rPr>
            </w:pPr>
          </w:p>
        </w:tc>
        <w:tc>
          <w:tcPr>
            <w:tcW w:w="120" w:type="dxa"/>
            <w:vAlign w:val="bottom"/>
            <w:tcBorders>
              <w:bottom w:val="single" w:sz="8" w:color="auto"/>
            </w:tcBorders>
            <w:shd w:val="clear" w:color="auto" w:fill="CCECFF"/>
          </w:tcPr>
          <w:p>
            <w:pPr>
              <w:spacing w:after="0"/>
              <w:rPr>
                <w:sz w:val="22"/>
                <w:szCs w:val="22"/>
                <w:color w:val="auto"/>
              </w:rPr>
            </w:pPr>
          </w:p>
        </w:tc>
        <w:tc>
          <w:tcPr>
            <w:tcW w:w="82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rPr>
              <w:t>18,216</w:t>
            </w:r>
          </w:p>
        </w:tc>
        <w:tc>
          <w:tcPr>
            <w:tcW w:w="180" w:type="dxa"/>
            <w:vAlign w:val="bottom"/>
            <w:tcBorders>
              <w:bottom w:val="single" w:sz="8" w:color="CCECFF"/>
            </w:tcBorders>
            <w:shd w:val="clear" w:color="auto" w:fill="CCECFF"/>
          </w:tcPr>
          <w:p>
            <w:pPr>
              <w:spacing w:after="0"/>
              <w:rPr>
                <w:sz w:val="22"/>
                <w:szCs w:val="22"/>
                <w:color w:val="auto"/>
              </w:rPr>
            </w:pPr>
          </w:p>
        </w:tc>
        <w:tc>
          <w:tcPr>
            <w:tcW w:w="380" w:type="dxa"/>
            <w:vAlign w:val="bottom"/>
            <w:tcBorders>
              <w:bottom w:val="single" w:sz="8" w:color="auto"/>
            </w:tcBorders>
            <w:shd w:val="clear" w:color="auto" w:fill="CCECFF"/>
          </w:tcPr>
          <w:p>
            <w:pPr>
              <w:spacing w:after="0"/>
              <w:rPr>
                <w:sz w:val="22"/>
                <w:szCs w:val="22"/>
                <w:color w:val="auto"/>
              </w:rPr>
            </w:pPr>
          </w:p>
        </w:tc>
        <w:tc>
          <w:tcPr>
            <w:tcW w:w="820" w:type="dxa"/>
            <w:vAlign w:val="bottom"/>
            <w:tcBorders>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8,842</w:t>
            </w:r>
          </w:p>
        </w:tc>
        <w:tc>
          <w:tcPr>
            <w:tcW w:w="6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0" w:type="dxa"/>
            <w:vAlign w:val="bottom"/>
          </w:tcPr>
          <w:p>
            <w:pPr>
              <w:spacing w:after="0"/>
              <w:rPr>
                <w:sz w:val="22"/>
                <w:szCs w:val="22"/>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81,647</w:t>
            </w:r>
          </w:p>
        </w:tc>
        <w:tc>
          <w:tcPr>
            <w:tcW w:w="200" w:type="dxa"/>
            <w:vAlign w:val="bottom"/>
          </w:tcPr>
          <w:p>
            <w:pPr>
              <w:spacing w:after="0"/>
              <w:rPr>
                <w:sz w:val="22"/>
                <w:szCs w:val="22"/>
                <w:color w:val="auto"/>
              </w:rPr>
            </w:pPr>
          </w:p>
        </w:tc>
        <w:tc>
          <w:tcPr>
            <w:tcW w:w="40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81,470</w:t>
            </w:r>
          </w:p>
        </w:tc>
        <w:tc>
          <w:tcPr>
            <w:tcW w:w="18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268,017</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179,488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780" w:type="dxa"/>
            <w:vAlign w:val="bottom"/>
            <w:gridSpan w:val="8"/>
          </w:tcPr>
          <w:p>
            <w:pPr>
              <w:spacing w:after="0"/>
              <w:rPr>
                <w:sz w:val="20"/>
                <w:szCs w:val="20"/>
                <w:color w:val="auto"/>
              </w:rPr>
            </w:pPr>
            <w:r>
              <w:rPr>
                <w:rFonts w:ascii="Arial" w:cs="Arial" w:eastAsia="Arial" w:hAnsi="Arial"/>
                <w:sz w:val="18"/>
                <w:szCs w:val="18"/>
                <w:color w:val="auto"/>
                <w:w w:val="99"/>
              </w:rPr>
              <w:t>The following table presents changes in the contract assets (liabilities) (in thousands):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w w:val="97"/>
              </w:rPr>
              <w:t>Nine Months Ended September 30,</w:t>
            </w: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3960" w:type="dxa"/>
            <w:vAlign w:val="bottom"/>
            <w:gridSpan w:val="2"/>
            <w:shd w:val="clear" w:color="auto" w:fill="CCECFF"/>
          </w:tcPr>
          <w:p>
            <w:pPr>
              <w:spacing w:after="0"/>
              <w:rPr>
                <w:sz w:val="20"/>
                <w:szCs w:val="20"/>
                <w:color w:val="auto"/>
              </w:rPr>
            </w:pPr>
            <w:r>
              <w:rPr>
                <w:rFonts w:ascii="Arial" w:cs="Arial" w:eastAsia="Arial" w:hAnsi="Arial"/>
                <w:sz w:val="18"/>
                <w:szCs w:val="18"/>
                <w:color w:val="auto"/>
                <w:w w:val="97"/>
              </w:rPr>
              <w:t>Balance of contract liabilities at beginning of period</w:t>
            </w:r>
          </w:p>
        </w:tc>
        <w:tc>
          <w:tcPr>
            <w:tcW w:w="800" w:type="dxa"/>
            <w:vAlign w:val="bottom"/>
            <w:shd w:val="clear" w:color="auto" w:fill="CCECFF"/>
          </w:tcPr>
          <w:p>
            <w:pPr>
              <w:spacing w:after="0"/>
              <w:rPr>
                <w:sz w:val="22"/>
                <w:szCs w:val="22"/>
                <w:color w:val="auto"/>
              </w:rPr>
            </w:pPr>
          </w:p>
        </w:tc>
        <w:tc>
          <w:tcPr>
            <w:tcW w:w="600" w:type="dxa"/>
            <w:vAlign w:val="bottom"/>
            <w:gridSpan w:val="3"/>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4"/>
            <w:shd w:val="clear" w:color="auto" w:fill="CCECFF"/>
          </w:tcPr>
          <w:p>
            <w:pPr>
              <w:jc w:val="right"/>
              <w:ind w:right="40"/>
              <w:spacing w:after="0"/>
              <w:rPr>
                <w:sz w:val="20"/>
                <w:szCs w:val="20"/>
                <w:color w:val="auto"/>
              </w:rPr>
            </w:pPr>
            <w:r>
              <w:rPr>
                <w:rFonts w:ascii="Arial" w:cs="Arial" w:eastAsia="Arial" w:hAnsi="Arial"/>
                <w:sz w:val="18"/>
                <w:szCs w:val="18"/>
                <w:color w:val="auto"/>
              </w:rPr>
              <w:t>(66,568 )</w:t>
            </w:r>
          </w:p>
        </w:tc>
        <w:tc>
          <w:tcPr>
            <w:tcW w:w="820" w:type="dxa"/>
            <w:vAlign w:val="bottom"/>
            <w:gridSpan w:val="2"/>
            <w:shd w:val="clear" w:color="auto" w:fill="CCECFF"/>
          </w:tcPr>
          <w:p>
            <w:pPr>
              <w:jc w:val="right"/>
              <w:ind w:right="4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CFF"/>
          </w:tcPr>
          <w:p>
            <w:pPr>
              <w:spacing w:after="0"/>
              <w:rPr>
                <w:sz w:val="22"/>
                <w:szCs w:val="22"/>
                <w:color w:val="auto"/>
              </w:rPr>
            </w:pPr>
          </w:p>
        </w:tc>
        <w:tc>
          <w:tcPr>
            <w:tcW w:w="380" w:type="dxa"/>
            <w:vAlign w:val="bottom"/>
            <w:shd w:val="clear" w:color="auto" w:fill="CCECFF"/>
          </w:tcPr>
          <w:p>
            <w:pPr>
              <w:spacing w:after="0"/>
              <w:rPr>
                <w:sz w:val="22"/>
                <w:szCs w:val="22"/>
                <w:color w:val="auto"/>
              </w:rPr>
            </w:pPr>
          </w:p>
        </w:tc>
        <w:tc>
          <w:tcPr>
            <w:tcW w:w="880" w:type="dxa"/>
            <w:vAlign w:val="bottom"/>
            <w:gridSpan w:val="3"/>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Additions</w:t>
            </w: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8"/>
                <w:szCs w:val="18"/>
                <w:color w:val="auto"/>
              </w:rPr>
              <w:t>(2,390 )</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(154,621 )</w:t>
            </w:r>
          </w:p>
        </w:tc>
        <w:tc>
          <w:tcPr>
            <w:tcW w:w="0" w:type="dxa"/>
            <w:vAlign w:val="bottom"/>
          </w:tcPr>
          <w:p>
            <w:pPr>
              <w:spacing w:after="0"/>
              <w:rPr>
                <w:sz w:val="1"/>
                <w:szCs w:val="1"/>
                <w:color w:val="auto"/>
              </w:rPr>
            </w:pPr>
          </w:p>
        </w:tc>
      </w:tr>
      <w:tr>
        <w:trPr>
          <w:trHeight w:val="257"/>
        </w:trPr>
        <w:tc>
          <w:tcPr>
            <w:tcW w:w="620" w:type="dxa"/>
            <w:vAlign w:val="bottom"/>
          </w:tcPr>
          <w:p>
            <w:pPr>
              <w:spacing w:after="0"/>
              <w:rPr>
                <w:sz w:val="22"/>
                <w:szCs w:val="22"/>
                <w:color w:val="auto"/>
              </w:rPr>
            </w:pPr>
          </w:p>
        </w:tc>
        <w:tc>
          <w:tcPr>
            <w:tcW w:w="3580" w:type="dxa"/>
            <w:vAlign w:val="bottom"/>
            <w:tcBorders>
              <w:bottom w:val="single" w:sz="8" w:color="CCECFF"/>
            </w:tcBorders>
            <w:shd w:val="clear" w:color="auto" w:fill="CCECFF"/>
          </w:tcPr>
          <w:p>
            <w:pPr>
              <w:ind w:left="100"/>
              <w:spacing w:after="0"/>
              <w:rPr>
                <w:sz w:val="20"/>
                <w:szCs w:val="20"/>
                <w:color w:val="auto"/>
              </w:rPr>
            </w:pPr>
            <w:r>
              <w:rPr>
                <w:rFonts w:ascii="Arial" w:cs="Arial" w:eastAsia="Arial" w:hAnsi="Arial"/>
                <w:sz w:val="18"/>
                <w:szCs w:val="18"/>
                <w:color w:val="auto"/>
              </w:rPr>
              <w:t>Deductions</w:t>
            </w:r>
          </w:p>
        </w:tc>
        <w:tc>
          <w:tcPr>
            <w:tcW w:w="380" w:type="dxa"/>
            <w:vAlign w:val="bottom"/>
            <w:tcBorders>
              <w:bottom w:val="single" w:sz="8" w:color="CCECFF"/>
            </w:tcBorders>
            <w:shd w:val="clear" w:color="auto" w:fill="CCECFF"/>
          </w:tcPr>
          <w:p>
            <w:pPr>
              <w:spacing w:after="0"/>
              <w:rPr>
                <w:sz w:val="22"/>
                <w:szCs w:val="22"/>
                <w:color w:val="auto"/>
              </w:rPr>
            </w:pPr>
          </w:p>
        </w:tc>
        <w:tc>
          <w:tcPr>
            <w:tcW w:w="800" w:type="dxa"/>
            <w:vAlign w:val="bottom"/>
            <w:tcBorders>
              <w:bottom w:val="single" w:sz="8" w:color="CCECFF"/>
            </w:tcBorders>
            <w:shd w:val="clear" w:color="auto" w:fill="CCECFF"/>
          </w:tcPr>
          <w:p>
            <w:pPr>
              <w:spacing w:after="0"/>
              <w:rPr>
                <w:sz w:val="22"/>
                <w:szCs w:val="22"/>
                <w:color w:val="auto"/>
              </w:rPr>
            </w:pPr>
          </w:p>
        </w:tc>
        <w:tc>
          <w:tcPr>
            <w:tcW w:w="200" w:type="dxa"/>
            <w:vAlign w:val="bottom"/>
            <w:tcBorders>
              <w:bottom w:val="single" w:sz="8" w:color="CCECFF"/>
            </w:tcBorders>
            <w:shd w:val="clear" w:color="auto" w:fill="CCECFF"/>
          </w:tcPr>
          <w:p>
            <w:pPr>
              <w:spacing w:after="0"/>
              <w:rPr>
                <w:sz w:val="22"/>
                <w:szCs w:val="22"/>
                <w:color w:val="auto"/>
              </w:rPr>
            </w:pPr>
          </w:p>
        </w:tc>
        <w:tc>
          <w:tcPr>
            <w:tcW w:w="60" w:type="dxa"/>
            <w:vAlign w:val="bottom"/>
            <w:tcBorders>
              <w:bottom w:val="single" w:sz="8" w:color="CCECFF"/>
            </w:tcBorders>
            <w:shd w:val="clear" w:color="auto" w:fill="CCECFF"/>
          </w:tcPr>
          <w:p>
            <w:pPr>
              <w:spacing w:after="0"/>
              <w:rPr>
                <w:sz w:val="22"/>
                <w:szCs w:val="22"/>
                <w:color w:val="auto"/>
              </w:rPr>
            </w:pPr>
          </w:p>
        </w:tc>
        <w:tc>
          <w:tcPr>
            <w:tcW w:w="340" w:type="dxa"/>
            <w:vAlign w:val="bottom"/>
            <w:tcBorders>
              <w:bottom w:val="single" w:sz="8" w:color="auto"/>
            </w:tcBorders>
            <w:shd w:val="clear" w:color="auto" w:fill="CCECFF"/>
          </w:tcPr>
          <w:p>
            <w:pPr>
              <w:spacing w:after="0"/>
              <w:rPr>
                <w:sz w:val="22"/>
                <w:szCs w:val="22"/>
                <w:color w:val="auto"/>
              </w:rPr>
            </w:pPr>
          </w:p>
        </w:tc>
        <w:tc>
          <w:tcPr>
            <w:tcW w:w="1240" w:type="dxa"/>
            <w:vAlign w:val="bottom"/>
            <w:tcBorders>
              <w:bottom w:val="single" w:sz="8" w:color="auto"/>
            </w:tcBorders>
            <w:gridSpan w:val="3"/>
            <w:shd w:val="clear" w:color="auto" w:fill="CCECFF"/>
          </w:tcPr>
          <w:p>
            <w:pPr>
              <w:jc w:val="right"/>
              <w:spacing w:after="0"/>
              <w:rPr>
                <w:sz w:val="20"/>
                <w:szCs w:val="20"/>
                <w:color w:val="auto"/>
              </w:rPr>
            </w:pPr>
            <w:r>
              <w:rPr>
                <w:rFonts w:ascii="Arial" w:cs="Arial" w:eastAsia="Arial" w:hAnsi="Arial"/>
                <w:sz w:val="18"/>
                <w:szCs w:val="18"/>
                <w:color w:val="auto"/>
              </w:rPr>
              <w:t>76,767</w:t>
            </w:r>
          </w:p>
        </w:tc>
        <w:tc>
          <w:tcPr>
            <w:tcW w:w="120" w:type="dxa"/>
            <w:vAlign w:val="bottom"/>
            <w:tcBorders>
              <w:bottom w:val="single" w:sz="8" w:color="CCECFF"/>
            </w:tcBorders>
            <w:shd w:val="clear" w:color="auto" w:fill="CCECFF"/>
          </w:tcPr>
          <w:p>
            <w:pPr>
              <w:spacing w:after="0"/>
              <w:rPr>
                <w:sz w:val="22"/>
                <w:szCs w:val="22"/>
                <w:color w:val="auto"/>
              </w:rPr>
            </w:pPr>
          </w:p>
        </w:tc>
        <w:tc>
          <w:tcPr>
            <w:tcW w:w="160" w:type="dxa"/>
            <w:vAlign w:val="bottom"/>
            <w:tcBorders>
              <w:bottom w:val="single" w:sz="8" w:color="CCECFF"/>
            </w:tcBorders>
            <w:shd w:val="clear" w:color="auto" w:fill="CCECFF"/>
          </w:tcPr>
          <w:p>
            <w:pPr>
              <w:spacing w:after="0"/>
              <w:rPr>
                <w:sz w:val="22"/>
                <w:szCs w:val="22"/>
                <w:color w:val="auto"/>
              </w:rPr>
            </w:pPr>
          </w:p>
        </w:tc>
        <w:tc>
          <w:tcPr>
            <w:tcW w:w="660" w:type="dxa"/>
            <w:vAlign w:val="bottom"/>
            <w:tcBorders>
              <w:bottom w:val="single" w:sz="8" w:color="auto"/>
            </w:tcBorders>
            <w:shd w:val="clear" w:color="auto" w:fill="CCECFF"/>
          </w:tcPr>
          <w:p>
            <w:pPr>
              <w:spacing w:after="0"/>
              <w:rPr>
                <w:sz w:val="22"/>
                <w:szCs w:val="22"/>
                <w:color w:val="auto"/>
              </w:rPr>
            </w:pPr>
          </w:p>
        </w:tc>
        <w:tc>
          <w:tcPr>
            <w:tcW w:w="180" w:type="dxa"/>
            <w:vAlign w:val="bottom"/>
            <w:tcBorders>
              <w:bottom w:val="single" w:sz="8" w:color="auto"/>
            </w:tcBorders>
            <w:shd w:val="clear" w:color="auto" w:fill="CCECFF"/>
          </w:tcPr>
          <w:p>
            <w:pPr>
              <w:spacing w:after="0"/>
              <w:rPr>
                <w:sz w:val="22"/>
                <w:szCs w:val="22"/>
                <w:color w:val="auto"/>
              </w:rPr>
            </w:pPr>
          </w:p>
        </w:tc>
        <w:tc>
          <w:tcPr>
            <w:tcW w:w="380" w:type="dxa"/>
            <w:vAlign w:val="bottom"/>
            <w:tcBorders>
              <w:bottom w:val="single" w:sz="8" w:color="auto"/>
            </w:tcBorders>
            <w:shd w:val="clear" w:color="auto" w:fill="CCECFF"/>
          </w:tcPr>
          <w:p>
            <w:pPr>
              <w:spacing w:after="0"/>
              <w:rPr>
                <w:sz w:val="22"/>
                <w:szCs w:val="22"/>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51,723</w:t>
            </w:r>
          </w:p>
        </w:tc>
        <w:tc>
          <w:tcPr>
            <w:tcW w:w="60" w:type="dxa"/>
            <w:vAlign w:val="bottom"/>
            <w:tcBorders>
              <w:bottom w:val="single" w:sz="8" w:color="CCECFF"/>
            </w:tcBorders>
            <w:shd w:val="clear" w:color="auto" w:fill="CCECFF"/>
          </w:tcPr>
          <w:p>
            <w:pPr>
              <w:spacing w:after="0"/>
              <w:rPr>
                <w:sz w:val="22"/>
                <w:szCs w:val="22"/>
                <w:color w:val="auto"/>
              </w:rPr>
            </w:pPr>
          </w:p>
        </w:tc>
        <w:tc>
          <w:tcPr>
            <w:tcW w:w="6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w w:val="92"/>
              </w:rPr>
              <w:t>Balance of contract assets (liabilities) at end of period</w:t>
            </w:r>
          </w:p>
        </w:tc>
        <w:tc>
          <w:tcPr>
            <w:tcW w:w="800" w:type="dxa"/>
            <w:vAlign w:val="bottom"/>
          </w:tcPr>
          <w:p>
            <w:pPr>
              <w:spacing w:after="0"/>
              <w:rPr>
                <w:sz w:val="22"/>
                <w:szCs w:val="22"/>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8"/>
              </w:rPr>
              <w:t>7,809</w:t>
            </w:r>
          </w:p>
        </w:tc>
        <w:tc>
          <w:tcPr>
            <w:tcW w:w="120" w:type="dxa"/>
            <w:vAlign w:val="bottom"/>
          </w:tcPr>
          <w:p>
            <w:pPr>
              <w:spacing w:after="0"/>
              <w:rPr>
                <w:sz w:val="22"/>
                <w:szCs w:val="22"/>
                <w:color w:val="auto"/>
              </w:rPr>
            </w:pPr>
          </w:p>
        </w:tc>
        <w:tc>
          <w:tcPr>
            <w:tcW w:w="82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(102,898 )</w:t>
            </w:r>
          </w:p>
        </w:tc>
        <w:tc>
          <w:tcPr>
            <w:tcW w:w="0" w:type="dxa"/>
            <w:vAlign w:val="bottom"/>
          </w:tcPr>
          <w:p>
            <w:pPr>
              <w:spacing w:after="0"/>
              <w:rPr>
                <w:sz w:val="1"/>
                <w:szCs w:val="1"/>
                <w:color w:val="auto"/>
              </w:rPr>
            </w:pPr>
          </w:p>
        </w:tc>
      </w:tr>
      <w:tr>
        <w:trPr>
          <w:trHeight w:val="20"/>
        </w:trPr>
        <w:tc>
          <w:tcPr>
            <w:tcW w:w="5380" w:type="dxa"/>
            <w:vAlign w:val="bottom"/>
            <w:gridSpan w:val="4"/>
            <w:vMerge w:val="restart"/>
          </w:tcPr>
          <w:p>
            <w:pPr>
              <w:spacing w:after="0"/>
              <w:rPr>
                <w:sz w:val="20"/>
                <w:szCs w:val="20"/>
                <w:color w:val="auto"/>
              </w:rPr>
            </w:pPr>
            <w:r>
              <w:rPr>
                <w:rFonts w:ascii="Arial" w:cs="Arial" w:eastAsia="Arial" w:hAnsi="Arial"/>
                <w:sz w:val="18"/>
                <w:szCs w:val="18"/>
                <w:color w:val="auto"/>
                <w:w w:val="93"/>
              </w:rPr>
              <w:t>See Note 6 for additional details on contract assets (liabilities) activities.</w:t>
            </w: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38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-1771015</wp:posOffset>
            </wp:positionV>
            <wp:extent cx="12890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-1771015</wp:posOffset>
            </wp:positionV>
            <wp:extent cx="11112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-1771015</wp:posOffset>
            </wp:positionV>
            <wp:extent cx="11176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-1771015</wp:posOffset>
            </wp:positionV>
            <wp:extent cx="431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-390525</wp:posOffset>
            </wp:positionV>
            <wp:extent cx="17970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-390525</wp:posOffset>
            </wp:positionV>
            <wp:extent cx="7683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5715"/>
                    </a:xfrm>
                    <a:prstGeom prst="rect">
                      <a:avLst/>
                    </a:prstGeom>
                    <a:noFill/>
                  </pic:spPr>
                </pic:pic>
              </a:graphicData>
            </a:graphic>
          </wp:anchor>
        </w:drawing>
      </w:r>
    </w:p>
    <w:p>
      <w:pPr>
        <w:spacing w:after="0" w:line="60"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The Company’s largest accounts receivable balance accounted for 57% and 71% of the total accounts receivable balance as of September 30, 2021 and December 31, 2020, respectively, and was due from a collaboration partner.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5" w:name="page16"/>
    <w:bookmarkEnd w:id="15"/>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Research Agreements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Kyowa Kirin Collaboration and License Agreement</w:t>
      </w:r>
    </w:p>
    <w:p>
      <w:pPr>
        <w:spacing w:after="0" w:line="94" w:lineRule="exact"/>
        <w:rPr>
          <w:sz w:val="20"/>
          <w:szCs w:val="20"/>
          <w:color w:val="auto"/>
        </w:rPr>
      </w:pPr>
    </w:p>
    <w:p>
      <w:pPr>
        <w:ind w:right="40" w:firstLine="562"/>
        <w:spacing w:after="0" w:line="290" w:lineRule="auto"/>
        <w:rPr>
          <w:sz w:val="20"/>
          <w:szCs w:val="20"/>
          <w:color w:val="auto"/>
        </w:rPr>
      </w:pPr>
      <w:r>
        <w:rPr>
          <w:rFonts w:ascii="Arial" w:cs="Arial" w:eastAsia="Arial" w:hAnsi="Arial"/>
          <w:sz w:val="17"/>
          <w:szCs w:val="17"/>
          <w:color w:val="auto"/>
        </w:rPr>
        <w:t>In August 2013, the Company entered into a collaboration and license agreement with Kyowa Kirin Co., Ltd. (KKC, formerly Kyowa Hakko Kirin Co., Ltd. or KHK). Under the terms of this collaboration and license agreement, as amended, the Company and KKC collaborate on the development and commercialization of Crysvita in the field of orphan diseases in the United States and Canada, or the profit-share territory, and in the European Union, United Kingdom, and Switzerland, or the European territory, and the Company has the right to develop and commercialize such products in the field of orphan diseases in Mexico and Central and South America, or Latin America. In May 2017, the Company entered into an agreement with a wholly-owned subsidiary of KKC pursuant to which it was granted the right to commercialize Crysvita in Turkey.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Activities</w:t>
      </w:r>
    </w:p>
    <w:p>
      <w:pPr>
        <w:spacing w:after="0" w:line="104" w:lineRule="exact"/>
        <w:rPr>
          <w:sz w:val="20"/>
          <w:szCs w:val="20"/>
          <w:color w:val="auto"/>
        </w:rPr>
      </w:pPr>
    </w:p>
    <w:p>
      <w:pPr>
        <w:ind w:firstLine="562"/>
        <w:spacing w:after="0" w:line="311" w:lineRule="auto"/>
        <w:rPr>
          <w:sz w:val="20"/>
          <w:szCs w:val="20"/>
          <w:color w:val="auto"/>
        </w:rPr>
      </w:pPr>
      <w:r>
        <w:rPr>
          <w:rFonts w:ascii="Arial" w:cs="Arial" w:eastAsia="Arial" w:hAnsi="Arial"/>
          <w:sz w:val="16"/>
          <w:szCs w:val="16"/>
          <w:color w:val="auto"/>
        </w:rPr>
        <w:t>In the field of orphan diseases, and except for ongoing studies being conducted by KKC, the Company is the lead party for development activities in the profit-share territory and in the European territory until the applicable transition date. The Company shares the costs for development activities in the profit-share territory and the European territory conducted pursuant to the development plan before the applicable transition date equally with KKC. In April 2023, which is the transition date for the profit-share territory, KKC will become the lead party and be responsible for the costs of the development activities. However, the Company will continue to share the costs of the studies commenced prior to the applicable transition date equally with KKC. Crysvita was approved in the European Union and United Kingdom in February 2018 and was approved by the FDA in April 2018.</w:t>
      </w:r>
    </w:p>
    <w:p>
      <w:pPr>
        <w:spacing w:after="0" w:line="14" w:lineRule="exact"/>
        <w:rPr>
          <w:sz w:val="20"/>
          <w:szCs w:val="20"/>
          <w:color w:val="auto"/>
        </w:rPr>
      </w:pPr>
    </w:p>
    <w:p>
      <w:pPr>
        <w:ind w:right="680" w:firstLine="562"/>
        <w:spacing w:after="0" w:line="293" w:lineRule="auto"/>
        <w:rPr>
          <w:sz w:val="20"/>
          <w:szCs w:val="20"/>
          <w:color w:val="auto"/>
        </w:rPr>
      </w:pPr>
      <w:r>
        <w:rPr>
          <w:rFonts w:ascii="Arial" w:cs="Arial" w:eastAsia="Arial" w:hAnsi="Arial"/>
          <w:sz w:val="18"/>
          <w:szCs w:val="18"/>
          <w:color w:val="auto"/>
        </w:rPr>
        <w:t>The collaboration and license agreements are within the scope of ASC 808, which provides guidance on the presentation and disclosure of collaborative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 related to sales in profit-share territory</w:t>
      </w:r>
    </w:p>
    <w:p>
      <w:pPr>
        <w:spacing w:after="0" w:line="104" w:lineRule="exact"/>
        <w:rPr>
          <w:sz w:val="20"/>
          <w:szCs w:val="20"/>
          <w:color w:val="auto"/>
        </w:rPr>
      </w:pPr>
    </w:p>
    <w:p>
      <w:pPr>
        <w:ind w:firstLine="578"/>
        <w:spacing w:after="0" w:line="272" w:lineRule="auto"/>
        <w:rPr>
          <w:sz w:val="20"/>
          <w:szCs w:val="20"/>
          <w:color w:val="auto"/>
        </w:rPr>
      </w:pPr>
      <w:r>
        <w:rPr>
          <w:rFonts w:ascii="Arial" w:cs="Arial" w:eastAsia="Arial" w:hAnsi="Arial"/>
          <w:sz w:val="18"/>
          <w:szCs w:val="18"/>
          <w:color w:val="auto"/>
        </w:rPr>
        <w:t>The Company and KKC share commercial responsibilities and profits in the profit-share territory until April 2023. Under the collaboration agreement, KKC manufactures and supplies Crysvita for commercial use in the profit-share territory and charges the Company the transfer price of 35% of net sales through December 31, 2022, and 30% thereafter. The remaining profit or loss after supply costs from commercializing products in the profit-share territory are shared between the Company and KKC on a 50/50 basis until April 2023. Thereafter, the Company will be entitled to receive a tiered double-digit revenue share in the mid-to-high 20% range.</w:t>
      </w:r>
    </w:p>
    <w:p>
      <w:pPr>
        <w:spacing w:after="0" w:line="56"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As KKC is the principal in the sale transaction with the customer, the Company recognizes a pro-rata share of collaboration revenue, net of transfer pricing, in the period the sale occurs. The Company concluded that its portion of KKC’s sales in the profit-share territory is analogous to a royalty and therefore recorded its share as collaboration revenue, similar to a royalty.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 related to sales in European territory</w:t>
      </w:r>
    </w:p>
    <w:p>
      <w:pPr>
        <w:spacing w:after="0" w:line="104" w:lineRule="exact"/>
        <w:rPr>
          <w:sz w:val="20"/>
          <w:szCs w:val="20"/>
          <w:color w:val="auto"/>
        </w:rPr>
      </w:pPr>
    </w:p>
    <w:p>
      <w:pPr>
        <w:ind w:firstLine="578"/>
        <w:spacing w:after="0" w:line="290" w:lineRule="auto"/>
        <w:rPr>
          <w:sz w:val="20"/>
          <w:szCs w:val="20"/>
          <w:color w:val="auto"/>
        </w:rPr>
      </w:pPr>
      <w:r>
        <w:rPr>
          <w:rFonts w:ascii="Arial" w:cs="Arial" w:eastAsia="Arial" w:hAnsi="Arial"/>
          <w:sz w:val="17"/>
          <w:szCs w:val="17"/>
          <w:color w:val="auto"/>
        </w:rPr>
        <w:t>KKC has the commercial responsibility for Crysvita in the European territory. In December 2019, the Company sold its right to receive royalty payments based on sales in the European territory to Royalty Pharma, effective January 1, 2020, as further described in Note 7. Prior to the Company’s sale of the royalty, the Company received a royalty of up to 10% on net sales in the European territory, which was recognized as the underlying sales occur. Beginning in 2020, the Company recorded the royalty revenue as non-cash royalty revenues. During the nine months ended September 30, 2021 and 2020, there was a change in the estimate of the revenue reserves related to sales made prior to January 1, 2020, as a result of which, the Company recorded $0.2 million and $1.5 million, respectively, as royalty revenue in European territory.</w:t>
      </w:r>
    </w:p>
    <w:p>
      <w:pPr>
        <w:spacing w:after="0" w:line="4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share of collaboration and royalty revenue related to Crysvita was as follows (in thousands):</w:t>
      </w:r>
    </w:p>
    <w:p>
      <w:pPr>
        <w:spacing w:after="0" w:line="109"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w w:val="95"/>
              </w:rPr>
              <w:t>Three Months Ended September 30,</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w w:val="96"/>
              </w:rPr>
              <w:t>Nine Months Ended September 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140" w:type="dxa"/>
            <w:vAlign w:val="bottom"/>
            <w:shd w:val="clear" w:color="auto" w:fill="CCECFF"/>
          </w:tcPr>
          <w:p>
            <w:pPr>
              <w:spacing w:after="0"/>
              <w:rPr>
                <w:sz w:val="20"/>
                <w:szCs w:val="20"/>
                <w:color w:val="auto"/>
              </w:rPr>
            </w:pPr>
            <w:r>
              <w:rPr>
                <w:rFonts w:ascii="Arial" w:cs="Arial" w:eastAsia="Arial" w:hAnsi="Arial"/>
                <w:sz w:val="18"/>
                <w:szCs w:val="18"/>
                <w:color w:val="auto"/>
              </w:rPr>
              <w:t>Company's share of revenue in profit-</w:t>
            </w:r>
          </w:p>
        </w:tc>
        <w:tc>
          <w:tcPr>
            <w:tcW w:w="160" w:type="dxa"/>
            <w:vAlign w:val="bottom"/>
            <w:shd w:val="clear" w:color="auto" w:fill="CCECFF"/>
          </w:tcPr>
          <w:p>
            <w:pPr>
              <w:spacing w:after="0"/>
              <w:rPr>
                <w:sz w:val="21"/>
                <w:szCs w:val="21"/>
                <w:color w:val="auto"/>
              </w:rPr>
            </w:pPr>
          </w:p>
        </w:tc>
        <w:tc>
          <w:tcPr>
            <w:tcW w:w="11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1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80" w:type="dxa"/>
            <w:vAlign w:val="bottom"/>
            <w:tcBorders>
              <w:right w:val="single" w:sz="8" w:color="CCECFF"/>
            </w:tcBorders>
            <w:shd w:val="clear" w:color="auto" w:fill="CCEC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140" w:type="dxa"/>
            <w:vAlign w:val="bottom"/>
            <w:shd w:val="clear" w:color="auto" w:fill="CCECFF"/>
          </w:tcPr>
          <w:p>
            <w:pPr>
              <w:ind w:left="180"/>
              <w:spacing w:after="0"/>
              <w:rPr>
                <w:sz w:val="20"/>
                <w:szCs w:val="20"/>
                <w:color w:val="auto"/>
              </w:rPr>
            </w:pPr>
            <w:r>
              <w:rPr>
                <w:rFonts w:ascii="Arial" w:cs="Arial" w:eastAsia="Arial" w:hAnsi="Arial"/>
                <w:sz w:val="18"/>
                <w:szCs w:val="18"/>
                <w:color w:val="auto"/>
              </w:rPr>
              <w:t>share territory</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42,971</w:t>
            </w:r>
          </w:p>
        </w:tc>
        <w:tc>
          <w:tcPr>
            <w:tcW w:w="48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34,058</w:t>
            </w:r>
          </w:p>
        </w:tc>
        <w:tc>
          <w:tcPr>
            <w:tcW w:w="3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120,987</w:t>
            </w:r>
          </w:p>
        </w:tc>
        <w:tc>
          <w:tcPr>
            <w:tcW w:w="4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91,079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140" w:type="dxa"/>
            <w:vAlign w:val="bottom"/>
          </w:tcPr>
          <w:p>
            <w:pPr>
              <w:spacing w:after="0"/>
              <w:rPr>
                <w:sz w:val="20"/>
                <w:szCs w:val="20"/>
                <w:color w:val="auto"/>
              </w:rPr>
            </w:pPr>
            <w:r>
              <w:rPr>
                <w:rFonts w:ascii="Arial" w:cs="Arial" w:eastAsia="Arial" w:hAnsi="Arial"/>
                <w:sz w:val="18"/>
                <w:szCs w:val="18"/>
                <w:color w:val="auto"/>
              </w:rPr>
              <w:t>Royalty revenue in European territory</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140" w:type="dxa"/>
            <w:vAlign w:val="bottom"/>
            <w:shd w:val="clear" w:color="auto" w:fill="CCECFF"/>
          </w:tcPr>
          <w:p>
            <w:pPr>
              <w:spacing w:after="0"/>
              <w:rPr>
                <w:sz w:val="20"/>
                <w:szCs w:val="20"/>
                <w:color w:val="auto"/>
              </w:rPr>
            </w:pPr>
            <w:r>
              <w:rPr>
                <w:rFonts w:ascii="Arial" w:cs="Arial" w:eastAsia="Arial" w:hAnsi="Arial"/>
                <w:sz w:val="18"/>
                <w:szCs w:val="18"/>
                <w:color w:val="auto"/>
              </w:rPr>
              <w:t>Non-cash royalty revenue in European</w:t>
            </w:r>
          </w:p>
        </w:tc>
        <w:tc>
          <w:tcPr>
            <w:tcW w:w="160" w:type="dxa"/>
            <w:vAlign w:val="bottom"/>
            <w:shd w:val="clear" w:color="auto" w:fill="CCECFF"/>
          </w:tcPr>
          <w:p>
            <w:pPr>
              <w:spacing w:after="0"/>
              <w:rPr>
                <w:sz w:val="21"/>
                <w:szCs w:val="21"/>
                <w:color w:val="auto"/>
              </w:rPr>
            </w:pPr>
          </w:p>
        </w:tc>
        <w:tc>
          <w:tcPr>
            <w:tcW w:w="11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4,649</w:t>
            </w:r>
          </w:p>
        </w:tc>
        <w:tc>
          <w:tcPr>
            <w:tcW w:w="1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3,331</w:t>
            </w:r>
          </w:p>
        </w:tc>
        <w:tc>
          <w:tcPr>
            <w:tcW w:w="1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1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13,210</w:t>
            </w:r>
          </w:p>
        </w:tc>
        <w:tc>
          <w:tcPr>
            <w:tcW w:w="1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80" w:type="dxa"/>
            <w:vAlign w:val="bottom"/>
            <w:tcBorders>
              <w:right w:val="single" w:sz="8" w:color="CCECFF"/>
            </w:tcBorders>
            <w:vMerge w:val="restart"/>
            <w:shd w:val="clear" w:color="auto" w:fill="CCECFF"/>
          </w:tcPr>
          <w:p>
            <w:pPr>
              <w:jc w:val="right"/>
              <w:spacing w:after="0"/>
              <w:rPr>
                <w:sz w:val="20"/>
                <w:szCs w:val="20"/>
                <w:color w:val="auto"/>
              </w:rPr>
            </w:pPr>
            <w:r>
              <w:rPr>
                <w:rFonts w:ascii="Arial" w:cs="Arial" w:eastAsia="Arial" w:hAnsi="Arial"/>
                <w:sz w:val="18"/>
                <w:szCs w:val="18"/>
                <w:color w:val="auto"/>
              </w:rPr>
              <w:t>9,428</w:t>
            </w:r>
          </w:p>
        </w:tc>
        <w:tc>
          <w:tcPr>
            <w:tcW w:w="8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CCECFF"/>
            </w:tcBorders>
            <w:shd w:val="clear" w:color="auto" w:fill="CCECFF"/>
          </w:tcPr>
          <w:p>
            <w:pPr>
              <w:ind w:left="180"/>
              <w:spacing w:after="0"/>
              <w:rPr>
                <w:sz w:val="20"/>
                <w:szCs w:val="20"/>
                <w:color w:val="auto"/>
              </w:rPr>
            </w:pPr>
            <w:r>
              <w:rPr>
                <w:rFonts w:ascii="Arial" w:cs="Arial" w:eastAsia="Arial" w:hAnsi="Arial"/>
                <w:sz w:val="18"/>
                <w:szCs w:val="18"/>
                <w:color w:val="auto"/>
              </w:rPr>
              <w:t>territory</w:t>
            </w:r>
          </w:p>
        </w:tc>
        <w:tc>
          <w:tcPr>
            <w:tcW w:w="160" w:type="dxa"/>
            <w:vAlign w:val="bottom"/>
            <w:tcBorders>
              <w:bottom w:val="single" w:sz="8" w:color="auto"/>
            </w:tcBorders>
            <w:shd w:val="clear" w:color="auto" w:fill="CCECFF"/>
          </w:tcPr>
          <w:p>
            <w:pPr>
              <w:spacing w:after="0"/>
              <w:rPr>
                <w:sz w:val="20"/>
                <w:szCs w:val="20"/>
                <w:color w:val="auto"/>
              </w:rPr>
            </w:pPr>
          </w:p>
        </w:tc>
        <w:tc>
          <w:tcPr>
            <w:tcW w:w="1120" w:type="dxa"/>
            <w:vAlign w:val="bottom"/>
            <w:tcBorders>
              <w:bottom w:val="single" w:sz="8" w:color="auto"/>
            </w:tcBorders>
            <w:vMerge w:val="continue"/>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300" w:type="dxa"/>
            <w:vAlign w:val="bottom"/>
            <w:tcBorders>
              <w:bottom w:val="single" w:sz="8" w:color="auto"/>
            </w:tcBorders>
            <w:shd w:val="clear" w:color="auto" w:fill="CCECFF"/>
          </w:tcPr>
          <w:p>
            <w:pPr>
              <w:spacing w:after="0"/>
              <w:rPr>
                <w:sz w:val="20"/>
                <w:szCs w:val="20"/>
                <w:color w:val="auto"/>
              </w:rPr>
            </w:pPr>
          </w:p>
        </w:tc>
        <w:tc>
          <w:tcPr>
            <w:tcW w:w="1000" w:type="dxa"/>
            <w:vAlign w:val="bottom"/>
            <w:tcBorders>
              <w:bottom w:val="single" w:sz="8" w:color="auto"/>
            </w:tcBorders>
            <w:vMerge w:val="continue"/>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bottom w:val="single" w:sz="8" w:color="auto"/>
            </w:tcBorders>
            <w:shd w:val="clear" w:color="auto" w:fill="CCECFF"/>
          </w:tcPr>
          <w:p>
            <w:pPr>
              <w:spacing w:after="0"/>
              <w:rPr>
                <w:sz w:val="20"/>
                <w:szCs w:val="20"/>
                <w:color w:val="auto"/>
              </w:rPr>
            </w:pPr>
          </w:p>
        </w:tc>
        <w:tc>
          <w:tcPr>
            <w:tcW w:w="1120" w:type="dxa"/>
            <w:vAlign w:val="bottom"/>
            <w:tcBorders>
              <w:bottom w:val="single" w:sz="8" w:color="auto"/>
            </w:tcBorders>
            <w:vMerge w:val="continue"/>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300" w:type="dxa"/>
            <w:vAlign w:val="bottom"/>
            <w:tcBorders>
              <w:bottom w:val="single" w:sz="8" w:color="auto"/>
            </w:tcBorders>
            <w:shd w:val="clear" w:color="auto" w:fill="CCECFF"/>
          </w:tcPr>
          <w:p>
            <w:pPr>
              <w:spacing w:after="0"/>
              <w:rPr>
                <w:sz w:val="20"/>
                <w:szCs w:val="20"/>
                <w:color w:val="auto"/>
              </w:rPr>
            </w:pPr>
          </w:p>
        </w:tc>
        <w:tc>
          <w:tcPr>
            <w:tcW w:w="1080" w:type="dxa"/>
            <w:vAlign w:val="bottom"/>
            <w:tcBorders>
              <w:bottom w:val="single" w:sz="8" w:color="auto"/>
              <w:right w:val="single" w:sz="8" w:color="CCECFF"/>
            </w:tcBorders>
            <w:vMerge w:val="continue"/>
            <w:shd w:val="clear" w:color="auto" w:fill="CCECFF"/>
          </w:tcPr>
          <w:p>
            <w:pPr>
              <w:spacing w:after="0"/>
              <w:rPr>
                <w:sz w:val="20"/>
                <w:szCs w:val="20"/>
                <w:color w:val="auto"/>
              </w:rPr>
            </w:pPr>
          </w:p>
        </w:tc>
        <w:tc>
          <w:tcPr>
            <w:tcW w:w="8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4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47,636</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37,389</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134,441</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102,005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-193675</wp:posOffset>
            </wp:positionV>
            <wp:extent cx="11112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-193675</wp:posOffset>
            </wp:positionV>
            <wp:extent cx="10287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-193675</wp:posOffset>
            </wp:positionV>
            <wp:extent cx="939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-193675</wp:posOffset>
            </wp:positionV>
            <wp:extent cx="9398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 related to sales in other territories</w:t>
      </w:r>
    </w:p>
    <w:p>
      <w:pPr>
        <w:spacing w:after="0" w:line="90" w:lineRule="exact"/>
        <w:rPr>
          <w:sz w:val="20"/>
          <w:szCs w:val="20"/>
          <w:color w:val="auto"/>
        </w:rPr>
      </w:pPr>
    </w:p>
    <w:p>
      <w:pPr>
        <w:ind w:right="80" w:firstLine="578"/>
        <w:spacing w:after="0" w:line="266" w:lineRule="auto"/>
        <w:rPr>
          <w:sz w:val="20"/>
          <w:szCs w:val="20"/>
          <w:color w:val="auto"/>
        </w:rPr>
      </w:pPr>
      <w:r>
        <w:rPr>
          <w:rFonts w:ascii="Arial" w:cs="Arial" w:eastAsia="Arial" w:hAnsi="Arial"/>
          <w:sz w:val="18"/>
          <w:szCs w:val="18"/>
          <w:color w:val="auto"/>
        </w:rPr>
        <w:t>The Company is responsible for commercializing Crysvita in Latin America and Turkey. The Company is considered the principal in these territories as the Company controls the product before it is transferred to the customer. Accordingly, the Company records revenue on a gross basis related to the sale of Crysvita once the product is delivered and the risk and title of the product is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6" w:name="page17"/>
    <w:bookmarkEnd w:id="16"/>
    <w:p>
      <w:pPr>
        <w:ind w:right="280"/>
        <w:spacing w:after="0" w:line="275" w:lineRule="auto"/>
        <w:rPr>
          <w:sz w:val="20"/>
          <w:szCs w:val="20"/>
          <w:color w:val="auto"/>
        </w:rPr>
      </w:pPr>
      <w:r>
        <w:rPr>
          <w:rFonts w:ascii="Arial" w:cs="Arial" w:eastAsia="Arial" w:hAnsi="Arial"/>
          <w:sz w:val="18"/>
          <w:szCs w:val="18"/>
          <w:color w:val="auto"/>
        </w:rPr>
        <w:t>transferred to the distributor. The Company recorded product sales of $7.4 million and $16.2 million for the three and nine months ended September 30, 2021, respectively, and $3.3 million and $7.4 million for the three and nine months ended September 30, 2020, respectively, net of estimated product returns and other deductions. KKC has the option to assume responsibility for commercialization efforts in Turkey from the Company, after a certain minimum period.</w:t>
      </w:r>
    </w:p>
    <w:p>
      <w:pPr>
        <w:spacing w:after="0" w:line="50" w:lineRule="exact"/>
        <w:rPr>
          <w:sz w:val="20"/>
          <w:szCs w:val="20"/>
          <w:color w:val="auto"/>
        </w:rPr>
      </w:pPr>
    </w:p>
    <w:p>
      <w:pPr>
        <w:ind w:right="100" w:firstLine="578"/>
        <w:spacing w:after="0" w:line="279" w:lineRule="auto"/>
        <w:rPr>
          <w:sz w:val="20"/>
          <w:szCs w:val="20"/>
          <w:color w:val="auto"/>
        </w:rPr>
      </w:pPr>
      <w:r>
        <w:rPr>
          <w:rFonts w:ascii="Arial" w:cs="Arial" w:eastAsia="Arial" w:hAnsi="Arial"/>
          <w:sz w:val="18"/>
          <w:szCs w:val="18"/>
          <w:color w:val="auto"/>
        </w:rPr>
        <w:t>Under the collaboration agreement, KKC manufactures and supplies Crysvita, which is purchased by the Company for sales in its territories and is based on 35% of the net sales through December 31, 2022 and 30% thereafter. The Company also pays to KKC a low single-digit royalty on net sales in Latin America.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sharing payments</w:t>
      </w:r>
    </w:p>
    <w:p>
      <w:pPr>
        <w:spacing w:after="0" w:line="90" w:lineRule="exact"/>
        <w:rPr>
          <w:sz w:val="20"/>
          <w:szCs w:val="20"/>
          <w:color w:val="auto"/>
        </w:rPr>
      </w:pPr>
    </w:p>
    <w:p>
      <w:pPr>
        <w:ind w:right="100" w:firstLine="578"/>
        <w:spacing w:after="0" w:line="293" w:lineRule="auto"/>
        <w:rPr>
          <w:sz w:val="20"/>
          <w:szCs w:val="20"/>
          <w:color w:val="auto"/>
        </w:rPr>
      </w:pPr>
      <w:r>
        <w:rPr>
          <w:rFonts w:ascii="Arial" w:cs="Arial" w:eastAsia="Arial" w:hAnsi="Arial"/>
          <w:sz w:val="18"/>
          <w:szCs w:val="18"/>
          <w:color w:val="auto"/>
        </w:rPr>
        <w:t>Under the collaboration agreement, KKC and the Company share certain development and commercialization costs. As a result, the Company was reimbursed for these costs and operating expenses were reduced as follows (in thousands):</w:t>
      </w:r>
    </w:p>
    <w:p>
      <w:pPr>
        <w:spacing w:after="0" w:line="26"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255"/>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w w:val="96"/>
              </w:rPr>
              <w:t>Nine Months Ended September 30,</w:t>
            </w:r>
          </w:p>
        </w:tc>
        <w:tc>
          <w:tcPr>
            <w:tcW w:w="60" w:type="dxa"/>
            <w:vAlign w:val="bottom"/>
          </w:tcPr>
          <w:p>
            <w:pPr>
              <w:spacing w:after="0"/>
              <w:rPr>
                <w:sz w:val="16"/>
                <w:szCs w:val="16"/>
                <w:color w:val="auto"/>
              </w:rPr>
            </w:pPr>
          </w:p>
        </w:tc>
      </w:tr>
      <w:tr>
        <w:trPr>
          <w:trHeight w:val="196"/>
        </w:trPr>
        <w:tc>
          <w:tcPr>
            <w:tcW w:w="31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r>
      <w:tr>
        <w:trPr>
          <w:trHeight w:val="25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16,517</w:t>
            </w:r>
          </w:p>
        </w:tc>
        <w:tc>
          <w:tcPr>
            <w:tcW w:w="4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15,814</w:t>
            </w:r>
          </w:p>
        </w:tc>
        <w:tc>
          <w:tcPr>
            <w:tcW w:w="60" w:type="dxa"/>
            <w:vAlign w:val="bottom"/>
            <w:shd w:val="clear" w:color="auto" w:fill="CCEEFF"/>
          </w:tcPr>
          <w:p>
            <w:pPr>
              <w:spacing w:after="0"/>
              <w:rPr>
                <w:sz w:val="22"/>
                <w:szCs w:val="22"/>
                <w:color w:val="auto"/>
              </w:rPr>
            </w:pPr>
          </w:p>
        </w:tc>
      </w:tr>
      <w:tr>
        <w:trPr>
          <w:trHeight w:val="250"/>
        </w:trPr>
        <w:tc>
          <w:tcPr>
            <w:tcW w:w="31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8,005</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5,492</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23,076</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18,509</w:t>
            </w:r>
          </w:p>
        </w:tc>
        <w:tc>
          <w:tcPr>
            <w:tcW w:w="60" w:type="dxa"/>
            <w:vAlign w:val="bottom"/>
          </w:tcPr>
          <w:p>
            <w:pPr>
              <w:spacing w:after="0"/>
              <w:rPr>
                <w:sz w:val="21"/>
                <w:szCs w:val="21"/>
                <w:color w:val="auto"/>
              </w:rPr>
            </w:pPr>
          </w:p>
        </w:tc>
      </w:tr>
      <w:tr>
        <w:trPr>
          <w:trHeight w:val="296"/>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13,166</w:t>
            </w:r>
          </w:p>
        </w:tc>
        <w:tc>
          <w:tcPr>
            <w:tcW w:w="2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10,648</w:t>
            </w: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39,593</w:t>
            </w:r>
          </w:p>
        </w:tc>
        <w:tc>
          <w:tcPr>
            <w:tcW w:w="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34,323</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-25400</wp:posOffset>
            </wp:positionV>
            <wp:extent cx="1371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-25400</wp:posOffset>
            </wp:positionV>
            <wp:extent cx="12890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1289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-25400</wp:posOffset>
            </wp:positionV>
            <wp:extent cx="1200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1200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431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43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receivable and payable</w:t>
      </w:r>
    </w:p>
    <w:p>
      <w:pPr>
        <w:spacing w:after="0" w:line="104" w:lineRule="exact"/>
        <w:rPr>
          <w:sz w:val="20"/>
          <w:szCs w:val="20"/>
          <w:color w:val="auto"/>
        </w:rPr>
      </w:pPr>
    </w:p>
    <w:p>
      <w:pPr>
        <w:jc w:val="both"/>
        <w:ind w:right="320" w:firstLine="578"/>
        <w:spacing w:after="0" w:line="303" w:lineRule="auto"/>
        <w:rPr>
          <w:sz w:val="20"/>
          <w:szCs w:val="20"/>
          <w:color w:val="auto"/>
        </w:rPr>
      </w:pPr>
      <w:r>
        <w:rPr>
          <w:rFonts w:ascii="Arial" w:cs="Arial" w:eastAsia="Arial" w:hAnsi="Arial"/>
          <w:sz w:val="17"/>
          <w:szCs w:val="17"/>
          <w:color w:val="auto"/>
        </w:rPr>
        <w:t>The Company had accounts receivable from KKC in the amount of $14.4 million and $16.4 million from profit-share revenue and royalties and other receivables recorded in prepaid expenses and other current assets of $3.7 million and $9.6 million and accrued liabilities of $3.1 million and $2.4 million from commercial and development activity reimbursements, as of September 30, 2021 and December 31, 2020,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HealthCare LLC</w:t>
      </w:r>
    </w:p>
    <w:p>
      <w:pPr>
        <w:spacing w:after="0" w:line="108"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The Company has an agreement with Bayer Healthcare LLC (Bayer) to research, develop and commercialize AAV gene therapy products for the treatment of hemophilia A (DTX 201). Under this agreement, Bayer has been granted an exclusive license to develop and commercialize one or more novel gene therapies for hemophilia A. The agreement requires that Bayer use commercially reasonable efforts to conduct and fund a proof-of-concept (POC) clinical trial and any subsequent clinical trials and commercialization of gene therapy products for treatment of hemophilia A. Bayer has worldwide rights to commercialize the potential future product.</w:t>
      </w:r>
    </w:p>
    <w:p>
      <w:pPr>
        <w:spacing w:after="0" w:line="42" w:lineRule="exact"/>
        <w:rPr>
          <w:sz w:val="20"/>
          <w:szCs w:val="20"/>
          <w:color w:val="auto"/>
        </w:rPr>
      </w:pPr>
    </w:p>
    <w:p>
      <w:pPr>
        <w:ind w:right="20" w:firstLine="578"/>
        <w:spacing w:after="0" w:line="272" w:lineRule="auto"/>
        <w:rPr>
          <w:sz w:val="20"/>
          <w:szCs w:val="20"/>
          <w:color w:val="auto"/>
        </w:rPr>
      </w:pPr>
      <w:r>
        <w:rPr>
          <w:rFonts w:ascii="Arial" w:cs="Arial" w:eastAsia="Arial" w:hAnsi="Arial"/>
          <w:sz w:val="18"/>
          <w:szCs w:val="18"/>
          <w:color w:val="auto"/>
        </w:rPr>
        <w:t>Bayer was responsible for funding certain research and development services performed by the Company in the performance of its obligations under the annual research plan and budget. Under the terms of the agreement, the Company is eligible to receive development and commercialization milestone payments of up to $232.0 million, as well as, royalty payments ranging in the high single-digit to low double-digit percentages, not exceeding the mid-teens, of net sales of licensed products. The Company achieved the first milestone in December 2017, the second milestone in April 2018, and has received $15.0 million for such milestones to date.</w:t>
      </w:r>
    </w:p>
    <w:p>
      <w:pPr>
        <w:spacing w:after="0" w:line="56" w:lineRule="exact"/>
        <w:rPr>
          <w:sz w:val="20"/>
          <w:szCs w:val="20"/>
          <w:color w:val="auto"/>
        </w:rPr>
      </w:pPr>
    </w:p>
    <w:p>
      <w:pPr>
        <w:ind w:right="120" w:firstLine="569"/>
        <w:spacing w:after="0" w:line="279" w:lineRule="auto"/>
        <w:rPr>
          <w:sz w:val="20"/>
          <w:szCs w:val="20"/>
          <w:color w:val="auto"/>
        </w:rPr>
      </w:pPr>
      <w:r>
        <w:rPr>
          <w:rFonts w:ascii="Arial" w:cs="Arial" w:eastAsia="Arial" w:hAnsi="Arial"/>
          <w:sz w:val="18"/>
          <w:szCs w:val="18"/>
          <w:color w:val="auto"/>
        </w:rPr>
        <w:t>The Company has no further obligations under the contract. The Company may record future milestone payments as revenue, if it becomes probable that a significant reversal in the amount of revenue recognized will not occur and when the uncertainty associated with the variable consideration is subsequently resolved.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Arcturus</w:t>
      </w:r>
    </w:p>
    <w:p>
      <w:pPr>
        <w:spacing w:after="0" w:line="108" w:lineRule="exact"/>
        <w:rPr>
          <w:sz w:val="20"/>
          <w:szCs w:val="20"/>
          <w:color w:val="auto"/>
        </w:rPr>
      </w:pPr>
    </w:p>
    <w:p>
      <w:pPr>
        <w:jc w:val="both"/>
        <w:ind w:firstLine="569"/>
        <w:spacing w:after="0" w:line="275" w:lineRule="auto"/>
        <w:rPr>
          <w:sz w:val="20"/>
          <w:szCs w:val="20"/>
          <w:color w:val="auto"/>
        </w:rPr>
      </w:pPr>
      <w:r>
        <w:rPr>
          <w:rFonts w:ascii="Arial" w:cs="Arial" w:eastAsia="Arial" w:hAnsi="Arial"/>
          <w:sz w:val="18"/>
          <w:szCs w:val="18"/>
          <w:color w:val="auto"/>
        </w:rPr>
        <w:t>In October 2015, the Company entered into a Research Collaboration and License Agreement with Arcturus Therapeutics Holdings Inc. (Arcturus) whereby the Company and Arcturus would collaborate on the research and development of therapies for select rare diseases. Arcturus has the primary responsibility for conducting certain research services, funded by the Company, and the Company is responsible for development and commercialization costs.</w:t>
      </w:r>
    </w:p>
    <w:p>
      <w:pPr>
        <w:spacing w:after="0" w:line="50" w:lineRule="exact"/>
        <w:rPr>
          <w:sz w:val="20"/>
          <w:szCs w:val="20"/>
          <w:color w:val="auto"/>
        </w:rPr>
      </w:pPr>
    </w:p>
    <w:p>
      <w:pPr>
        <w:jc w:val="both"/>
        <w:ind w:firstLine="569"/>
        <w:spacing w:after="0" w:line="314" w:lineRule="auto"/>
        <w:rPr>
          <w:sz w:val="20"/>
          <w:szCs w:val="20"/>
          <w:color w:val="auto"/>
        </w:rPr>
      </w:pPr>
      <w:r>
        <w:rPr>
          <w:rFonts w:ascii="Arial" w:cs="Arial" w:eastAsia="Arial" w:hAnsi="Arial"/>
          <w:sz w:val="16"/>
          <w:szCs w:val="16"/>
          <w:color w:val="auto"/>
        </w:rPr>
        <w:t>In June 2019, the Company entered into an Equity Purchase Agreement and an amendment to the Research Collaboration and License Agreement to expand the field of use and increase the number of disease targets to include mRNA, DNA and siRNA therapeutics for up to 12 rare diseases. Pursuant to the agreements, the Company paid $6.0 million in cash upfront to Arcturus and purchased 2,400,000 shares of Arcturus’ common stock at a stated value of $10.00 per share, resulting in a total of $30.0 million of consideration paid at the close of the transaction. As a result, the Company received expanded license rights, the Arcturus common stock and an option to purchase an additional 600,000 shares of Arcturus’ common stock at $16.00 per share.</w:t>
      </w:r>
    </w:p>
    <w:p>
      <w:pPr>
        <w:spacing w:after="0" w:line="25" w:lineRule="exact"/>
        <w:rPr>
          <w:sz w:val="20"/>
          <w:szCs w:val="20"/>
          <w:color w:val="auto"/>
        </w:rPr>
      </w:pPr>
    </w:p>
    <w:p>
      <w:pPr>
        <w:jc w:val="both"/>
        <w:ind w:firstLine="569"/>
        <w:spacing w:after="0" w:line="272" w:lineRule="auto"/>
        <w:rPr>
          <w:sz w:val="20"/>
          <w:szCs w:val="20"/>
          <w:color w:val="auto"/>
        </w:rPr>
      </w:pPr>
      <w:r>
        <w:rPr>
          <w:rFonts w:ascii="Arial" w:cs="Arial" w:eastAsia="Arial" w:hAnsi="Arial"/>
          <w:sz w:val="18"/>
          <w:szCs w:val="18"/>
          <w:color w:val="auto"/>
        </w:rPr>
        <w:t>On a product-by-product basis, the Company may be obligated to make development and regulatory milestone payments of up to $24.5 million, and commercial milestone payments of up to $45.0 million, if certain milestones are achieved. The Company may also be obligated to pay Arcturus royalties on any net sales of products incorporating the licensed intellectual property that range from a mid single-digit to low double-digit percentage. For the three and nine months ended September 30, 2021 and 2020, there were no research and development expenses incurred as part of the collaboration agreement.</w:t>
      </w:r>
    </w:p>
    <w:p>
      <w:pPr>
        <w:spacing w:after="0" w:line="56" w:lineRule="exact"/>
        <w:rPr>
          <w:sz w:val="20"/>
          <w:szCs w:val="20"/>
          <w:color w:val="auto"/>
        </w:rPr>
      </w:pPr>
    </w:p>
    <w:p>
      <w:pPr>
        <w:jc w:val="both"/>
        <w:ind w:firstLine="569"/>
        <w:spacing w:after="0" w:line="266" w:lineRule="auto"/>
        <w:rPr>
          <w:sz w:val="20"/>
          <w:szCs w:val="20"/>
          <w:color w:val="auto"/>
        </w:rPr>
      </w:pPr>
      <w:r>
        <w:rPr>
          <w:rFonts w:ascii="Arial" w:cs="Arial" w:eastAsia="Arial" w:hAnsi="Arial"/>
          <w:sz w:val="18"/>
          <w:szCs w:val="18"/>
          <w:color w:val="auto"/>
        </w:rPr>
        <w:t>In May 2020, the Company exercised its option to purchase 600,000 shares of Arcturus’ common stock at $16.00 per share, or a total purchase price of $9.6 million. In December 2020, the Company sold 800,000 shares of Arcturus’ common stock at 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jc w:val="both"/>
        <w:spacing w:after="0" w:line="279" w:lineRule="auto"/>
        <w:rPr>
          <w:sz w:val="20"/>
          <w:szCs w:val="20"/>
          <w:color w:val="auto"/>
        </w:rPr>
      </w:pPr>
      <w:r>
        <w:rPr>
          <w:rFonts w:ascii="Arial" w:cs="Arial" w:eastAsia="Arial" w:hAnsi="Arial"/>
          <w:sz w:val="18"/>
          <w:szCs w:val="18"/>
          <w:color w:val="auto"/>
        </w:rPr>
        <w:t>weighted-average price of $100.81 per share and received net proceeds of $79.8 million. In August 2021, the Company sold an additional 800,000 shares of Arcturus common stock at a weighted-average price of $54.54 per share and received net proceeds of $43.2 million. As of September 30, 2021, the Company held 1,400,000 shares of Arcturus’ common stock.</w:t>
      </w:r>
    </w:p>
    <w:p>
      <w:pPr>
        <w:spacing w:after="0" w:line="48" w:lineRule="exact"/>
        <w:rPr>
          <w:sz w:val="20"/>
          <w:szCs w:val="20"/>
          <w:color w:val="auto"/>
        </w:rPr>
      </w:pPr>
    </w:p>
    <w:p>
      <w:pPr>
        <w:jc w:val="both"/>
        <w:ind w:firstLine="569"/>
        <w:spacing w:after="0" w:line="329" w:lineRule="auto"/>
        <w:rPr>
          <w:sz w:val="20"/>
          <w:szCs w:val="20"/>
          <w:color w:val="auto"/>
        </w:rPr>
      </w:pPr>
      <w:r>
        <w:rPr>
          <w:rFonts w:ascii="Arial" w:cs="Arial" w:eastAsia="Arial" w:hAnsi="Arial"/>
          <w:sz w:val="16"/>
          <w:szCs w:val="16"/>
          <w:color w:val="auto"/>
        </w:rPr>
        <w:t>Due to the decrease in ownership and in accordance with the terms of the Equity Purchase Agreement, the Company no longer had the right to have its director nominee included in the annual slate of Arcturus director nominees and as a result, the Company’s director designee resigned from the Arcturus board of directors effective August 25, 2021. The Company will continue to apply the fair value option to account for the equity investment.</w:t>
      </w:r>
    </w:p>
    <w:p>
      <w:pPr>
        <w:spacing w:after="0" w:line="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changes in the fair value of the Company’s equity investment in Arcturus securities were as follows (in thousands):</w:t>
      </w:r>
    </w:p>
    <w:p>
      <w:pPr>
        <w:spacing w:after="0" w:line="10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3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Option to purchase</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additional shares of</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3800" w:type="dxa"/>
            <w:vAlign w:val="bottom"/>
          </w:tcPr>
          <w:p>
            <w:pPr>
              <w:spacing w:after="0"/>
              <w:rPr>
                <w:sz w:val="16"/>
                <w:szCs w:val="16"/>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w w:val="99"/>
              </w:rPr>
              <w:t>Arcturus common stock</w:t>
            </w:r>
          </w:p>
        </w:tc>
        <w:tc>
          <w:tcPr>
            <w:tcW w:w="1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Arcturus common stock</w:t>
            </w:r>
          </w:p>
        </w:tc>
        <w:tc>
          <w:tcPr>
            <w:tcW w:w="460" w:type="dxa"/>
            <w:vAlign w:val="bottom"/>
          </w:tcPr>
          <w:p>
            <w:pPr>
              <w:spacing w:after="0"/>
              <w:rPr>
                <w:sz w:val="16"/>
                <w:szCs w:val="16"/>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25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50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26,088</w:t>
            </w:r>
          </w:p>
        </w:tc>
        <w:tc>
          <w:tcPr>
            <w:tcW w:w="120" w:type="dxa"/>
            <w:vAlign w:val="bottom"/>
            <w:shd w:val="clear" w:color="auto" w:fill="CCECFF"/>
          </w:tcPr>
          <w:p>
            <w:pPr>
              <w:spacing w:after="0"/>
              <w:rPr>
                <w:sz w:val="22"/>
                <w:szCs w:val="22"/>
                <w:color w:val="auto"/>
              </w:rPr>
            </w:pPr>
          </w:p>
        </w:tc>
        <w:tc>
          <w:tcPr>
            <w:tcW w:w="2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CFF"/>
          </w:tcPr>
          <w:p>
            <w:pPr>
              <w:spacing w:after="0"/>
              <w:rPr>
                <w:sz w:val="22"/>
                <w:szCs w:val="22"/>
                <w:color w:val="auto"/>
              </w:rPr>
            </w:pPr>
          </w:p>
        </w:tc>
        <w:tc>
          <w:tcPr>
            <w:tcW w:w="460" w:type="dxa"/>
            <w:vAlign w:val="bottom"/>
            <w:tcBorders>
              <w:top w:val="single" w:sz="8" w:color="auto"/>
            </w:tcBorders>
            <w:shd w:val="clear" w:color="auto" w:fill="CCEC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27,752</w:t>
            </w:r>
          </w:p>
        </w:tc>
        <w:tc>
          <w:tcPr>
            <w:tcW w:w="100" w:type="dxa"/>
            <w:vAlign w:val="bottom"/>
            <w:shd w:val="clear" w:color="auto" w:fill="CCECFF"/>
          </w:tcPr>
          <w:p>
            <w:pPr>
              <w:spacing w:after="0"/>
              <w:rPr>
                <w:sz w:val="22"/>
                <w:szCs w:val="22"/>
                <w:color w:val="auto"/>
              </w:rPr>
            </w:pPr>
          </w:p>
        </w:tc>
      </w:tr>
      <w:tr>
        <w:trPr>
          <w:trHeight w:val="250"/>
        </w:trPr>
        <w:tc>
          <w:tcPr>
            <w:tcW w:w="3800" w:type="dxa"/>
            <w:vAlign w:val="bottom"/>
          </w:tcPr>
          <w:p>
            <w:pPr>
              <w:ind w:left="100"/>
              <w:spacing w:after="0"/>
              <w:rPr>
                <w:sz w:val="20"/>
                <w:szCs w:val="20"/>
                <w:color w:val="auto"/>
              </w:rPr>
            </w:pPr>
            <w:r>
              <w:rPr>
                <w:rFonts w:ascii="Arial" w:cs="Arial" w:eastAsia="Arial" w:hAnsi="Arial"/>
                <w:sz w:val="18"/>
                <w:szCs w:val="18"/>
                <w:color w:val="auto"/>
              </w:rPr>
              <w:t>Change in fair value</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113,978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23,948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137,926</w:t>
            </w:r>
          </w:p>
        </w:tc>
        <w:tc>
          <w:tcPr>
            <w:tcW w:w="100" w:type="dxa"/>
            <w:vAlign w:val="bottom"/>
          </w:tcPr>
          <w:p>
            <w:pPr>
              <w:spacing w:after="0"/>
              <w:rPr>
                <w:sz w:val="21"/>
                <w:szCs w:val="21"/>
                <w:color w:val="auto"/>
              </w:rPr>
            </w:pPr>
          </w:p>
        </w:tc>
      </w:tr>
      <w:tr>
        <w:trPr>
          <w:trHeight w:val="263"/>
        </w:trPr>
        <w:tc>
          <w:tcPr>
            <w:tcW w:w="3800" w:type="dxa"/>
            <w:vAlign w:val="bottom"/>
            <w:shd w:val="clear" w:color="auto" w:fill="CCECFF"/>
          </w:tcPr>
          <w:p>
            <w:pPr>
              <w:ind w:left="100"/>
              <w:spacing w:after="0"/>
              <w:rPr>
                <w:sz w:val="20"/>
                <w:szCs w:val="20"/>
                <w:color w:val="auto"/>
              </w:rPr>
            </w:pPr>
            <w:r>
              <w:rPr>
                <w:rFonts w:ascii="Arial" w:cs="Arial" w:eastAsia="Arial" w:hAnsi="Arial"/>
                <w:sz w:val="18"/>
                <w:szCs w:val="18"/>
                <w:color w:val="auto"/>
              </w:rPr>
              <w:t>Transfer of value upon option exercise</w:t>
            </w:r>
          </w:p>
        </w:tc>
        <w:tc>
          <w:tcPr>
            <w:tcW w:w="500" w:type="dxa"/>
            <w:vAlign w:val="bottom"/>
            <w:shd w:val="clear" w:color="auto" w:fill="CCECFF"/>
          </w:tcPr>
          <w:p>
            <w:pPr>
              <w:spacing w:after="0"/>
              <w:rPr>
                <w:sz w:val="22"/>
                <w:szCs w:val="22"/>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35,212</w:t>
            </w:r>
          </w:p>
        </w:tc>
        <w:tc>
          <w:tcPr>
            <w:tcW w:w="12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16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(25,612 )</w:t>
            </w:r>
          </w:p>
        </w:tc>
        <w:tc>
          <w:tcPr>
            <w:tcW w:w="460" w:type="dxa"/>
            <w:vAlign w:val="bottom"/>
            <w:shd w:val="clear" w:color="auto" w:fill="CCECFF"/>
          </w:tcPr>
          <w:p>
            <w:pPr>
              <w:spacing w:after="0"/>
              <w:rPr>
                <w:sz w:val="22"/>
                <w:szCs w:val="22"/>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9,600</w:t>
            </w:r>
          </w:p>
        </w:tc>
        <w:tc>
          <w:tcPr>
            <w:tcW w:w="100" w:type="dxa"/>
            <w:vAlign w:val="bottom"/>
            <w:shd w:val="clear" w:color="auto" w:fill="CCECFF"/>
          </w:tcPr>
          <w:p>
            <w:pPr>
              <w:spacing w:after="0"/>
              <w:rPr>
                <w:sz w:val="22"/>
                <w:szCs w:val="22"/>
                <w:color w:val="auto"/>
              </w:rPr>
            </w:pPr>
          </w:p>
        </w:tc>
      </w:tr>
      <w:tr>
        <w:trPr>
          <w:trHeight w:val="250"/>
        </w:trPr>
        <w:tc>
          <w:tcPr>
            <w:tcW w:w="3800" w:type="dxa"/>
            <w:vAlign w:val="bottom"/>
          </w:tcPr>
          <w:p>
            <w:pPr>
              <w:ind w:left="100"/>
              <w:spacing w:after="0"/>
              <w:rPr>
                <w:sz w:val="20"/>
                <w:szCs w:val="20"/>
                <w:color w:val="auto"/>
              </w:rPr>
            </w:pPr>
            <w:r>
              <w:rPr>
                <w:rFonts w:ascii="Arial" w:cs="Arial" w:eastAsia="Arial" w:hAnsi="Arial"/>
                <w:sz w:val="18"/>
                <w:szCs w:val="18"/>
                <w:color w:val="auto"/>
              </w:rPr>
              <w:t>Sale of shares</w:t>
            </w:r>
          </w:p>
        </w:tc>
        <w:tc>
          <w:tcPr>
            <w:tcW w:w="5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(79,842 )</w:t>
            </w:r>
          </w:p>
        </w:tc>
        <w:tc>
          <w:tcPr>
            <w:tcW w:w="28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(79,842 )</w:t>
            </w:r>
          </w:p>
        </w:tc>
      </w:tr>
      <w:tr>
        <w:trPr>
          <w:trHeight w:val="257"/>
        </w:trPr>
        <w:tc>
          <w:tcPr>
            <w:tcW w:w="3800" w:type="dxa"/>
            <w:vAlign w:val="bottom"/>
            <w:shd w:val="clear" w:color="auto" w:fill="CCECFF"/>
          </w:tcPr>
          <w:p>
            <w:pPr>
              <w:spacing w:after="0"/>
              <w:rPr>
                <w:sz w:val="20"/>
                <w:szCs w:val="20"/>
                <w:color w:val="auto"/>
              </w:rPr>
            </w:pPr>
            <w:r>
              <w:rPr>
                <w:rFonts w:ascii="Arial" w:cs="Arial" w:eastAsia="Arial" w:hAnsi="Arial"/>
                <w:sz w:val="18"/>
                <w:szCs w:val="18"/>
                <w:color w:val="auto"/>
              </w:rPr>
              <w:t>December 31, 2020</w:t>
            </w:r>
          </w:p>
        </w:tc>
        <w:tc>
          <w:tcPr>
            <w:tcW w:w="500" w:type="dxa"/>
            <w:vAlign w:val="bottom"/>
            <w:tcBorders>
              <w:top w:val="single" w:sz="8" w:color="auto"/>
            </w:tcBorders>
            <w:shd w:val="clear" w:color="auto" w:fill="CCECFF"/>
          </w:tcPr>
          <w:p>
            <w:pPr>
              <w:spacing w:after="0"/>
              <w:rPr>
                <w:sz w:val="22"/>
                <w:szCs w:val="22"/>
                <w:color w:val="auto"/>
              </w:rPr>
            </w:pPr>
          </w:p>
        </w:tc>
        <w:tc>
          <w:tcPr>
            <w:tcW w:w="10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95,436</w:t>
            </w:r>
          </w:p>
        </w:tc>
        <w:tc>
          <w:tcPr>
            <w:tcW w:w="120" w:type="dxa"/>
            <w:vAlign w:val="bottom"/>
            <w:shd w:val="clear" w:color="auto" w:fill="CCECFF"/>
          </w:tcPr>
          <w:p>
            <w:pPr>
              <w:spacing w:after="0"/>
              <w:rPr>
                <w:sz w:val="22"/>
                <w:szCs w:val="22"/>
                <w:color w:val="auto"/>
              </w:rPr>
            </w:pPr>
          </w:p>
        </w:tc>
        <w:tc>
          <w:tcPr>
            <w:tcW w:w="280" w:type="dxa"/>
            <w:vAlign w:val="bottom"/>
            <w:tcBorders>
              <w:top w:val="single" w:sz="8" w:color="auto"/>
            </w:tcBorders>
            <w:shd w:val="clear" w:color="auto" w:fill="CCECFF"/>
          </w:tcPr>
          <w:p>
            <w:pPr>
              <w:spacing w:after="0"/>
              <w:rPr>
                <w:sz w:val="22"/>
                <w:szCs w:val="22"/>
                <w:color w:val="auto"/>
              </w:rPr>
            </w:pPr>
          </w:p>
        </w:tc>
        <w:tc>
          <w:tcPr>
            <w:tcW w:w="15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22"/>
                <w:szCs w:val="22"/>
                <w:color w:val="auto"/>
              </w:rPr>
            </w:pPr>
          </w:p>
        </w:tc>
        <w:tc>
          <w:tcPr>
            <w:tcW w:w="460" w:type="dxa"/>
            <w:vAlign w:val="bottom"/>
            <w:tcBorders>
              <w:top w:val="single" w:sz="8" w:color="auto"/>
            </w:tcBorders>
            <w:shd w:val="clear" w:color="auto" w:fill="CCECFF"/>
          </w:tcPr>
          <w:p>
            <w:pPr>
              <w:spacing w:after="0"/>
              <w:rPr>
                <w:sz w:val="22"/>
                <w:szCs w:val="22"/>
                <w:color w:val="auto"/>
              </w:rPr>
            </w:pPr>
          </w:p>
        </w:tc>
        <w:tc>
          <w:tcPr>
            <w:tcW w:w="1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95,436</w:t>
            </w:r>
          </w:p>
        </w:tc>
        <w:tc>
          <w:tcPr>
            <w:tcW w:w="100" w:type="dxa"/>
            <w:vAlign w:val="bottom"/>
            <w:shd w:val="clear" w:color="auto" w:fill="CCECFF"/>
          </w:tcPr>
          <w:p>
            <w:pPr>
              <w:spacing w:after="0"/>
              <w:rPr>
                <w:sz w:val="22"/>
                <w:szCs w:val="22"/>
                <w:color w:val="auto"/>
              </w:rPr>
            </w:pPr>
          </w:p>
        </w:tc>
      </w:tr>
      <w:tr>
        <w:trPr>
          <w:trHeight w:val="250"/>
        </w:trPr>
        <w:tc>
          <w:tcPr>
            <w:tcW w:w="3800" w:type="dxa"/>
            <w:vAlign w:val="bottom"/>
          </w:tcPr>
          <w:p>
            <w:pPr>
              <w:ind w:left="100"/>
              <w:spacing w:after="0"/>
              <w:rPr>
                <w:sz w:val="20"/>
                <w:szCs w:val="20"/>
                <w:color w:val="auto"/>
              </w:rPr>
            </w:pPr>
            <w:r>
              <w:rPr>
                <w:rFonts w:ascii="Arial" w:cs="Arial" w:eastAsia="Arial" w:hAnsi="Arial"/>
                <w:sz w:val="18"/>
                <w:szCs w:val="18"/>
                <w:color w:val="auto"/>
              </w:rPr>
              <w:t>Change in fair value</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14,653</w:t>
            </w:r>
          </w:p>
        </w:tc>
        <w:tc>
          <w:tcPr>
            <w:tcW w:w="100" w:type="dxa"/>
            <w:vAlign w:val="bottom"/>
          </w:tcPr>
          <w:p>
            <w:pPr>
              <w:spacing w:after="0"/>
              <w:rPr>
                <w:sz w:val="21"/>
                <w:szCs w:val="21"/>
                <w:color w:val="auto"/>
              </w:rPr>
            </w:pPr>
          </w:p>
        </w:tc>
      </w:tr>
      <w:tr>
        <w:trPr>
          <w:trHeight w:val="257"/>
        </w:trPr>
        <w:tc>
          <w:tcPr>
            <w:tcW w:w="3800" w:type="dxa"/>
            <w:vAlign w:val="bottom"/>
            <w:shd w:val="clear" w:color="auto" w:fill="CCECFF"/>
          </w:tcPr>
          <w:p>
            <w:pPr>
              <w:ind w:left="100"/>
              <w:spacing w:after="0"/>
              <w:rPr>
                <w:sz w:val="20"/>
                <w:szCs w:val="20"/>
                <w:color w:val="auto"/>
              </w:rPr>
            </w:pPr>
            <w:r>
              <w:rPr>
                <w:rFonts w:ascii="Arial" w:cs="Arial" w:eastAsia="Arial" w:hAnsi="Arial"/>
                <w:sz w:val="18"/>
                <w:szCs w:val="18"/>
                <w:color w:val="auto"/>
              </w:rPr>
              <w:t>Sale of shares</w:t>
            </w:r>
          </w:p>
        </w:tc>
        <w:tc>
          <w:tcPr>
            <w:tcW w:w="500" w:type="dxa"/>
            <w:vAlign w:val="bottom"/>
            <w:shd w:val="clear" w:color="auto" w:fill="CCECFF"/>
          </w:tcPr>
          <w:p>
            <w:pPr>
              <w:spacing w:after="0"/>
              <w:rPr>
                <w:sz w:val="22"/>
                <w:szCs w:val="22"/>
                <w:color w:val="auto"/>
              </w:rPr>
            </w:pPr>
          </w:p>
        </w:tc>
        <w:tc>
          <w:tcPr>
            <w:tcW w:w="11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(43,197 )</w:t>
            </w:r>
          </w:p>
        </w:tc>
        <w:tc>
          <w:tcPr>
            <w:tcW w:w="280" w:type="dxa"/>
            <w:vAlign w:val="bottom"/>
            <w:shd w:val="clear" w:color="auto" w:fill="CCECFF"/>
          </w:tcPr>
          <w:p>
            <w:pPr>
              <w:spacing w:after="0"/>
              <w:rPr>
                <w:sz w:val="22"/>
                <w:szCs w:val="22"/>
                <w:color w:val="auto"/>
              </w:rPr>
            </w:pPr>
          </w:p>
        </w:tc>
        <w:tc>
          <w:tcPr>
            <w:tcW w:w="160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CFF"/>
          </w:tcPr>
          <w:p>
            <w:pPr>
              <w:spacing w:after="0"/>
              <w:rPr>
                <w:sz w:val="22"/>
                <w:szCs w:val="22"/>
                <w:color w:val="auto"/>
              </w:rPr>
            </w:pPr>
          </w:p>
        </w:tc>
        <w:tc>
          <w:tcPr>
            <w:tcW w:w="12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(43,197 )</w:t>
            </w:r>
          </w:p>
        </w:tc>
      </w:tr>
      <w:tr>
        <w:trPr>
          <w:trHeight w:val="256"/>
        </w:trPr>
        <w:tc>
          <w:tcPr>
            <w:tcW w:w="3800" w:type="dxa"/>
            <w:vAlign w:val="bottom"/>
            <w:tcBorders>
              <w:top w:val="single" w:sz="8" w:color="CCECFF"/>
            </w:tcBorders>
          </w:tcPr>
          <w:p>
            <w:pPr>
              <w:spacing w:after="0"/>
              <w:rPr>
                <w:sz w:val="20"/>
                <w:szCs w:val="20"/>
                <w:color w:val="auto"/>
              </w:rPr>
            </w:pPr>
            <w:r>
              <w:rPr>
                <w:rFonts w:ascii="Arial" w:cs="Arial" w:eastAsia="Arial" w:hAnsi="Arial"/>
                <w:sz w:val="18"/>
                <w:szCs w:val="18"/>
                <w:color w:val="auto"/>
              </w:rPr>
              <w:t>September 30, 2021</w:t>
            </w: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66,892</w:t>
            </w:r>
          </w:p>
        </w:tc>
        <w:tc>
          <w:tcPr>
            <w:tcW w:w="120" w:type="dxa"/>
            <w:vAlign w:val="bottom"/>
            <w:tcBorders>
              <w:top w:val="single" w:sz="8" w:color="CCECFF"/>
            </w:tcBorders>
          </w:tcPr>
          <w:p>
            <w:pPr>
              <w:spacing w:after="0"/>
              <w:rPr>
                <w:sz w:val="22"/>
                <w:szCs w:val="22"/>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CFF"/>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66,892</w:t>
            </w:r>
          </w:p>
        </w:tc>
        <w:tc>
          <w:tcPr>
            <w:tcW w:w="100" w:type="dxa"/>
            <w:vAlign w:val="bottom"/>
            <w:tcBorders>
              <w:top w:val="single" w:sz="8" w:color="CCECFF"/>
            </w:tcBorders>
          </w:tcPr>
          <w:p>
            <w:pPr>
              <w:spacing w:after="0"/>
              <w:rPr>
                <w:sz w:val="22"/>
                <w:szCs w:val="22"/>
                <w:color w:val="auto"/>
              </w:rPr>
            </w:pPr>
          </w:p>
        </w:tc>
      </w:tr>
      <w:tr>
        <w:trPr>
          <w:trHeight w:val="20"/>
        </w:trPr>
        <w:tc>
          <w:tcPr>
            <w:tcW w:w="3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-193675</wp:posOffset>
            </wp:positionV>
            <wp:extent cx="7683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-193675</wp:posOffset>
            </wp:positionV>
            <wp:extent cx="685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-193675</wp:posOffset>
            </wp:positionV>
            <wp:extent cx="6858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60" w:lineRule="exact"/>
        <w:rPr>
          <w:sz w:val="20"/>
          <w:szCs w:val="20"/>
          <w:color w:val="auto"/>
        </w:rPr>
      </w:pPr>
    </w:p>
    <w:p>
      <w:pPr>
        <w:ind w:right="140" w:firstLine="569"/>
        <w:spacing w:after="0" w:line="279" w:lineRule="auto"/>
        <w:rPr>
          <w:sz w:val="20"/>
          <w:szCs w:val="20"/>
          <w:color w:val="auto"/>
        </w:rPr>
      </w:pPr>
      <w:r>
        <w:rPr>
          <w:rFonts w:ascii="Arial" w:cs="Arial" w:eastAsia="Arial" w:hAnsi="Arial"/>
          <w:sz w:val="18"/>
          <w:szCs w:val="18"/>
          <w:color w:val="auto"/>
        </w:rPr>
        <w:t>The Company recorded $35.6 million and $14.7 million in realized and unrealized gains for the three and nine months ended September 30, 2021, respectively, and $11.5 million in unrealized losses and $91.3 million in unrealized gains for the three and nine months ended September 30, 2020, respectively, from the fair value adjustments on the equity investment in Arcturus securities.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GeneTx</w:t>
      </w:r>
    </w:p>
    <w:p>
      <w:pPr>
        <w:spacing w:after="0" w:line="108" w:lineRule="exact"/>
        <w:rPr>
          <w:sz w:val="20"/>
          <w:szCs w:val="20"/>
          <w:color w:val="auto"/>
        </w:rPr>
      </w:pPr>
    </w:p>
    <w:p>
      <w:pPr>
        <w:ind w:right="820" w:firstLine="562"/>
        <w:spacing w:after="0" w:line="293" w:lineRule="auto"/>
        <w:rPr>
          <w:sz w:val="20"/>
          <w:szCs w:val="20"/>
          <w:color w:val="auto"/>
        </w:rPr>
      </w:pPr>
      <w:r>
        <w:rPr>
          <w:rFonts w:ascii="Arial" w:cs="Arial" w:eastAsia="Arial" w:hAnsi="Arial"/>
          <w:sz w:val="18"/>
          <w:szCs w:val="18"/>
          <w:color w:val="auto"/>
        </w:rPr>
        <w:t>In August 2019, the Company entered into a Program Agreement and a Unitholder Option Agreement with GeneTx to collaborate on the development of GeneTx’s GTX-102, an ASO for the treatment of Angelman syndrome.</w:t>
      </w:r>
    </w:p>
    <w:p>
      <w:pPr>
        <w:spacing w:after="0" w:line="35" w:lineRule="exact"/>
        <w:rPr>
          <w:sz w:val="20"/>
          <w:szCs w:val="20"/>
          <w:color w:val="auto"/>
        </w:rPr>
      </w:pPr>
    </w:p>
    <w:p>
      <w:pPr>
        <w:jc w:val="both"/>
        <w:ind w:firstLine="569"/>
        <w:spacing w:after="0" w:line="288" w:lineRule="auto"/>
        <w:rPr>
          <w:sz w:val="20"/>
          <w:szCs w:val="20"/>
          <w:color w:val="auto"/>
        </w:rPr>
      </w:pPr>
      <w:r>
        <w:rPr>
          <w:rFonts w:ascii="Arial" w:cs="Arial" w:eastAsia="Arial" w:hAnsi="Arial"/>
          <w:sz w:val="17"/>
          <w:szCs w:val="17"/>
          <w:color w:val="auto"/>
        </w:rPr>
        <w:t>Pursuant to the terms of the Unitholder Option Agreement, the Company made an upfront payment of $20.0 million for an exclusive option to acquire GeneTx, which was exercisable any time prior to 30 days following FDA acceptance of the IND for GTX-102. Pursuant to the agreement, upon acceptance of the IND, which occurred in January 2020, the Company elected to extend the option period by paying an option extension payment of $25.0 million (option extension premium) during the quarter ended March 31, 2020. The Company has the right to acquire GeneTx for a payment of $125.0 million, at any time, until the earlier of 30 months from the first dosing of a patient in a planned Phase 1/2 study (subject to extensions) or 90 days after results are available from that study. This exclusive option to acquire GeneTx can be extended under certain circumstances, by up to four additional three-month periods, by paying an additional extension fee for each three-month period.</w:t>
      </w:r>
    </w:p>
    <w:p>
      <w:pPr>
        <w:spacing w:after="0" w:line="46" w:lineRule="exact"/>
        <w:rPr>
          <w:sz w:val="20"/>
          <w:szCs w:val="20"/>
          <w:color w:val="auto"/>
        </w:rPr>
      </w:pPr>
    </w:p>
    <w:p>
      <w:pPr>
        <w:jc w:val="both"/>
        <w:ind w:firstLine="569"/>
        <w:spacing w:after="0" w:line="270" w:lineRule="auto"/>
        <w:rPr>
          <w:sz w:val="20"/>
          <w:szCs w:val="20"/>
          <w:color w:val="auto"/>
        </w:rPr>
      </w:pPr>
      <w:r>
        <w:rPr>
          <w:rFonts w:ascii="Arial" w:cs="Arial" w:eastAsia="Arial" w:hAnsi="Arial"/>
          <w:sz w:val="18"/>
          <w:szCs w:val="18"/>
          <w:color w:val="auto"/>
        </w:rPr>
        <w:t>During the exclusive option period, GeneTx is responsible for conducting the program based on the development plan agreed between the parties and, subject to the terms in the Program Agreement, has the decision-making authority on all matters in connection with the research, development, manufacturing and regulatory activities with respect to the Program. The Company will provide support, at its discretion, including strategic guidance and clinical expertise. The Company and GeneTx will collaborate on the management of the Phase 1/2 study in patients with Angelman syndrome. If the Company acquires GeneTx, the Company would then be responsible for all development and commercialization activities from the date of acquisition. The Company would also be required to make payments upon achievement of certain development and commercial milestones, as well as royalties, depending upon the success of the program.</w:t>
      </w:r>
    </w:p>
    <w:p>
      <w:pPr>
        <w:spacing w:after="0" w:line="57" w:lineRule="exact"/>
        <w:rPr>
          <w:sz w:val="20"/>
          <w:szCs w:val="20"/>
          <w:color w:val="auto"/>
        </w:rPr>
      </w:pPr>
    </w:p>
    <w:p>
      <w:pPr>
        <w:jc w:val="both"/>
        <w:ind w:firstLine="569"/>
        <w:spacing w:after="0" w:line="272" w:lineRule="auto"/>
        <w:rPr>
          <w:sz w:val="20"/>
          <w:szCs w:val="20"/>
          <w:color w:val="auto"/>
        </w:rPr>
      </w:pPr>
      <w:r>
        <w:rPr>
          <w:rFonts w:ascii="Arial" w:cs="Arial" w:eastAsia="Arial" w:hAnsi="Arial"/>
          <w:sz w:val="18"/>
          <w:szCs w:val="18"/>
          <w:color w:val="auto"/>
        </w:rPr>
        <w:t>Although GeneTx is a variable interest entity, the Company is not the primary beneficiary as it currently does not have the power to direct the activities that would most significantly impact the economic performance of GeneTx. Prior to product regulatory approval, all consideration paid to GeneTx represents rights to potential future benefits associated with GeneTx’s in-process research and development activities, which have not reached technological feasibility and have no alternative future use. Accordingly, for the three months ended March 31, 2020, the Company recorded the option extension payment of $25.0 million as an in-process research and development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REGENXBIO, Inc.</w:t>
      </w:r>
    </w:p>
    <w:p>
      <w:pPr>
        <w:spacing w:after="0" w:line="108" w:lineRule="exact"/>
        <w:rPr>
          <w:sz w:val="20"/>
          <w:szCs w:val="20"/>
          <w:color w:val="auto"/>
        </w:rPr>
      </w:pPr>
    </w:p>
    <w:p>
      <w:pPr>
        <w:ind w:right="80" w:firstLine="584"/>
        <w:spacing w:after="0" w:line="266" w:lineRule="auto"/>
        <w:rPr>
          <w:sz w:val="20"/>
          <w:szCs w:val="20"/>
          <w:color w:val="auto"/>
        </w:rPr>
      </w:pPr>
      <w:r>
        <w:rPr>
          <w:rFonts w:ascii="Arial" w:cs="Arial" w:eastAsia="Arial" w:hAnsi="Arial"/>
          <w:sz w:val="18"/>
          <w:szCs w:val="18"/>
          <w:color w:val="auto"/>
        </w:rPr>
        <w:t>In March 2020, the Company executed a License Agreement with REGENXBIO, Inc. (REGENEX), for an exclusive, sublicensable, worldwide license to REGENX’s NAV AAV8 and AAV9 Vectors for the development and commercialization of gene therapy treatments for a rare metabolic disorder. In return for these rights, the Company made an upfront payment of $7.0 million, which was recorded as an in-process research and development expense during the three months ended March 31, 2020.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right="520"/>
        <w:spacing w:after="0" w:line="293" w:lineRule="auto"/>
        <w:rPr>
          <w:sz w:val="20"/>
          <w:szCs w:val="20"/>
          <w:color w:val="auto"/>
        </w:rPr>
      </w:pPr>
      <w:r>
        <w:rPr>
          <w:rFonts w:ascii="Arial" w:cs="Arial" w:eastAsia="Arial" w:hAnsi="Arial"/>
          <w:sz w:val="18"/>
          <w:szCs w:val="18"/>
          <w:color w:val="auto"/>
        </w:rPr>
        <w:t>Company is required to pay certain annual fees of $0.1 million, milestone payments of up to $14.0 million, and royalties on any net sales of products incorporating the licensed intellectual property that range from a high single-digit to low double-digit royalty.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Daiichi Sankyo</w:t>
      </w:r>
    </w:p>
    <w:p>
      <w:pPr>
        <w:spacing w:after="0" w:line="108" w:lineRule="exact"/>
        <w:rPr>
          <w:sz w:val="20"/>
          <w:szCs w:val="20"/>
          <w:color w:val="auto"/>
        </w:rPr>
      </w:pPr>
    </w:p>
    <w:p>
      <w:pPr>
        <w:ind w:right="40" w:firstLine="509"/>
        <w:spacing w:after="0" w:line="306" w:lineRule="auto"/>
        <w:rPr>
          <w:sz w:val="20"/>
          <w:szCs w:val="20"/>
          <w:color w:val="auto"/>
        </w:rPr>
      </w:pPr>
      <w:r>
        <w:rPr>
          <w:rFonts w:ascii="Arial" w:cs="Arial" w:eastAsia="Arial" w:hAnsi="Arial"/>
          <w:sz w:val="16"/>
          <w:szCs w:val="16"/>
          <w:color w:val="auto"/>
        </w:rPr>
        <w:t>In March 2020, the Company executed a License and Technology Access Agreement (the License Agreement) with Daiichi Sankyo Co., Ltd. (Daiichi Sankyo). Pursuant to the License Agreement, the Company granted Daiichi Sankyo a non-exclusive license to intellectual property, including know-how and patent applications, with respect to its Producer Cell Line (PCL), and HEK293 transient transfection manufacturing technology platforms for AAV-based gene therapy products. The Company retains the exclusive right to use the manufacturing technology for its current target indications and additional indications identified now and in the future. The Company will provide certain technical assistance and technology transfer services during the technology transfer period of three years to enable Daiichi Sankyo to use the technologies for its internal gene therapy programs. Daiichi Sankyo has an option to extend the technology transfer period including know-how improvements by two additional one-year periods by paying a fixed amount for each additional year. Daiichi Sankyo will be responsible for the manufacturing, development, and commercialization of products manufactured with the licensed technology; however, the Company has the option to co-develop and co-commercialize rare disease products at the IND stage. The Company may also provide strategic consultation to Daiichi Sankyo on the development of both AAV-based gene therapy products and other products for rare diseases.</w:t>
      </w:r>
    </w:p>
    <w:p>
      <w:pPr>
        <w:spacing w:after="0" w:line="30" w:lineRule="exact"/>
        <w:rPr>
          <w:sz w:val="20"/>
          <w:szCs w:val="20"/>
          <w:color w:val="auto"/>
        </w:rPr>
      </w:pPr>
    </w:p>
    <w:p>
      <w:pPr>
        <w:jc w:val="both"/>
        <w:ind w:right="280" w:firstLine="509"/>
        <w:spacing w:after="0" w:line="329" w:lineRule="auto"/>
        <w:rPr>
          <w:sz w:val="20"/>
          <w:szCs w:val="20"/>
          <w:color w:val="auto"/>
        </w:rPr>
      </w:pPr>
      <w:r>
        <w:rPr>
          <w:rFonts w:ascii="Arial" w:cs="Arial" w:eastAsia="Arial" w:hAnsi="Arial"/>
          <w:sz w:val="16"/>
          <w:szCs w:val="16"/>
          <w:color w:val="auto"/>
        </w:rPr>
        <w:t>Under the terms of the License Agreement, Daiichi Sankyo made an upfront payment of $125.0 million and will pay an additional $25.0 million upon completion of the technology transfer of the PCL and HEK293 platforms, as well as single-digit royalties on net sales of products manufactured in either system. Daiichi Sankyo will reimburse the Company for all costs associated with the transfer of the manufacturing technology.</w:t>
      </w:r>
    </w:p>
    <w:p>
      <w:pPr>
        <w:spacing w:after="0" w:line="13" w:lineRule="exact"/>
        <w:rPr>
          <w:sz w:val="20"/>
          <w:szCs w:val="20"/>
          <w:color w:val="auto"/>
        </w:rPr>
      </w:pPr>
    </w:p>
    <w:p>
      <w:pPr>
        <w:ind w:right="160" w:firstLine="509"/>
        <w:spacing w:after="0" w:line="319" w:lineRule="auto"/>
        <w:rPr>
          <w:sz w:val="20"/>
          <w:szCs w:val="20"/>
          <w:color w:val="auto"/>
        </w:rPr>
      </w:pPr>
      <w:r>
        <w:rPr>
          <w:rFonts w:ascii="Arial" w:cs="Arial" w:eastAsia="Arial" w:hAnsi="Arial"/>
          <w:sz w:val="16"/>
          <w:szCs w:val="16"/>
          <w:color w:val="auto"/>
        </w:rPr>
        <w:t>The Company also entered into a Stock Purchase Agreement (SPA) with Daiichi Sankyo, pursuant to which Daiichi Sankyo purchased 1,243,913 shares of the Company’s common stock in exchange for $75.0 million in cash during the first quarter of 2020. The fair market value of the common stock issued to Daiichi Sankyo was $55.3 million based on the stock price of $44.43 per share on the date of issuance, resulting in a $19.7 million premium on the SPA. Daiichi Sankyo is also subject to a three-year standstill and restrictions on sale of the shares (subject to customary exceptions or release).</w:t>
      </w:r>
    </w:p>
    <w:p>
      <w:pPr>
        <w:spacing w:after="0" w:line="21" w:lineRule="exact"/>
        <w:rPr>
          <w:sz w:val="20"/>
          <w:szCs w:val="20"/>
          <w:color w:val="auto"/>
        </w:rPr>
      </w:pPr>
    </w:p>
    <w:p>
      <w:pPr>
        <w:ind w:right="360" w:firstLine="509"/>
        <w:spacing w:after="0" w:line="303" w:lineRule="auto"/>
        <w:rPr>
          <w:sz w:val="20"/>
          <w:szCs w:val="20"/>
          <w:color w:val="auto"/>
        </w:rPr>
      </w:pPr>
      <w:r>
        <w:rPr>
          <w:rFonts w:ascii="Arial" w:cs="Arial" w:eastAsia="Arial" w:hAnsi="Arial"/>
          <w:sz w:val="18"/>
          <w:szCs w:val="18"/>
          <w:color w:val="auto"/>
        </w:rPr>
        <w:t>In June 2020, the Company executed a subsequent license agreement (the Sublicense Agreement) with Daiichi Sankyo for transfer of certain technology in consideration for an upfront payment of $8.0 million and annual maintenance fees, milestone payments, and royalties on any net sales of products incorporating the licensed intellectual property.</w:t>
      </w:r>
    </w:p>
    <w:p>
      <w:pPr>
        <w:spacing w:after="0" w:line="26"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The License Agreement, the Sublicense Agreement, and the SPA are being accounted for as one arrangement because they were entered into at or near the same time and negotiated in contemplation of one another. The Company evaluated the License Agreement and the Sublicense Agreement under ASC 606 and determined that the performance obligations under the agreements are (i) intellectual property with respect to its PCL and HEK293 transient transfection manufacturing technology platforms together with the initial technical assistance and technology transfer services, which are expected to be substantially completed in the fourth quarter of 2021, and (ii) the transfer of any know-how and improvements after the completion of the initial technology transfer through the end of the three year technology transfer period ending March 2023.</w:t>
      </w:r>
    </w:p>
    <w:p>
      <w:pPr>
        <w:spacing w:after="0" w:line="41" w:lineRule="exact"/>
        <w:rPr>
          <w:sz w:val="20"/>
          <w:szCs w:val="20"/>
          <w:color w:val="auto"/>
        </w:rPr>
      </w:pPr>
    </w:p>
    <w:p>
      <w:pPr>
        <w:ind w:right="200" w:firstLine="509"/>
        <w:spacing w:after="0" w:line="296" w:lineRule="auto"/>
        <w:rPr>
          <w:sz w:val="20"/>
          <w:szCs w:val="20"/>
          <w:color w:val="auto"/>
        </w:rPr>
      </w:pPr>
      <w:r>
        <w:rPr>
          <w:rFonts w:ascii="Arial" w:cs="Arial" w:eastAsia="Arial" w:hAnsi="Arial"/>
          <w:sz w:val="17"/>
          <w:szCs w:val="17"/>
          <w:color w:val="auto"/>
        </w:rPr>
        <w:t>As of September 30, 2021, the Company has determined that the total transaction price of the License Agreement was $183.5 million which was comprised of the $19.7 million premium from the SPA, the $125.0 million upfront payment, the $25.0 million in unconstrained milestone payments, $8.0 million from the Sublicense Agreement, and the $5.7 million estimated reimbursement amount for delivering the license and technology services. Total revenue recognized under the license agreement through September 30, 2021 is $166.0 million.</w:t>
      </w:r>
    </w:p>
    <w:p>
      <w:pPr>
        <w:spacing w:after="0" w:line="35" w:lineRule="exact"/>
        <w:rPr>
          <w:sz w:val="20"/>
          <w:szCs w:val="20"/>
          <w:color w:val="auto"/>
        </w:rPr>
      </w:pPr>
    </w:p>
    <w:p>
      <w:pPr>
        <w:ind w:right="20" w:firstLine="509"/>
        <w:spacing w:after="0" w:line="308" w:lineRule="auto"/>
        <w:rPr>
          <w:sz w:val="20"/>
          <w:szCs w:val="20"/>
          <w:color w:val="auto"/>
        </w:rPr>
      </w:pPr>
      <w:r>
        <w:rPr>
          <w:rFonts w:ascii="Arial" w:cs="Arial" w:eastAsia="Arial" w:hAnsi="Arial"/>
          <w:sz w:val="16"/>
          <w:szCs w:val="16"/>
          <w:color w:val="auto"/>
        </w:rPr>
        <w:t>The Company allocated the total transaction price to the two performance obligations on a relative stand-alone selling price basis. Revenue allocated to the intellectual property and the technology transfer services will be recognized over an initial period which is estimated to be substantially complete in the fourth quarter of 2021, measuring the progress toward complete satisfaction of the individual performance obligation using an input measure. Revenue for know-how and improvements after the completion of technology transfer will be recognized on a straight-line basis over the remaining technology transfer period, which ends in March 2023, as it is expected that Daiichi Sankyo will receive and consume the benefits consistently throughout the period. The estimated period to complete the technology transfer services and the related milestones payments, if any, are subject to revised estimates which could be impacted by limitations or delays from the COVID-19 pandemic, successful scale-up of the manufacturing, and other changes that may impact timing. Royalties from commercial sales will be accounted for as revenue upon achievement of such sales, assuming all other revenue recognition criteria are met.</w:t>
      </w:r>
    </w:p>
    <w:p>
      <w:pPr>
        <w:spacing w:after="0" w:line="28" w:lineRule="exact"/>
        <w:rPr>
          <w:sz w:val="20"/>
          <w:szCs w:val="20"/>
          <w:color w:val="auto"/>
        </w:rPr>
      </w:pPr>
    </w:p>
    <w:p>
      <w:pPr>
        <w:ind w:right="40" w:firstLine="509"/>
        <w:spacing w:after="0" w:line="291" w:lineRule="auto"/>
        <w:rPr>
          <w:sz w:val="20"/>
          <w:szCs w:val="20"/>
          <w:color w:val="auto"/>
        </w:rPr>
      </w:pPr>
      <w:r>
        <w:rPr>
          <w:rFonts w:ascii="Arial" w:cs="Arial" w:eastAsia="Arial" w:hAnsi="Arial"/>
          <w:sz w:val="17"/>
          <w:szCs w:val="17"/>
          <w:color w:val="auto"/>
        </w:rPr>
        <w:t>The Company recognized $12.1 million and $76.8 million for the three and nine months ended September 30, 2021, respectively, and $32.9 million and $51.7 million for the three and nine months ended September 30, 2020, respectively, in revenue related to this arrangement. Accordingly, the Company had recorded $7.8 million as contract assets, net, in prepaid expenses and other current assets, and $66.6 million of contract liabilities, net, as of September 30, 2021 and December 31, 2020, respectively. The Company recorded an accounts receivable related to the above agreements of $0.4 million and $1.2 million as of September 30, 2021 and December 31, 2020, respectively.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Solid Biosciences, Inc.</w:t>
      </w:r>
    </w:p>
    <w:p>
      <w:pPr>
        <w:spacing w:after="0" w:line="108" w:lineRule="exact"/>
        <w:rPr>
          <w:sz w:val="20"/>
          <w:szCs w:val="20"/>
          <w:color w:val="auto"/>
        </w:rPr>
      </w:pPr>
    </w:p>
    <w:p>
      <w:pPr>
        <w:ind w:right="100" w:firstLine="509"/>
        <w:spacing w:after="0" w:line="269" w:lineRule="auto"/>
        <w:rPr>
          <w:sz w:val="20"/>
          <w:szCs w:val="20"/>
          <w:color w:val="auto"/>
        </w:rPr>
      </w:pPr>
      <w:r>
        <w:rPr>
          <w:rFonts w:ascii="Arial" w:cs="Arial" w:eastAsia="Arial" w:hAnsi="Arial"/>
          <w:sz w:val="18"/>
          <w:szCs w:val="18"/>
          <w:color w:val="auto"/>
        </w:rPr>
        <w:t>In October 2020, the Company entered into a strategic Collaboration and License Agreement with Solid Biosciences Inc. (Solid), and received an exclusive license for any pharmaceutical product that expresses Solid’s proprietary microdystrophin construct from AAV8 and variants thereof in clade E for use in the treatment of Duchenne muscular dystrophy and other diseases resulting from lack of functional dystrophin, including Becker muscular dystrophy. The Company will collaborate to develop products that combine Solid’s differentiated microdystrophin construct, the Company’s PCL manufacturing platform, and the Company’s AAV8 variants. Solid will also provide development support and was granted an exclusive option to co-invest in products the Company develops for profit share participation in certain territories. On a product-by-product basis, the Company may be obligated to make development milestone payments of up to $25.0 million, regulatory milestone payments of up to $65.0 million, and commercial milestone payments of up to $165.0 million, if such milestones are achieved, as well as royalties on any net sales of products incorporating the licensed intellectual property that range from a low to mid-double-digit percentage. The royalty rate changes to mid to high double-digit percentage if Solid decides to co-invest in the product.</w:t>
      </w:r>
    </w:p>
    <w:p>
      <w:pPr>
        <w:spacing w:after="0" w:line="83" w:lineRule="exact"/>
        <w:rPr>
          <w:sz w:val="20"/>
          <w:szCs w:val="20"/>
          <w:color w:val="auto"/>
        </w:rPr>
      </w:pPr>
    </w:p>
    <w:p>
      <w:pPr>
        <w:ind w:firstLine="509"/>
        <w:spacing w:after="0" w:line="274" w:lineRule="auto"/>
        <w:rPr>
          <w:sz w:val="20"/>
          <w:szCs w:val="20"/>
          <w:color w:val="auto"/>
        </w:rPr>
      </w:pPr>
      <w:r>
        <w:rPr>
          <w:rFonts w:ascii="Arial" w:cs="Arial" w:eastAsia="Arial" w:hAnsi="Arial"/>
          <w:sz w:val="18"/>
          <w:szCs w:val="18"/>
          <w:color w:val="auto"/>
        </w:rPr>
        <w:t>The Company also entered into a Stock Purchase Agreement and the Investor Agreement with Solid, pursuant to which, the Company purchased 7,825,797 shares of Solid’s common stock for an aggregate purchase price of $40.0 million. Subject to the terms of the Investor Agreement, the Company is restricted from selling, transferring or otherwise disposing of the shares without the prior approval of Solid until the earlier of (i) 18 months following the closing of the transaction, (ii) the termination of the Collaboration and License Agreement and (iii) certain other specified events. The Company also agreed to customary standstill restrictions in accordance with the terms of the Investor Agreement until the earlier of (a) 24 months after the closing of the transaction and (b) certain specified events.</w:t>
      </w:r>
    </w:p>
    <w:p>
      <w:pPr>
        <w:spacing w:after="0" w:line="54" w:lineRule="exact"/>
        <w:rPr>
          <w:sz w:val="20"/>
          <w:szCs w:val="20"/>
          <w:color w:val="auto"/>
        </w:rPr>
      </w:pPr>
    </w:p>
    <w:p>
      <w:pPr>
        <w:ind w:right="200" w:firstLine="509"/>
        <w:spacing w:after="0" w:line="324" w:lineRule="auto"/>
        <w:rPr>
          <w:sz w:val="20"/>
          <w:szCs w:val="20"/>
          <w:color w:val="auto"/>
        </w:rPr>
      </w:pPr>
      <w:r>
        <w:rPr>
          <w:rFonts w:ascii="Arial" w:cs="Arial" w:eastAsia="Arial" w:hAnsi="Arial"/>
          <w:sz w:val="17"/>
          <w:szCs w:val="17"/>
          <w:color w:val="auto"/>
        </w:rPr>
        <w:t>The Company’s investment in Solid is being accounted at fair value, as the fair value is readily determinable. The Company recorded the common stock investment at $26.8 million on the transaction date, which was based on the quoted market price on the closing date.</w:t>
      </w:r>
    </w:p>
    <w:p>
      <w:pPr>
        <w:spacing w:after="0" w:line="12" w:lineRule="exact"/>
        <w:rPr>
          <w:sz w:val="20"/>
          <w:szCs w:val="20"/>
          <w:color w:val="auto"/>
        </w:rPr>
      </w:pPr>
    </w:p>
    <w:p>
      <w:pPr>
        <w:ind w:right="120" w:firstLine="509"/>
        <w:spacing w:after="0" w:line="323" w:lineRule="auto"/>
        <w:rPr>
          <w:sz w:val="20"/>
          <w:szCs w:val="20"/>
          <w:color w:val="auto"/>
        </w:rPr>
      </w:pPr>
      <w:r>
        <w:rPr>
          <w:rFonts w:ascii="Arial" w:cs="Arial" w:eastAsia="Arial" w:hAnsi="Arial"/>
          <w:sz w:val="16"/>
          <w:szCs w:val="16"/>
          <w:color w:val="auto"/>
        </w:rPr>
        <w:t>Although Solid is a variable interest entity, the Company is not the primary beneficiary as it does not have the power to direct the activities that would most significantly impact the economic performance of Solid. Prior to the achievement of certain development milestones, all consideration paid to Solid represents rights to potential future benefits associated with Solid’s in-process research and development activities, which have not reached technological feasibility and have no alternative future use. Accordingly, the remaining $13.2 million of the total $40.0 million paid as consideration was attributed to the license rights obtained and was recorded as in-process research and development expense during the year ended December 31, 2020.</w:t>
      </w:r>
    </w:p>
    <w:p>
      <w:pPr>
        <w:spacing w:after="0" w:line="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changes in the fair value of the Company’s investment in Solid’s common stock were as follows (in thousands):</w:t>
      </w:r>
    </w:p>
    <w:p>
      <w:pPr>
        <w:spacing w:after="0" w:line="149" w:lineRule="exact"/>
        <w:rPr>
          <w:sz w:val="20"/>
          <w:szCs w:val="20"/>
          <w:color w:val="auto"/>
        </w:rPr>
      </w:pPr>
    </w:p>
    <w:tbl>
      <w:tblPr>
        <w:tblLayout w:type="fixed"/>
        <w:tblInd w:w="226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Solid common stock</w:t>
            </w:r>
          </w:p>
        </w:tc>
      </w:tr>
      <w:tr>
        <w:trPr>
          <w:trHeight w:val="242"/>
        </w:trPr>
        <w:tc>
          <w:tcPr>
            <w:tcW w:w="4780" w:type="dxa"/>
            <w:vAlign w:val="bottom"/>
            <w:shd w:val="clear" w:color="auto" w:fill="CCECFF"/>
          </w:tcPr>
          <w:p>
            <w:pPr>
              <w:ind w:left="100"/>
              <w:spacing w:after="0"/>
              <w:rPr>
                <w:sz w:val="20"/>
                <w:szCs w:val="20"/>
                <w:color w:val="auto"/>
              </w:rPr>
            </w:pPr>
            <w:r>
              <w:rPr>
                <w:rFonts w:ascii="Arial" w:cs="Arial" w:eastAsia="Arial" w:hAnsi="Arial"/>
                <w:sz w:val="18"/>
                <w:szCs w:val="18"/>
                <w:color w:val="auto"/>
              </w:rPr>
              <w:t>Acquisition of investment in Solid common</w:t>
            </w:r>
          </w:p>
        </w:tc>
        <w:tc>
          <w:tcPr>
            <w:tcW w:w="200" w:type="dxa"/>
            <w:vAlign w:val="bottom"/>
            <w:tcBorders>
              <w:top w:val="single" w:sz="8" w:color="auto"/>
            </w:tcBorders>
            <w:shd w:val="clear" w:color="auto" w:fill="CCECFF"/>
          </w:tcPr>
          <w:p>
            <w:pPr>
              <w:spacing w:after="0"/>
              <w:rPr>
                <w:sz w:val="21"/>
                <w:szCs w:val="21"/>
                <w:color w:val="auto"/>
              </w:rPr>
            </w:pPr>
          </w:p>
        </w:tc>
        <w:tc>
          <w:tcPr>
            <w:tcW w:w="1640" w:type="dxa"/>
            <w:vAlign w:val="bottom"/>
            <w:tcBorders>
              <w:top w:val="single" w:sz="8" w:color="auto"/>
            </w:tcBorders>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r>
      <w:tr>
        <w:trPr>
          <w:trHeight w:val="244"/>
        </w:trPr>
        <w:tc>
          <w:tcPr>
            <w:tcW w:w="4780" w:type="dxa"/>
            <w:vAlign w:val="bottom"/>
            <w:shd w:val="clear" w:color="auto" w:fill="CCECFF"/>
          </w:tcPr>
          <w:p>
            <w:pPr>
              <w:ind w:left="280"/>
              <w:spacing w:after="0"/>
              <w:rPr>
                <w:sz w:val="20"/>
                <w:szCs w:val="20"/>
                <w:color w:val="auto"/>
              </w:rPr>
            </w:pPr>
            <w:r>
              <w:rPr>
                <w:rFonts w:ascii="Arial" w:cs="Arial" w:eastAsia="Arial" w:hAnsi="Arial"/>
                <w:sz w:val="18"/>
                <w:szCs w:val="18"/>
                <w:color w:val="auto"/>
              </w:rPr>
              <w:t>stock in October 2020</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26,843</w:t>
            </w:r>
          </w:p>
        </w:tc>
        <w:tc>
          <w:tcPr>
            <w:tcW w:w="120" w:type="dxa"/>
            <w:vAlign w:val="bottom"/>
            <w:shd w:val="clear" w:color="auto" w:fill="CCECFF"/>
          </w:tcPr>
          <w:p>
            <w:pPr>
              <w:spacing w:after="0"/>
              <w:rPr>
                <w:sz w:val="21"/>
                <w:szCs w:val="21"/>
                <w:color w:val="auto"/>
              </w:rPr>
            </w:pPr>
          </w:p>
        </w:tc>
      </w:tr>
      <w:tr>
        <w:trPr>
          <w:trHeight w:val="250"/>
        </w:trPr>
        <w:tc>
          <w:tcPr>
            <w:tcW w:w="4780" w:type="dxa"/>
            <w:vAlign w:val="bottom"/>
          </w:tcPr>
          <w:p>
            <w:pPr>
              <w:ind w:left="100"/>
              <w:spacing w:after="0"/>
              <w:rPr>
                <w:sz w:val="20"/>
                <w:szCs w:val="20"/>
                <w:color w:val="auto"/>
              </w:rPr>
            </w:pPr>
            <w:r>
              <w:rPr>
                <w:rFonts w:ascii="Arial" w:cs="Arial" w:eastAsia="Arial" w:hAnsi="Arial"/>
                <w:sz w:val="18"/>
                <w:szCs w:val="18"/>
                <w:color w:val="auto"/>
              </w:rPr>
              <w:t>Change in fair value</w:t>
            </w: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32,477</w:t>
            </w:r>
          </w:p>
        </w:tc>
        <w:tc>
          <w:tcPr>
            <w:tcW w:w="120" w:type="dxa"/>
            <w:vAlign w:val="bottom"/>
          </w:tcPr>
          <w:p>
            <w:pPr>
              <w:spacing w:after="0"/>
              <w:rPr>
                <w:sz w:val="21"/>
                <w:szCs w:val="21"/>
                <w:color w:val="auto"/>
              </w:rPr>
            </w:pPr>
          </w:p>
        </w:tc>
      </w:tr>
      <w:tr>
        <w:trPr>
          <w:trHeight w:val="25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59,320</w:t>
            </w:r>
          </w:p>
        </w:tc>
        <w:tc>
          <w:tcPr>
            <w:tcW w:w="120" w:type="dxa"/>
            <w:vAlign w:val="bottom"/>
            <w:shd w:val="clear" w:color="auto" w:fill="CCEEFF"/>
          </w:tcPr>
          <w:p>
            <w:pPr>
              <w:spacing w:after="0"/>
              <w:rPr>
                <w:sz w:val="22"/>
                <w:szCs w:val="22"/>
                <w:color w:val="auto"/>
              </w:rPr>
            </w:pPr>
          </w:p>
        </w:tc>
      </w:tr>
      <w:tr>
        <w:trPr>
          <w:trHeight w:val="250"/>
        </w:trPr>
        <w:tc>
          <w:tcPr>
            <w:tcW w:w="4780" w:type="dxa"/>
            <w:vAlign w:val="bottom"/>
          </w:tcPr>
          <w:p>
            <w:pPr>
              <w:ind w:left="100"/>
              <w:spacing w:after="0"/>
              <w:rPr>
                <w:sz w:val="20"/>
                <w:szCs w:val="20"/>
                <w:color w:val="auto"/>
              </w:rPr>
            </w:pPr>
            <w:r>
              <w:rPr>
                <w:rFonts w:ascii="Arial" w:cs="Arial" w:eastAsia="Arial" w:hAnsi="Arial"/>
                <w:sz w:val="18"/>
                <w:szCs w:val="18"/>
                <w:color w:val="auto"/>
              </w:rPr>
              <w:t>Change in fair value</w:t>
            </w:r>
          </w:p>
        </w:tc>
        <w:tc>
          <w:tcPr>
            <w:tcW w:w="200" w:type="dxa"/>
            <w:vAlign w:val="bottom"/>
          </w:tcPr>
          <w:p>
            <w:pPr>
              <w:spacing w:after="0"/>
              <w:rPr>
                <w:sz w:val="21"/>
                <w:szCs w:val="21"/>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(40,616 )</w:t>
            </w:r>
          </w:p>
        </w:tc>
      </w:tr>
      <w:tr>
        <w:trPr>
          <w:trHeight w:val="297"/>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18,704</w:t>
            </w:r>
          </w:p>
        </w:tc>
        <w:tc>
          <w:tcPr>
            <w:tcW w:w="12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-24765</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0" w:lineRule="exact"/>
        <w:rPr>
          <w:sz w:val="20"/>
          <w:szCs w:val="20"/>
          <w:color w:val="auto"/>
        </w:rPr>
      </w:pPr>
    </w:p>
    <w:p>
      <w:pPr>
        <w:ind w:right="160" w:firstLine="569"/>
        <w:spacing w:after="0" w:line="293" w:lineRule="auto"/>
        <w:rPr>
          <w:sz w:val="20"/>
          <w:szCs w:val="20"/>
          <w:color w:val="auto"/>
        </w:rPr>
      </w:pPr>
      <w:r>
        <w:rPr>
          <w:rFonts w:ascii="Arial" w:cs="Arial" w:eastAsia="Arial" w:hAnsi="Arial"/>
          <w:sz w:val="18"/>
          <w:szCs w:val="18"/>
          <w:color w:val="auto"/>
        </w:rPr>
        <w:t>The Company recorded $9.9 million and $40.6 million in unrealized losses for the three and nine months ended September 30, 2021, respectively, from the fair value adjustments on the equity investment in Solid securities.</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Mereo BioPharma 3 Limited</w:t>
      </w:r>
    </w:p>
    <w:p>
      <w:pPr>
        <w:spacing w:after="0" w:line="108" w:lineRule="exact"/>
        <w:rPr>
          <w:sz w:val="20"/>
          <w:szCs w:val="20"/>
          <w:color w:val="auto"/>
        </w:rPr>
      </w:pPr>
    </w:p>
    <w:p>
      <w:pPr>
        <w:ind w:firstLine="469"/>
        <w:spacing w:after="0" w:line="314" w:lineRule="auto"/>
        <w:rPr>
          <w:sz w:val="20"/>
          <w:szCs w:val="20"/>
          <w:color w:val="auto"/>
        </w:rPr>
      </w:pPr>
      <w:r>
        <w:rPr>
          <w:rFonts w:ascii="Arial" w:cs="Arial" w:eastAsia="Arial" w:hAnsi="Arial"/>
          <w:sz w:val="16"/>
          <w:szCs w:val="16"/>
          <w:color w:val="auto"/>
        </w:rPr>
        <w:t>In December 2020, the Company entered into a License and Collaboration Agreement with Mereo BioPharma 3 Limited, or Mereo, to collaborate on the development of setrusumab. Under the terms of the agreement, the Company will lead future global development of setrusumab in both pediatric and adult patients with Osteogenesis Imperfecta, or OI. The Company was granted an exclusive license to develop and commercialize setrusumab in the U.S., Turkey, and the rest of the world, excluding the European Economic Area, United Kingdom, and Switzerland, or the Mereo territory, where Mereo retains commercial rights. Each party will be responsible for post-marketing commitments and commercial supply in their respective territories.</w:t>
      </w:r>
    </w:p>
    <w:p>
      <w:pPr>
        <w:spacing w:after="0" w:line="25" w:lineRule="exact"/>
        <w:rPr>
          <w:sz w:val="20"/>
          <w:szCs w:val="20"/>
          <w:color w:val="auto"/>
        </w:rPr>
      </w:pPr>
    </w:p>
    <w:p>
      <w:pPr>
        <w:jc w:val="both"/>
        <w:ind w:firstLine="469"/>
        <w:spacing w:after="0" w:line="296" w:lineRule="auto"/>
        <w:rPr>
          <w:sz w:val="20"/>
          <w:szCs w:val="20"/>
          <w:color w:val="auto"/>
        </w:rPr>
      </w:pPr>
      <w:r>
        <w:rPr>
          <w:rFonts w:ascii="Arial" w:cs="Arial" w:eastAsia="Arial" w:hAnsi="Arial"/>
          <w:sz w:val="17"/>
          <w:szCs w:val="17"/>
          <w:color w:val="auto"/>
        </w:rPr>
        <w:t>Upon the closing of the transaction in January 2021, the Company made a payment of $50.0 million to Mereo and will be required to make payments of up to $254.0 million upon the achievement of certain clinical, regulatory, and commercial milestones. The Company will pay for all global development costs as well as tiered double-digit percentage royalties to Mereo on net sales in the U.S., Turkey, and the rest of the world (excluding the Mereo Territory), and Mereo will pay the Company a fixed double-digit percentage royalty on net sales in the Mereo Territory.</w:t>
      </w:r>
    </w:p>
    <w:p>
      <w:pPr>
        <w:spacing w:after="0" w:line="35" w:lineRule="exact"/>
        <w:rPr>
          <w:sz w:val="20"/>
          <w:szCs w:val="20"/>
          <w:color w:val="auto"/>
        </w:rPr>
      </w:pPr>
    </w:p>
    <w:p>
      <w:pPr>
        <w:ind w:right="20" w:firstLine="469"/>
        <w:spacing w:after="0" w:line="272" w:lineRule="auto"/>
        <w:rPr>
          <w:sz w:val="20"/>
          <w:szCs w:val="20"/>
          <w:color w:val="auto"/>
        </w:rPr>
      </w:pPr>
      <w:r>
        <w:rPr>
          <w:rFonts w:ascii="Arial" w:cs="Arial" w:eastAsia="Arial" w:hAnsi="Arial"/>
          <w:sz w:val="18"/>
          <w:szCs w:val="18"/>
          <w:color w:val="auto"/>
        </w:rPr>
        <w:t>Although Mereo is a variable interest entity, the Company is not the primary beneficiary as it does not have the power to direct the activities that would most significantly impact the economic performance of Mereo. Prior to the achievement of certain development milestones, all consideration paid to Mereo represents rights to potential future benefits associated with Mereo’s in-process research and development activities, which have not reached technological feasibility and have no alternative future use. Accordingly, for the three months ended March 31, 2021, the Company recorded the upfront payment of $50.0 million as in-process research and development expense.</w:t>
      </w:r>
    </w:p>
    <w:p>
      <w:pPr>
        <w:spacing w:after="0" w:line="241"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Related to the Sale of Future Royalties</w:t>
      </w:r>
    </w:p>
    <w:p>
      <w:pPr>
        <w:spacing w:after="0" w:line="108" w:lineRule="exact"/>
        <w:rPr>
          <w:sz w:val="20"/>
          <w:szCs w:val="20"/>
          <w:color w:val="auto"/>
        </w:rPr>
      </w:pPr>
    </w:p>
    <w:p>
      <w:pPr>
        <w:ind w:firstLine="464"/>
        <w:spacing w:after="0" w:line="311" w:lineRule="auto"/>
        <w:rPr>
          <w:sz w:val="20"/>
          <w:szCs w:val="20"/>
          <w:color w:val="auto"/>
        </w:rPr>
      </w:pPr>
      <w:r>
        <w:rPr>
          <w:rFonts w:ascii="Arial" w:cs="Arial" w:eastAsia="Arial" w:hAnsi="Arial"/>
          <w:sz w:val="16"/>
          <w:szCs w:val="16"/>
          <w:color w:val="auto"/>
        </w:rPr>
        <w:t>In December 2019, the Company entered into a Royalty Purchase Agreement with RPI. Pursuant to the agreement, RPI paid $320.0 million to the Company in consideration for the right to receive royalty payments effective January 1, 2020, arising from the net sales of Crysvita in the European Union, the United Kingdom, and Switzerland under the terms of the Company’s Collaboration and License Agreement with KKC dated August 29, 2013, as amended. The agreement with RPI will automatically terminate, and the payment of royalties to RPI will cease, in the event aggregate royalty payments received by RPI are equal to or greater than $608.0 million prior to December 31, 2030, or in the event aggregate royalty payments received by RPI are less than $608.0 million prior to December 31, 2030, when aggregate royalty payments received by RPI are equal to $800.0 million.</w:t>
      </w:r>
    </w:p>
    <w:p>
      <w:pPr>
        <w:spacing w:after="0" w:line="28" w:lineRule="exact"/>
        <w:rPr>
          <w:sz w:val="20"/>
          <w:szCs w:val="20"/>
          <w:color w:val="auto"/>
        </w:rPr>
      </w:pPr>
    </w:p>
    <w:p>
      <w:pPr>
        <w:ind w:firstLine="464"/>
        <w:spacing w:after="0" w:line="287" w:lineRule="auto"/>
        <w:rPr>
          <w:sz w:val="20"/>
          <w:szCs w:val="20"/>
          <w:color w:val="auto"/>
        </w:rPr>
      </w:pPr>
      <w:r>
        <w:rPr>
          <w:rFonts w:ascii="Arial" w:cs="Arial" w:eastAsia="Arial" w:hAnsi="Arial"/>
          <w:sz w:val="17"/>
          <w:szCs w:val="17"/>
          <w:color w:val="auto"/>
        </w:rPr>
        <w:t>Proceeds from the transaction were recorded as a liability (liability related to sale of future royalties on the Condensed Consolidated Balance Sheets). The Company amortizes $320.0 million, net of transaction cost of $5.8 million, using the effective interest method over the estimated life of the arrangement. In order to determine the amortization of the liability, the Company is required to estimate the total amount of future royalty payments to be received by the Company and paid to RPI, subject to the capped amount, over the life of the arrangement. The excess of future estimated royalty payments (subject to the capped amount), over the $314.2 million of net proceeds, is recorded as non-cash interest expense over the life of the arrangement. Consequently, the Company estimates an imputed interest on the unamortized portion of the liability and records interest expense relating to the transaction. The Company records the royalty revenue arising from the net sales of Crysvita in the applicable European territories as non-cash royalty revenue in the Condensed Consolidated Statements of Operations over the term of the arrangement.</w:t>
      </w:r>
    </w:p>
    <w:p>
      <w:pPr>
        <w:spacing w:after="0" w:line="47" w:lineRule="exact"/>
        <w:rPr>
          <w:sz w:val="20"/>
          <w:szCs w:val="20"/>
          <w:color w:val="auto"/>
        </w:rPr>
      </w:pPr>
    </w:p>
    <w:p>
      <w:pPr>
        <w:ind w:right="60" w:firstLine="464"/>
        <w:spacing w:after="0" w:line="275" w:lineRule="auto"/>
        <w:rPr>
          <w:sz w:val="20"/>
          <w:szCs w:val="20"/>
          <w:color w:val="auto"/>
        </w:rPr>
      </w:pPr>
      <w:r>
        <w:rPr>
          <w:rFonts w:ascii="Arial" w:cs="Arial" w:eastAsia="Arial" w:hAnsi="Arial"/>
          <w:sz w:val="18"/>
          <w:szCs w:val="18"/>
          <w:color w:val="auto"/>
        </w:rPr>
        <w:t>The Company periodically assesses the expected royalty payments using a combination of historical results, internal projections and forecasts from external sources. To the extent such payments are greater or less than the Company’s initial estimates or the timing of such payments is materially different than its original estimates, the Company will prospectively adjust the amortization of the liability and the effective interest rate. The Company’s effective annual interest rate was approximately 9.9% as of September 30, 2021.</w:t>
      </w:r>
    </w:p>
    <w:p>
      <w:pPr>
        <w:spacing w:after="0" w:line="50" w:lineRule="exact"/>
        <w:rPr>
          <w:sz w:val="20"/>
          <w:szCs w:val="20"/>
          <w:color w:val="auto"/>
        </w:rPr>
      </w:pPr>
    </w:p>
    <w:p>
      <w:pPr>
        <w:ind w:right="40" w:firstLine="464"/>
        <w:spacing w:after="0" w:line="306" w:lineRule="auto"/>
        <w:rPr>
          <w:sz w:val="20"/>
          <w:szCs w:val="20"/>
          <w:color w:val="auto"/>
        </w:rPr>
      </w:pPr>
      <w:r>
        <w:rPr>
          <w:rFonts w:ascii="Arial" w:cs="Arial" w:eastAsia="Arial" w:hAnsi="Arial"/>
          <w:sz w:val="16"/>
          <w:szCs w:val="16"/>
          <w:color w:val="auto"/>
        </w:rPr>
        <w:t>There are a number of factors that could materially affect the amount and timing of royalty payments from KKC in the applicable European territories, most of which are not within the Company’s control. Such factors include, but are not limited to, the success of KKC’s sales and promotion of Crysvita, changing standards of care, delays or disruptions related to the COVID-19 pandemic, the introduction of competing products, pricing for reimbursement in various European territories, manufacturing or other delays, intellectual property matters, adverse events that result in governmental health authority imposed restrictions on the use of Crysvita, significant changes in foreign exchange rates as the royalty payments are made in U.S. dollars (USD) while significant portions of the underlying European sales of Crysvita are made in currencies other than USD, and other events or circumstances that could result in reduced royalty payments from European sales of Crysvita, all of which would result in a reduction of non-cash royalty revenue and the non-cash interest expense over the life of the arrangement. Conversely, if sales of Crysvita in Europe are more than expected, the non-cash royalty revenue and the non-cash interest expense recorded by the Company would be greater over the term of the arrangement.</w:t>
      </w:r>
    </w:p>
    <w:p>
      <w:pPr>
        <w:spacing w:after="0" w:line="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shows the activity within the liability account (in thousands):</w:t>
      </w:r>
    </w:p>
    <w:p>
      <w:pPr>
        <w:spacing w:after="0" w:line="10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21" w:name="page22"/>
    <w:bookmarkEnd w:id="21"/>
    <w:tbl>
      <w:tblPr>
        <w:tblLayout w:type="fixed"/>
        <w:tblInd w:w="2820" w:type="dxa"/>
        <w:tblCellMar>
          <w:top w:w="0" w:type="dxa"/>
          <w:left w:w="0" w:type="dxa"/>
          <w:bottom w:w="0" w:type="dxa"/>
          <w:right w:w="0" w:type="dxa"/>
        </w:tblCellMar>
      </w:tblPr>
      <w:tr>
        <w:trPr>
          <w:trHeight w:val="176"/>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Liability related to the sale of</w:t>
            </w:r>
          </w:p>
        </w:tc>
      </w:tr>
      <w:tr>
        <w:trPr>
          <w:trHeight w:val="192"/>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future royalties</w:t>
            </w:r>
          </w:p>
        </w:tc>
      </w:tr>
      <w:tr>
        <w:trPr>
          <w:trHeight w:val="256"/>
        </w:trPr>
        <w:tc>
          <w:tcPr>
            <w:tcW w:w="3440" w:type="dxa"/>
            <w:vAlign w:val="bottom"/>
            <w:shd w:val="clear" w:color="auto" w:fill="CCECFF"/>
          </w:tcPr>
          <w:p>
            <w:pPr>
              <w:spacing w:after="0"/>
              <w:rPr>
                <w:sz w:val="20"/>
                <w:szCs w:val="20"/>
                <w:color w:val="auto"/>
              </w:rPr>
            </w:pPr>
            <w:r>
              <w:rPr>
                <w:rFonts w:ascii="Arial" w:cs="Arial" w:eastAsia="Arial" w:hAnsi="Arial"/>
                <w:sz w:val="18"/>
                <w:szCs w:val="18"/>
                <w:color w:val="auto"/>
              </w:rPr>
              <w:t>December 31, 2019</w:t>
            </w: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315,369</w:t>
            </w:r>
          </w:p>
        </w:tc>
        <w:tc>
          <w:tcPr>
            <w:tcW w:w="120" w:type="dxa"/>
            <w:vAlign w:val="bottom"/>
            <w:shd w:val="clear" w:color="auto" w:fill="CCECFF"/>
          </w:tcPr>
          <w:p>
            <w:pPr>
              <w:spacing w:after="0"/>
              <w:rPr>
                <w:sz w:val="22"/>
                <w:szCs w:val="22"/>
                <w:color w:val="auto"/>
              </w:rPr>
            </w:pPr>
          </w:p>
        </w:tc>
      </w:tr>
      <w:tr>
        <w:trPr>
          <w:trHeight w:val="250"/>
        </w:trPr>
        <w:tc>
          <w:tcPr>
            <w:tcW w:w="3440" w:type="dxa"/>
            <w:vAlign w:val="bottom"/>
          </w:tcPr>
          <w:p>
            <w:pPr>
              <w:ind w:left="100"/>
              <w:spacing w:after="0"/>
              <w:rPr>
                <w:sz w:val="20"/>
                <w:szCs w:val="20"/>
                <w:color w:val="auto"/>
              </w:rPr>
            </w:pPr>
            <w:r>
              <w:rPr>
                <w:rFonts w:ascii="Arial" w:cs="Arial" w:eastAsia="Arial" w:hAnsi="Arial"/>
                <w:sz w:val="18"/>
                <w:szCs w:val="18"/>
                <w:color w:val="auto"/>
              </w:rPr>
              <w:t>Non-cash collaboration royalty revenue</w:t>
            </w:r>
          </w:p>
        </w:tc>
        <w:tc>
          <w:tcPr>
            <w:tcW w:w="100" w:type="dxa"/>
            <w:vAlign w:val="bottom"/>
          </w:tcPr>
          <w:p>
            <w:pPr>
              <w:spacing w:after="0"/>
              <w:rPr>
                <w:sz w:val="21"/>
                <w:szCs w:val="21"/>
                <w:color w:val="auto"/>
              </w:rPr>
            </w:pP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(12,995 )</w:t>
            </w:r>
          </w:p>
        </w:tc>
      </w:tr>
      <w:tr>
        <w:trPr>
          <w:trHeight w:val="257"/>
        </w:trPr>
        <w:tc>
          <w:tcPr>
            <w:tcW w:w="3440" w:type="dxa"/>
            <w:vAlign w:val="bottom"/>
            <w:tcBorders>
              <w:bottom w:val="single" w:sz="8" w:color="CCECFF"/>
            </w:tcBorders>
            <w:shd w:val="clear" w:color="auto" w:fill="CCECFF"/>
          </w:tcPr>
          <w:p>
            <w:pPr>
              <w:ind w:left="100"/>
              <w:spacing w:after="0"/>
              <w:rPr>
                <w:sz w:val="20"/>
                <w:szCs w:val="20"/>
                <w:color w:val="auto"/>
              </w:rPr>
            </w:pPr>
            <w:r>
              <w:rPr>
                <w:rFonts w:ascii="Arial" w:cs="Arial" w:eastAsia="Arial" w:hAnsi="Arial"/>
                <w:sz w:val="18"/>
                <w:szCs w:val="18"/>
                <w:color w:val="auto"/>
              </w:rPr>
              <w:t>Non-cash interest expense</w:t>
            </w:r>
          </w:p>
        </w:tc>
        <w:tc>
          <w:tcPr>
            <w:tcW w:w="100" w:type="dxa"/>
            <w:vAlign w:val="bottom"/>
            <w:tcBorders>
              <w:bottom w:val="single" w:sz="8" w:color="auto"/>
            </w:tcBorders>
            <w:shd w:val="clear" w:color="auto" w:fill="CCECFF"/>
          </w:tcPr>
          <w:p>
            <w:pPr>
              <w:spacing w:after="0"/>
              <w:rPr>
                <w:sz w:val="22"/>
                <w:szCs w:val="22"/>
                <w:color w:val="auto"/>
              </w:rPr>
            </w:pPr>
          </w:p>
        </w:tc>
        <w:tc>
          <w:tcPr>
            <w:tcW w:w="1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33,291</w:t>
            </w:r>
          </w:p>
        </w:tc>
        <w:tc>
          <w:tcPr>
            <w:tcW w:w="120" w:type="dxa"/>
            <w:vAlign w:val="bottom"/>
            <w:tcBorders>
              <w:bottom w:val="single" w:sz="8" w:color="CCECFF"/>
            </w:tcBorders>
            <w:shd w:val="clear" w:color="auto" w:fill="CCECFF"/>
          </w:tcPr>
          <w:p>
            <w:pPr>
              <w:spacing w:after="0"/>
              <w:rPr>
                <w:sz w:val="22"/>
                <w:szCs w:val="22"/>
                <w:color w:val="auto"/>
              </w:rPr>
            </w:pPr>
          </w:p>
        </w:tc>
      </w:tr>
      <w:tr>
        <w:trPr>
          <w:trHeight w:val="250"/>
        </w:trPr>
        <w:tc>
          <w:tcPr>
            <w:tcW w:w="3440" w:type="dxa"/>
            <w:vAlign w:val="bottom"/>
          </w:tcPr>
          <w:p>
            <w:pPr>
              <w:spacing w:after="0"/>
              <w:rPr>
                <w:sz w:val="20"/>
                <w:szCs w:val="20"/>
                <w:color w:val="auto"/>
              </w:rPr>
            </w:pPr>
            <w:r>
              <w:rPr>
                <w:rFonts w:ascii="Arial" w:cs="Arial" w:eastAsia="Arial" w:hAnsi="Arial"/>
                <w:sz w:val="18"/>
                <w:szCs w:val="18"/>
                <w:color w:val="auto"/>
              </w:rPr>
              <w:t>December 31, 2020</w:t>
            </w:r>
          </w:p>
        </w:tc>
        <w:tc>
          <w:tcPr>
            <w:tcW w:w="1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335,665</w:t>
            </w:r>
          </w:p>
        </w:tc>
        <w:tc>
          <w:tcPr>
            <w:tcW w:w="120" w:type="dxa"/>
            <w:vAlign w:val="bottom"/>
          </w:tcPr>
          <w:p>
            <w:pPr>
              <w:spacing w:after="0"/>
              <w:rPr>
                <w:sz w:val="21"/>
                <w:szCs w:val="21"/>
                <w:color w:val="auto"/>
              </w:rPr>
            </w:pPr>
          </w:p>
        </w:tc>
      </w:tr>
      <w:tr>
        <w:trPr>
          <w:trHeight w:val="263"/>
        </w:trPr>
        <w:tc>
          <w:tcPr>
            <w:tcW w:w="3440" w:type="dxa"/>
            <w:vAlign w:val="bottom"/>
            <w:shd w:val="clear" w:color="auto" w:fill="CCECFF"/>
          </w:tcPr>
          <w:p>
            <w:pPr>
              <w:ind w:left="100"/>
              <w:spacing w:after="0"/>
              <w:rPr>
                <w:sz w:val="20"/>
                <w:szCs w:val="20"/>
                <w:color w:val="auto"/>
              </w:rPr>
            </w:pPr>
            <w:r>
              <w:rPr>
                <w:rFonts w:ascii="Arial" w:cs="Arial" w:eastAsia="Arial" w:hAnsi="Arial"/>
                <w:sz w:val="18"/>
                <w:szCs w:val="18"/>
                <w:color w:val="auto"/>
              </w:rPr>
              <w:t>Non-cash collaboration royalty revenue</w:t>
            </w:r>
          </w:p>
        </w:tc>
        <w:tc>
          <w:tcPr>
            <w:tcW w:w="100" w:type="dxa"/>
            <w:vAlign w:val="bottom"/>
            <w:shd w:val="clear" w:color="auto" w:fill="CCECFF"/>
          </w:tcPr>
          <w:p>
            <w:pPr>
              <w:spacing w:after="0"/>
              <w:rPr>
                <w:sz w:val="22"/>
                <w:szCs w:val="22"/>
                <w:color w:val="auto"/>
              </w:rPr>
            </w:pPr>
          </w:p>
        </w:tc>
        <w:tc>
          <w:tcPr>
            <w:tcW w:w="208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(13,210 )</w:t>
            </w:r>
          </w:p>
        </w:tc>
      </w:tr>
      <w:tr>
        <w:trPr>
          <w:trHeight w:val="250"/>
        </w:trPr>
        <w:tc>
          <w:tcPr>
            <w:tcW w:w="3440" w:type="dxa"/>
            <w:vAlign w:val="bottom"/>
          </w:tcPr>
          <w:p>
            <w:pPr>
              <w:ind w:left="100"/>
              <w:spacing w:after="0"/>
              <w:rPr>
                <w:sz w:val="20"/>
                <w:szCs w:val="20"/>
                <w:color w:val="auto"/>
              </w:rPr>
            </w:pPr>
            <w:r>
              <w:rPr>
                <w:rFonts w:ascii="Arial" w:cs="Arial" w:eastAsia="Arial" w:hAnsi="Arial"/>
                <w:sz w:val="18"/>
                <w:szCs w:val="18"/>
                <w:color w:val="auto"/>
              </w:rPr>
              <w:t>Non-cash interest expense</w:t>
            </w:r>
          </w:p>
        </w:tc>
        <w:tc>
          <w:tcPr>
            <w:tcW w:w="1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25,618</w:t>
            </w:r>
          </w:p>
        </w:tc>
        <w:tc>
          <w:tcPr>
            <w:tcW w:w="120" w:type="dxa"/>
            <w:vAlign w:val="bottom"/>
          </w:tcPr>
          <w:p>
            <w:pPr>
              <w:spacing w:after="0"/>
              <w:rPr>
                <w:sz w:val="21"/>
                <w:szCs w:val="21"/>
                <w:color w:val="auto"/>
              </w:rPr>
            </w:pPr>
          </w:p>
        </w:tc>
      </w:tr>
      <w:tr>
        <w:trPr>
          <w:trHeight w:val="297"/>
        </w:trPr>
        <w:tc>
          <w:tcPr>
            <w:tcW w:w="34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September 30, 2021</w:t>
            </w: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348,073</w:t>
            </w:r>
          </w:p>
        </w:tc>
        <w:tc>
          <w:tcPr>
            <w:tcW w:w="12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-690880</wp:posOffset>
            </wp:positionV>
            <wp:extent cx="7683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86"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08" w:lineRule="exact"/>
        <w:rPr>
          <w:sz w:val="20"/>
          <w:szCs w:val="20"/>
          <w:color w:val="auto"/>
        </w:rPr>
      </w:pPr>
    </w:p>
    <w:p>
      <w:pPr>
        <w:ind w:right="40" w:firstLine="509"/>
        <w:spacing w:after="0" w:line="329" w:lineRule="auto"/>
        <w:rPr>
          <w:sz w:val="20"/>
          <w:szCs w:val="20"/>
          <w:color w:val="auto"/>
        </w:rPr>
      </w:pPr>
      <w:r>
        <w:rPr>
          <w:rFonts w:ascii="Arial" w:cs="Arial" w:eastAsia="Arial" w:hAnsi="Arial"/>
          <w:sz w:val="16"/>
          <w:szCs w:val="16"/>
          <w:color w:val="auto"/>
        </w:rPr>
        <w:t>The 2014 Incentive Plan (the 2014 Plan) provides for automatic annual increases in shares available for grant, beginning on January 1, 2015 through January 1, 2024. As of September 30, 2021, there were 4,086,908 shares reserved under the 2014 Plan for the future issuance of equity awards, 3,956,907 shares reserved for the 2014 Employee Stock Purchase Plan, and 468,963 shares reserved for the Employment Inducement Plan.</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sets forth the stock-based compensation expense for the periods presented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5"/>
                <w:szCs w:val="15"/>
                <w:color w:val="auto"/>
              </w:rPr>
            </w:pPr>
          </w:p>
        </w:tc>
      </w:tr>
      <w:tr>
        <w:trPr>
          <w:trHeight w:val="192"/>
        </w:trPr>
        <w:tc>
          <w:tcPr>
            <w:tcW w:w="3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3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r>
      <w:tr>
        <w:trPr>
          <w:trHeight w:val="256"/>
        </w:trPr>
        <w:tc>
          <w:tcPr>
            <w:tcW w:w="3620" w:type="dxa"/>
            <w:vAlign w:val="bottom"/>
            <w:shd w:val="clear" w:color="auto" w:fill="CCECFF"/>
          </w:tcPr>
          <w:p>
            <w:pPr>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160</w:t>
            </w:r>
          </w:p>
        </w:tc>
        <w:tc>
          <w:tcPr>
            <w:tcW w:w="58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133</w:t>
            </w:r>
          </w:p>
        </w:tc>
        <w:tc>
          <w:tcPr>
            <w:tcW w:w="44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762</w:t>
            </w:r>
          </w:p>
        </w:tc>
        <w:tc>
          <w:tcPr>
            <w:tcW w:w="56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313</w:t>
            </w:r>
          </w:p>
        </w:tc>
        <w:tc>
          <w:tcPr>
            <w:tcW w:w="60" w:type="dxa"/>
            <w:vAlign w:val="bottom"/>
            <w:shd w:val="clear" w:color="auto" w:fill="CCECFF"/>
          </w:tcPr>
          <w:p>
            <w:pPr>
              <w:spacing w:after="0"/>
              <w:rPr>
                <w:sz w:val="22"/>
                <w:szCs w:val="22"/>
                <w:color w:val="auto"/>
              </w:rPr>
            </w:pPr>
          </w:p>
        </w:tc>
      </w:tr>
      <w:tr>
        <w:trPr>
          <w:trHeight w:val="250"/>
        </w:trPr>
        <w:tc>
          <w:tcPr>
            <w:tcW w:w="36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15,366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11,533</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43,949</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35,318</w:t>
            </w:r>
          </w:p>
        </w:tc>
        <w:tc>
          <w:tcPr>
            <w:tcW w:w="60" w:type="dxa"/>
            <w:vAlign w:val="bottom"/>
          </w:tcPr>
          <w:p>
            <w:pPr>
              <w:spacing w:after="0"/>
              <w:rPr>
                <w:sz w:val="21"/>
                <w:szCs w:val="21"/>
                <w:color w:val="auto"/>
              </w:rPr>
            </w:pPr>
          </w:p>
        </w:tc>
      </w:tr>
      <w:tr>
        <w:trPr>
          <w:trHeight w:val="257"/>
        </w:trPr>
        <w:tc>
          <w:tcPr>
            <w:tcW w:w="362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shd w:val="clear" w:color="auto" w:fill="CCECFF"/>
          </w:tcPr>
          <w:p>
            <w:pPr>
              <w:spacing w:after="0"/>
              <w:rPr>
                <w:sz w:val="22"/>
                <w:szCs w:val="22"/>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11,464</w:t>
            </w:r>
          </w:p>
        </w:tc>
        <w:tc>
          <w:tcPr>
            <w:tcW w:w="200" w:type="dxa"/>
            <w:vAlign w:val="bottom"/>
            <w:tcBorders>
              <w:bottom w:val="single" w:sz="8" w:color="CCECFF"/>
            </w:tcBorders>
            <w:shd w:val="clear" w:color="auto" w:fill="CCECFF"/>
          </w:tcPr>
          <w:p>
            <w:pPr>
              <w:spacing w:after="0"/>
              <w:rPr>
                <w:sz w:val="22"/>
                <w:szCs w:val="22"/>
                <w:color w:val="auto"/>
              </w:rPr>
            </w:pPr>
          </w:p>
        </w:tc>
        <w:tc>
          <w:tcPr>
            <w:tcW w:w="380" w:type="dxa"/>
            <w:vAlign w:val="bottom"/>
            <w:tcBorders>
              <w:bottom w:val="single" w:sz="8" w:color="auto"/>
            </w:tcBorders>
            <w:shd w:val="clear" w:color="auto" w:fill="CCECFF"/>
          </w:tcPr>
          <w:p>
            <w:pPr>
              <w:spacing w:after="0"/>
              <w:rPr>
                <w:sz w:val="22"/>
                <w:szCs w:val="22"/>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8,675</w:t>
            </w:r>
          </w:p>
        </w:tc>
        <w:tc>
          <w:tcPr>
            <w:tcW w:w="160" w:type="dxa"/>
            <w:vAlign w:val="bottom"/>
            <w:tcBorders>
              <w:bottom w:val="single" w:sz="8" w:color="CCECFF"/>
            </w:tcBorders>
            <w:shd w:val="clear" w:color="auto" w:fill="CCECFF"/>
          </w:tcPr>
          <w:p>
            <w:pPr>
              <w:spacing w:after="0"/>
              <w:rPr>
                <w:sz w:val="22"/>
                <w:szCs w:val="22"/>
                <w:color w:val="auto"/>
              </w:rPr>
            </w:pPr>
          </w:p>
        </w:tc>
        <w:tc>
          <w:tcPr>
            <w:tcW w:w="280" w:type="dxa"/>
            <w:vAlign w:val="bottom"/>
            <w:tcBorders>
              <w:bottom w:val="single" w:sz="8" w:color="auto"/>
            </w:tcBorders>
            <w:shd w:val="clear" w:color="auto" w:fill="CCECFF"/>
          </w:tcPr>
          <w:p>
            <w:pPr>
              <w:spacing w:after="0"/>
              <w:rPr>
                <w:sz w:val="22"/>
                <w:szCs w:val="22"/>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33,719</w:t>
            </w:r>
          </w:p>
        </w:tc>
        <w:tc>
          <w:tcPr>
            <w:tcW w:w="180" w:type="dxa"/>
            <w:vAlign w:val="bottom"/>
            <w:tcBorders>
              <w:bottom w:val="single" w:sz="8" w:color="CCECFF"/>
            </w:tcBorders>
            <w:shd w:val="clear" w:color="auto" w:fill="CCECFF"/>
          </w:tcPr>
          <w:p>
            <w:pPr>
              <w:spacing w:after="0"/>
              <w:rPr>
                <w:sz w:val="22"/>
                <w:szCs w:val="22"/>
                <w:color w:val="auto"/>
              </w:rPr>
            </w:pPr>
          </w:p>
        </w:tc>
        <w:tc>
          <w:tcPr>
            <w:tcW w:w="380" w:type="dxa"/>
            <w:vAlign w:val="bottom"/>
            <w:tcBorders>
              <w:bottom w:val="single" w:sz="8" w:color="auto"/>
            </w:tcBorders>
            <w:shd w:val="clear" w:color="auto" w:fill="CCECFF"/>
          </w:tcPr>
          <w:p>
            <w:pPr>
              <w:spacing w:after="0"/>
              <w:rPr>
                <w:sz w:val="22"/>
                <w:szCs w:val="22"/>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27,291</w:t>
            </w:r>
          </w:p>
        </w:tc>
        <w:tc>
          <w:tcPr>
            <w:tcW w:w="60" w:type="dxa"/>
            <w:vAlign w:val="bottom"/>
            <w:tcBorders>
              <w:bottom w:val="single" w:sz="8" w:color="CCECFF"/>
            </w:tcBorders>
            <w:shd w:val="clear" w:color="auto" w:fill="CCECFF"/>
          </w:tcPr>
          <w:p>
            <w:pPr>
              <w:spacing w:after="0"/>
              <w:rPr>
                <w:sz w:val="22"/>
                <w:szCs w:val="22"/>
                <w:color w:val="auto"/>
              </w:rPr>
            </w:pPr>
          </w:p>
        </w:tc>
      </w:tr>
      <w:tr>
        <w:trPr>
          <w:trHeight w:val="256"/>
        </w:trPr>
        <w:tc>
          <w:tcPr>
            <w:tcW w:w="362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26,990</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20,341</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78,430</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62,922</w:t>
            </w:r>
          </w:p>
        </w:tc>
        <w:tc>
          <w:tcPr>
            <w:tcW w:w="60" w:type="dxa"/>
            <w:vAlign w:val="bottom"/>
          </w:tcPr>
          <w:p>
            <w:pPr>
              <w:spacing w:after="0"/>
              <w:rPr>
                <w:sz w:val="22"/>
                <w:szCs w:val="22"/>
                <w:color w:val="auto"/>
              </w:rPr>
            </w:pPr>
          </w:p>
        </w:tc>
      </w:tr>
      <w:tr>
        <w:trPr>
          <w:trHeight w:val="20"/>
        </w:trPr>
        <w:tc>
          <w:tcPr>
            <w:tcW w:w="3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-193675</wp:posOffset>
            </wp:positionV>
            <wp:extent cx="12890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-193675</wp:posOffset>
            </wp:positionV>
            <wp:extent cx="11176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-193675</wp:posOffset>
            </wp:positionV>
            <wp:extent cx="11112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-193675</wp:posOffset>
            </wp:positionV>
            <wp:extent cx="4318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45"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08"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Basic net loss per share has been computed by dividing the net loss by the weighted-average number of shares of common stock outstanding during the period. Diluted net loss per share is calculated by dividing net loss by the weighted-average number of shares of common stock and potential dilutive securities outstanding during the period.</w:t>
      </w:r>
    </w:p>
    <w:p>
      <w:pPr>
        <w:spacing w:after="0" w:line="88" w:lineRule="exact"/>
        <w:rPr>
          <w:sz w:val="20"/>
          <w:szCs w:val="20"/>
          <w:color w:val="auto"/>
        </w:rPr>
      </w:pPr>
    </w:p>
    <w:p>
      <w:pPr>
        <w:ind w:right="280" w:firstLine="509"/>
        <w:spacing w:after="0" w:line="293" w:lineRule="auto"/>
        <w:rPr>
          <w:sz w:val="20"/>
          <w:szCs w:val="20"/>
          <w:color w:val="auto"/>
        </w:rPr>
      </w:pPr>
      <w:r>
        <w:rPr>
          <w:rFonts w:ascii="Arial" w:cs="Arial" w:eastAsia="Arial" w:hAnsi="Arial"/>
          <w:sz w:val="18"/>
          <w:szCs w:val="18"/>
          <w:color w:val="auto"/>
        </w:rPr>
        <w:t>The following weighted-average outstanding common stock equivalents were excluded from the computation of diluted net loss per share for the periods presented because including them would have been antidilutive: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60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64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Nine Months Ended</w:t>
            </w:r>
          </w:p>
        </w:tc>
        <w:tc>
          <w:tcPr>
            <w:tcW w:w="1120" w:type="dxa"/>
            <w:vAlign w:val="bottom"/>
          </w:tcPr>
          <w:p>
            <w:pPr>
              <w:spacing w:after="0"/>
              <w:rPr>
                <w:sz w:val="15"/>
                <w:szCs w:val="15"/>
                <w:color w:val="auto"/>
              </w:rPr>
            </w:pPr>
          </w:p>
        </w:tc>
      </w:tr>
      <w:tr>
        <w:trPr>
          <w:trHeight w:val="192"/>
        </w:trPr>
        <w:tc>
          <w:tcPr>
            <w:tcW w:w="11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76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6"/>
              </w:rPr>
              <w:t>September 30,</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8"/>
              </w:rPr>
              <w:t>September 30,</w:t>
            </w:r>
          </w:p>
        </w:tc>
        <w:tc>
          <w:tcPr>
            <w:tcW w:w="88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250"/>
        </w:trPr>
        <w:tc>
          <w:tcPr>
            <w:tcW w:w="11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180" w:type="dxa"/>
            <w:vAlign w:val="bottom"/>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400" w:type="dxa"/>
            <w:vAlign w:val="bottom"/>
            <w:gridSpan w:val="2"/>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120" w:type="dxa"/>
            <w:vAlign w:val="bottom"/>
          </w:tcPr>
          <w:p>
            <w:pPr>
              <w:spacing w:after="0"/>
              <w:rPr>
                <w:sz w:val="21"/>
                <w:szCs w:val="21"/>
                <w:color w:val="auto"/>
              </w:rPr>
            </w:pPr>
          </w:p>
        </w:tc>
      </w:tr>
      <w:tr>
        <w:trPr>
          <w:trHeight w:val="242"/>
        </w:trPr>
        <w:tc>
          <w:tcPr>
            <w:tcW w:w="1140" w:type="dxa"/>
            <w:vAlign w:val="bottom"/>
          </w:tcPr>
          <w:p>
            <w:pPr>
              <w:spacing w:after="0"/>
              <w:rPr>
                <w:sz w:val="21"/>
                <w:szCs w:val="21"/>
                <w:color w:val="auto"/>
              </w:rPr>
            </w:pPr>
          </w:p>
        </w:tc>
        <w:tc>
          <w:tcPr>
            <w:tcW w:w="3520" w:type="dxa"/>
            <w:vAlign w:val="bottom"/>
            <w:shd w:val="clear" w:color="auto" w:fill="CCECFF"/>
          </w:tcPr>
          <w:p>
            <w:pPr>
              <w:spacing w:after="0"/>
              <w:rPr>
                <w:sz w:val="20"/>
                <w:szCs w:val="20"/>
                <w:color w:val="auto"/>
              </w:rPr>
            </w:pPr>
            <w:r>
              <w:rPr>
                <w:rFonts w:ascii="Arial" w:cs="Arial" w:eastAsia="Arial" w:hAnsi="Arial"/>
                <w:sz w:val="18"/>
                <w:szCs w:val="18"/>
                <w:color w:val="auto"/>
              </w:rPr>
              <w:t>Options to purchase common stock and</w:t>
            </w:r>
          </w:p>
        </w:tc>
        <w:tc>
          <w:tcPr>
            <w:tcW w:w="1180" w:type="dxa"/>
            <w:vAlign w:val="bottom"/>
            <w:tcBorders>
              <w:top w:val="single" w:sz="8" w:color="auto"/>
            </w:tcBorders>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360" w:type="dxa"/>
            <w:vAlign w:val="bottom"/>
            <w:tcBorders>
              <w:top w:val="single" w:sz="8" w:color="auto"/>
            </w:tcBorders>
            <w:shd w:val="clear" w:color="auto" w:fill="CCECFF"/>
          </w:tcPr>
          <w:p>
            <w:pPr>
              <w:spacing w:after="0"/>
              <w:rPr>
                <w:sz w:val="21"/>
                <w:szCs w:val="21"/>
                <w:color w:val="auto"/>
              </w:rPr>
            </w:pPr>
          </w:p>
        </w:tc>
        <w:tc>
          <w:tcPr>
            <w:tcW w:w="840" w:type="dxa"/>
            <w:vAlign w:val="bottom"/>
            <w:tcBorders>
              <w:top w:val="single" w:sz="8" w:color="auto"/>
            </w:tcBorders>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180" w:type="dxa"/>
            <w:vAlign w:val="bottom"/>
            <w:tcBorders>
              <w:top w:val="single" w:sz="8" w:color="auto"/>
            </w:tcBorders>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360" w:type="dxa"/>
            <w:vAlign w:val="bottom"/>
            <w:tcBorders>
              <w:top w:val="single" w:sz="8" w:color="auto"/>
            </w:tcBorders>
            <w:shd w:val="clear" w:color="auto" w:fill="CCECFF"/>
          </w:tcPr>
          <w:p>
            <w:pPr>
              <w:spacing w:after="0"/>
              <w:rPr>
                <w:sz w:val="21"/>
                <w:szCs w:val="21"/>
                <w:color w:val="auto"/>
              </w:rPr>
            </w:pPr>
          </w:p>
        </w:tc>
        <w:tc>
          <w:tcPr>
            <w:tcW w:w="880" w:type="dxa"/>
            <w:vAlign w:val="bottom"/>
            <w:tcBorders>
              <w:top w:val="single" w:sz="8" w:color="auto"/>
              <w:right w:val="single" w:sz="8" w:color="CCECFF"/>
            </w:tcBorders>
            <w:shd w:val="clear" w:color="auto" w:fill="CCECFF"/>
          </w:tcPr>
          <w:p>
            <w:pPr>
              <w:spacing w:after="0"/>
              <w:rPr>
                <w:sz w:val="21"/>
                <w:szCs w:val="21"/>
                <w:color w:val="auto"/>
              </w:rPr>
            </w:pPr>
          </w:p>
        </w:tc>
        <w:tc>
          <w:tcPr>
            <w:tcW w:w="1120" w:type="dxa"/>
            <w:vAlign w:val="bottom"/>
          </w:tcPr>
          <w:p>
            <w:pPr>
              <w:spacing w:after="0"/>
              <w:rPr>
                <w:sz w:val="21"/>
                <w:szCs w:val="21"/>
                <w:color w:val="auto"/>
              </w:rPr>
            </w:pPr>
          </w:p>
        </w:tc>
      </w:tr>
      <w:tr>
        <w:trPr>
          <w:trHeight w:val="244"/>
        </w:trPr>
        <w:tc>
          <w:tcPr>
            <w:tcW w:w="1140" w:type="dxa"/>
            <w:vAlign w:val="bottom"/>
          </w:tcPr>
          <w:p>
            <w:pPr>
              <w:spacing w:after="0"/>
              <w:rPr>
                <w:sz w:val="21"/>
                <w:szCs w:val="21"/>
                <w:color w:val="auto"/>
              </w:rPr>
            </w:pPr>
          </w:p>
        </w:tc>
        <w:tc>
          <w:tcPr>
            <w:tcW w:w="3520" w:type="dxa"/>
            <w:vAlign w:val="bottom"/>
            <w:shd w:val="clear" w:color="auto" w:fill="CCECFF"/>
          </w:tcPr>
          <w:p>
            <w:pPr>
              <w:ind w:left="180"/>
              <w:spacing w:after="0"/>
              <w:rPr>
                <w:sz w:val="20"/>
                <w:szCs w:val="20"/>
                <w:color w:val="auto"/>
              </w:rPr>
            </w:pPr>
            <w:r>
              <w:rPr>
                <w:rFonts w:ascii="Arial" w:cs="Arial" w:eastAsia="Arial" w:hAnsi="Arial"/>
                <w:sz w:val="18"/>
                <w:szCs w:val="18"/>
                <w:color w:val="auto"/>
              </w:rPr>
              <w:t>restricted stock units</w:t>
            </w: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8,287,010</w:t>
            </w:r>
          </w:p>
        </w:tc>
        <w:tc>
          <w:tcPr>
            <w:tcW w:w="2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8,627,419</w:t>
            </w:r>
          </w:p>
        </w:tc>
        <w:tc>
          <w:tcPr>
            <w:tcW w:w="14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8,287,394</w:t>
            </w:r>
          </w:p>
        </w:tc>
        <w:tc>
          <w:tcPr>
            <w:tcW w:w="2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88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7"/>
              </w:rPr>
              <w:t>8,637,904</w:t>
            </w:r>
          </w:p>
        </w:tc>
        <w:tc>
          <w:tcPr>
            <w:tcW w:w="112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180" w:type="dxa"/>
            <w:vAlign w:val="bottom"/>
          </w:tcPr>
          <w:p>
            <w:pPr>
              <w:jc w:val="right"/>
              <w:spacing w:after="0"/>
              <w:rPr>
                <w:sz w:val="20"/>
                <w:szCs w:val="20"/>
                <w:color w:val="auto"/>
              </w:rPr>
            </w:pPr>
            <w:r>
              <w:rPr>
                <w:rFonts w:ascii="Arial" w:cs="Arial" w:eastAsia="Arial" w:hAnsi="Arial"/>
                <w:sz w:val="18"/>
                <w:szCs w:val="18"/>
                <w:color w:val="auto"/>
              </w:rPr>
              <w:t>30,196</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35,282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16,923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19,701</w:t>
            </w:r>
          </w:p>
        </w:tc>
        <w:tc>
          <w:tcPr>
            <w:tcW w:w="1120" w:type="dxa"/>
            <w:vAlign w:val="bottom"/>
          </w:tcPr>
          <w:p>
            <w:pPr>
              <w:spacing w:after="0"/>
              <w:rPr>
                <w:sz w:val="21"/>
                <w:szCs w:val="21"/>
                <w:color w:val="auto"/>
              </w:rPr>
            </w:pPr>
          </w:p>
        </w:tc>
      </w:tr>
      <w:tr>
        <w:trPr>
          <w:trHeight w:val="257"/>
        </w:trPr>
        <w:tc>
          <w:tcPr>
            <w:tcW w:w="1140" w:type="dxa"/>
            <w:vAlign w:val="bottom"/>
          </w:tcPr>
          <w:p>
            <w:pPr>
              <w:spacing w:after="0"/>
              <w:rPr>
                <w:sz w:val="22"/>
                <w:szCs w:val="22"/>
                <w:color w:val="auto"/>
              </w:rPr>
            </w:pPr>
          </w:p>
        </w:tc>
        <w:tc>
          <w:tcPr>
            <w:tcW w:w="352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Common stock warrants</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CFF"/>
            </w:tcBorders>
            <w:shd w:val="clear" w:color="auto" w:fill="CCECFF"/>
          </w:tcPr>
          <w:p>
            <w:pPr>
              <w:spacing w:after="0"/>
              <w:rPr>
                <w:sz w:val="22"/>
                <w:szCs w:val="22"/>
                <w:color w:val="auto"/>
              </w:rPr>
            </w:pPr>
          </w:p>
        </w:tc>
        <w:tc>
          <w:tcPr>
            <w:tcW w:w="360" w:type="dxa"/>
            <w:vAlign w:val="bottom"/>
            <w:tcBorders>
              <w:bottom w:val="single" w:sz="8" w:color="auto"/>
            </w:tcBorders>
            <w:shd w:val="clear" w:color="auto" w:fill="CCECFF"/>
          </w:tcPr>
          <w:p>
            <w:pPr>
              <w:spacing w:after="0"/>
              <w:rPr>
                <w:sz w:val="22"/>
                <w:szCs w:val="22"/>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CFF"/>
            </w:tcBorders>
            <w:shd w:val="clear" w:color="auto" w:fill="CCECFF"/>
          </w:tcPr>
          <w:p>
            <w:pPr>
              <w:spacing w:after="0"/>
              <w:rPr>
                <w:sz w:val="22"/>
                <w:szCs w:val="22"/>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CFF"/>
            </w:tcBorders>
            <w:shd w:val="clear" w:color="auto" w:fill="CCECFF"/>
          </w:tcPr>
          <w:p>
            <w:pPr>
              <w:spacing w:after="0"/>
              <w:rPr>
                <w:sz w:val="22"/>
                <w:szCs w:val="22"/>
                <w:color w:val="auto"/>
              </w:rPr>
            </w:pPr>
          </w:p>
        </w:tc>
        <w:tc>
          <w:tcPr>
            <w:tcW w:w="360" w:type="dxa"/>
            <w:vAlign w:val="bottom"/>
            <w:tcBorders>
              <w:bottom w:val="single" w:sz="8" w:color="auto"/>
            </w:tcBorders>
            <w:shd w:val="clear" w:color="auto" w:fill="CCECFF"/>
          </w:tcPr>
          <w:p>
            <w:pPr>
              <w:spacing w:after="0"/>
              <w:rPr>
                <w:sz w:val="22"/>
                <w:szCs w:val="22"/>
                <w:color w:val="auto"/>
              </w:rPr>
            </w:pPr>
          </w:p>
        </w:tc>
        <w:tc>
          <w:tcPr>
            <w:tcW w:w="880" w:type="dxa"/>
            <w:vAlign w:val="bottom"/>
            <w:tcBorders>
              <w:bottom w:val="single" w:sz="8" w:color="auto"/>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39,337</w:t>
            </w: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8,317,206</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8,662,701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8,304,317</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8,696,942</w:t>
            </w:r>
          </w:p>
        </w:tc>
        <w:tc>
          <w:tcPr>
            <w:tcW w:w="112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46"/>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-570865</wp:posOffset>
            </wp:positionV>
            <wp:extent cx="13716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-570865</wp:posOffset>
            </wp:positionV>
            <wp:extent cx="13716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-570865</wp:posOffset>
            </wp:positionV>
            <wp:extent cx="13716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-570865</wp:posOffset>
            </wp:positionV>
            <wp:extent cx="4318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10.  Equity Transactions</w:t>
      </w:r>
    </w:p>
    <w:p>
      <w:pPr>
        <w:spacing w:after="0" w:line="108"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In October 2020, the Company completed an underwritten public offering in which 5,111,110 shares of common stock were sold, which included 666,666 shares purchased by the underwriters pursuant to an option granted to them in connection with the offering, at a public offering price of $90.00 per share. For the year ended December 31, 2020, the total proceeds that the Company received from the offering were approximately $435.6 million, net of underwriting discounts and commissions.</w:t>
      </w:r>
    </w:p>
    <w:p>
      <w:pPr>
        <w:spacing w:after="0" w:line="50" w:lineRule="exact"/>
        <w:rPr>
          <w:sz w:val="20"/>
          <w:szCs w:val="20"/>
          <w:color w:val="auto"/>
        </w:rPr>
      </w:pPr>
    </w:p>
    <w:p>
      <w:pPr>
        <w:ind w:right="80" w:firstLine="509"/>
        <w:spacing w:after="0" w:line="303" w:lineRule="auto"/>
        <w:rPr>
          <w:sz w:val="20"/>
          <w:szCs w:val="20"/>
          <w:color w:val="auto"/>
        </w:rPr>
      </w:pPr>
      <w:r>
        <w:rPr>
          <w:rFonts w:ascii="Arial" w:cs="Arial" w:eastAsia="Arial" w:hAnsi="Arial"/>
          <w:sz w:val="17"/>
          <w:szCs w:val="17"/>
          <w:color w:val="auto"/>
        </w:rPr>
        <w:t>In May 2021, the Company entered into an Open Market Sale Agreement with Jefferies LLC, (Jefferies), pursuant to which the Company may offer and sell shares of the Company’s common stock having an aggregate offering proceeds up to $350.0 million, from time to time, in at-the-market (ATM) offerings through Jefferies. As of September 30, 2021, the Company has not sold any shares under the arrangement.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Income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accumulated other comprehensive income consisted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49"/>
        </w:trPr>
        <w:tc>
          <w:tcPr>
            <w:tcW w:w="17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56"/>
        </w:trPr>
        <w:tc>
          <w:tcPr>
            <w:tcW w:w="1700" w:type="dxa"/>
            <w:vAlign w:val="bottom"/>
          </w:tcPr>
          <w:p>
            <w:pPr>
              <w:spacing w:after="0"/>
              <w:rPr>
                <w:sz w:val="22"/>
                <w:szCs w:val="22"/>
                <w:color w:val="auto"/>
              </w:rPr>
            </w:pPr>
          </w:p>
        </w:tc>
        <w:tc>
          <w:tcPr>
            <w:tcW w:w="464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Foreign currency translation adjustments</w:t>
            </w:r>
          </w:p>
        </w:tc>
        <w:tc>
          <w:tcPr>
            <w:tcW w:w="1180" w:type="dxa"/>
            <w:vAlign w:val="bottom"/>
            <w:shd w:val="clear" w:color="auto" w:fill="CCECFF"/>
          </w:tcPr>
          <w:p>
            <w:pPr>
              <w:jc w:val="right"/>
              <w:ind w:right="99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CFF"/>
          </w:tcPr>
          <w:p>
            <w:pPr>
              <w:spacing w:after="0"/>
              <w:rPr>
                <w:sz w:val="22"/>
                <w:szCs w:val="22"/>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CFF"/>
          </w:tcPr>
          <w:p>
            <w:pPr>
              <w:spacing w:after="0"/>
              <w:rPr>
                <w:sz w:val="22"/>
                <w:szCs w:val="22"/>
                <w:color w:val="auto"/>
              </w:rPr>
            </w:pPr>
          </w:p>
        </w:tc>
        <w:tc>
          <w:tcPr>
            <w:tcW w:w="1680" w:type="dxa"/>
            <w:vAlign w:val="bottom"/>
          </w:tcPr>
          <w:p>
            <w:pPr>
              <w:spacing w:after="0"/>
              <w:rPr>
                <w:sz w:val="22"/>
                <w:szCs w:val="22"/>
                <w:color w:val="auto"/>
              </w:rPr>
            </w:pPr>
          </w:p>
        </w:tc>
      </w:tr>
      <w:tr>
        <w:trPr>
          <w:trHeight w:val="250"/>
        </w:trPr>
        <w:tc>
          <w:tcPr>
            <w:tcW w:w="170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Unrealized gain (loss) on available-for-sale securities</w:t>
            </w:r>
          </w:p>
        </w:tc>
        <w:tc>
          <w:tcPr>
            <w:tcW w:w="118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(27 )</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97"/>
        </w:trPr>
        <w:tc>
          <w:tcPr>
            <w:tcW w:w="170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accumulated other comprehensive income</w:t>
            </w:r>
          </w:p>
        </w:tc>
        <w:tc>
          <w:tcPr>
            <w:tcW w:w="140" w:type="dxa"/>
            <w:vAlign w:val="bottom"/>
            <w:tcBorders>
              <w:bottom w:val="single" w:sz="8" w:color="CCECFF"/>
            </w:tcBorders>
            <w:shd w:val="clear" w:color="auto" w:fill="CCECFF"/>
          </w:tcPr>
          <w:p>
            <w:pPr>
              <w:spacing w:after="0"/>
              <w:rPr>
                <w:sz w:val="24"/>
                <w:szCs w:val="24"/>
                <w:color w:val="auto"/>
              </w:rPr>
            </w:pPr>
          </w:p>
        </w:tc>
        <w:tc>
          <w:tcPr>
            <w:tcW w:w="1180" w:type="dxa"/>
            <w:vAlign w:val="bottom"/>
            <w:tcBorders>
              <w:top w:val="single" w:sz="8" w:color="auto"/>
              <w:bottom w:val="single" w:sz="8" w:color="auto"/>
            </w:tcBorders>
            <w:shd w:val="clear" w:color="auto" w:fill="CCECFF"/>
          </w:tcPr>
          <w:p>
            <w:pPr>
              <w:jc w:val="right"/>
              <w:ind w:right="99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689</w:t>
            </w:r>
          </w:p>
        </w:tc>
        <w:tc>
          <w:tcPr>
            <w:tcW w:w="80" w:type="dxa"/>
            <w:vAlign w:val="bottom"/>
            <w:tcBorders>
              <w:bottom w:val="single" w:sz="8" w:color="CCECFF"/>
            </w:tcBorders>
            <w:shd w:val="clear" w:color="auto" w:fill="CCECFF"/>
          </w:tcPr>
          <w:p>
            <w:pPr>
              <w:spacing w:after="0"/>
              <w:rPr>
                <w:sz w:val="24"/>
                <w:szCs w:val="24"/>
                <w:color w:val="auto"/>
              </w:rPr>
            </w:pPr>
          </w:p>
        </w:tc>
        <w:tc>
          <w:tcPr>
            <w:tcW w:w="1680" w:type="dxa"/>
            <w:vAlign w:val="bottom"/>
          </w:tcPr>
          <w:p>
            <w:pPr>
              <w:spacing w:after="0"/>
              <w:rPr>
                <w:sz w:val="24"/>
                <w:szCs w:val="24"/>
                <w:color w:val="auto"/>
              </w:rPr>
            </w:pPr>
          </w:p>
        </w:tc>
      </w:tr>
      <w:tr>
        <w:trPr>
          <w:trHeight w:val="521"/>
        </w:trPr>
        <w:tc>
          <w:tcPr>
            <w:tcW w:w="1700" w:type="dxa"/>
            <w:vAlign w:val="bottom"/>
          </w:tcPr>
          <w:p>
            <w:pPr>
              <w:spacing w:after="0"/>
              <w:rPr>
                <w:sz w:val="24"/>
                <w:szCs w:val="24"/>
                <w:color w:val="auto"/>
              </w:rPr>
            </w:pPr>
          </w:p>
        </w:tc>
        <w:tc>
          <w:tcPr>
            <w:tcW w:w="4500" w:type="dxa"/>
            <w:vAlign w:val="bottom"/>
          </w:tcPr>
          <w:p>
            <w:pPr>
              <w:jc w:val="right"/>
              <w:ind w:right="39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-454025</wp:posOffset>
            </wp:positionV>
            <wp:extent cx="1625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-436245</wp:posOffset>
            </wp:positionV>
            <wp:extent cx="1625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-454025</wp:posOffset>
            </wp:positionV>
            <wp:extent cx="431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-436245</wp:posOffset>
            </wp:positionV>
            <wp:extent cx="431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08" w:lineRule="exact"/>
        <w:rPr>
          <w:sz w:val="20"/>
          <w:szCs w:val="20"/>
          <w:color w:val="auto"/>
        </w:rPr>
      </w:pPr>
    </w:p>
    <w:p>
      <w:pPr>
        <w:jc w:val="both"/>
        <w:ind w:right="360" w:firstLine="509"/>
        <w:spacing w:after="0" w:line="30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accompanying unaudited Condensed Consolidated Financial Statements and related notes in Item 1 and with the audited Consolidated Financial Statements and the related notes included in our Annual Report on Form 10-K for the year ended December 31, 2020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Ultragenyx Pharmaceutical Inc. (we or the Company) is a biopharmaceutical company focused on the identification, acquisition, development, and commercialization of novel products for the treatment of serious rare and ultra-rare genetic diseases. We target diseases for which the unmet medical need is high, the biology for treatment is clear, and for which there are typically no approved therapies treating the underlying disease. Our strategy, which is predicated upon time- and cost-efficient drug development, allows us to pursue multiple programs in parallel with the goal of delivering safe and effective therapies to patients with the utmost urgency.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Pandemic</w:t>
      </w:r>
    </w:p>
    <w:p>
      <w:pPr>
        <w:spacing w:after="0" w:line="104"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Our business operations have been and continue to be affected by the COVID-19 pandemic. In addition to some impact on our preclinical manufacturing activities and certain regulatory interactions, we have experienced interruptions to our clinical trial activities, primarily due to delays or disruptions to patient enrollment and dosing as a result of travel restrictions and diversion of clinic and hospital staff and resources to COVID-19 patients. The continuing outbreak has caused delays in delivery of ancillary clinical trial materials as certain of our third-party manufacturers or suppliers have prioritized and allocated more resources and capacity to supply drug product or raw materials to other companies engaged in the study or manufacture of treatments or vaccinations for COVID-19. Social distancing measures and travel limitations in response to the pandemic have also made it difficult for us to identify new patients for our commercialized products, which may result in loss of revenue. We have also restricted access to our facilities to personnel and third parties who perform critical activities that must be performed on-site and as a result, most of our personnel currently work remotely. Such remote working policies may negatively impact productivity and disrupt our business operations.</w:t>
      </w:r>
    </w:p>
    <w:p>
      <w:pPr>
        <w:spacing w:after="0" w:line="43" w:lineRule="exact"/>
        <w:rPr>
          <w:sz w:val="20"/>
          <w:szCs w:val="20"/>
          <w:color w:val="auto"/>
        </w:rPr>
      </w:pPr>
    </w:p>
    <w:p>
      <w:pPr>
        <w:ind w:right="140" w:firstLine="509"/>
        <w:spacing w:after="0" w:line="292" w:lineRule="auto"/>
        <w:rPr>
          <w:sz w:val="20"/>
          <w:szCs w:val="20"/>
          <w:color w:val="auto"/>
        </w:rPr>
      </w:pPr>
      <w:r>
        <w:rPr>
          <w:rFonts w:ascii="Arial" w:cs="Arial" w:eastAsia="Arial" w:hAnsi="Arial"/>
          <w:sz w:val="17"/>
          <w:szCs w:val="17"/>
          <w:color w:val="auto"/>
        </w:rPr>
        <w:t>As the COVID-19 global pandemic continues, we may experience lower revenue and increased expenses as a result of disruptions to our clinical trial, commercialization and regulatory activities, in addition to delays or shortages of drug product and raw materials. The magnitude and extent to which the pandemic may impact our business operations and operating results will continue to remain highly dependent on future developments, which are very uncertain and cannot be predicted with confidence. As a result, we cannot reliably estimate the extent to which the COVID-19 pandemic will impact our financial statements in 2021 and beyond. See Item 1A: "Risk Factors" for additional details.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Approved Therapies and Clinical Product Candidates</w:t>
      </w:r>
    </w:p>
    <w:p>
      <w:pPr>
        <w:spacing w:after="0" w:line="108" w:lineRule="exact"/>
        <w:rPr>
          <w:sz w:val="20"/>
          <w:szCs w:val="20"/>
          <w:color w:val="auto"/>
        </w:rPr>
      </w:pPr>
    </w:p>
    <w:p>
      <w:pPr>
        <w:jc w:val="both"/>
        <w:ind w:right="140" w:firstLine="509"/>
        <w:spacing w:after="0" w:line="279" w:lineRule="auto"/>
        <w:rPr>
          <w:sz w:val="20"/>
          <w:szCs w:val="20"/>
          <w:color w:val="auto"/>
        </w:rPr>
      </w:pPr>
      <w:r>
        <w:rPr>
          <w:rFonts w:ascii="Arial" w:cs="Arial" w:eastAsia="Arial" w:hAnsi="Arial"/>
          <w:sz w:val="18"/>
          <w:szCs w:val="18"/>
          <w:color w:val="auto"/>
        </w:rPr>
        <w:t>Our current approved therapies and clinical-stage pipeline consist of four product categories: biologics, small molecules, gene therapy, and nucleic acid product candidates. See section entitled “Recent Program Updates” below for a description of recent updates to certain of our approved therapies and clinical-stage pipeline products.</w:t>
      </w:r>
    </w:p>
    <w:p>
      <w:pPr>
        <w:spacing w:after="0" w:line="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Our biologic products include approved therapies Crysvita® (burosumab), Mepsevii® (vestronidase alfa) and UX143 in clinical development:</w:t>
      </w:r>
    </w:p>
    <w:p>
      <w:pPr>
        <w:spacing w:after="0" w:line="104" w:lineRule="exact"/>
        <w:rPr>
          <w:sz w:val="20"/>
          <w:szCs w:val="20"/>
          <w:color w:val="auto"/>
        </w:rPr>
      </w:pPr>
    </w:p>
    <w:p>
      <w:pPr>
        <w:ind w:left="700" w:right="60"/>
        <w:spacing w:after="0" w:line="287" w:lineRule="auto"/>
        <w:rPr>
          <w:sz w:val="20"/>
          <w:szCs w:val="20"/>
          <w:color w:val="auto"/>
        </w:rPr>
      </w:pPr>
      <w:r>
        <w:rPr>
          <w:rFonts w:ascii="Arial" w:cs="Arial" w:eastAsia="Arial" w:hAnsi="Arial"/>
          <w:sz w:val="17"/>
          <w:szCs w:val="17"/>
          <w:color w:val="auto"/>
        </w:rPr>
        <w:t>Crysvita is an antibody administered via subcutaneous injection that targets fibroblast growth factor 23, or FGF23, developed for the treatment of XLH, a rare, hereditary, progressive and lifelong musculoskeletal disorder characterized by renal phosphate wasting caused by excess FGF23 production. There are approximately 48,000 patients with XLH in the developed world, including approximately 36,000 adults and 12,000 children. Crysvita is the only approved treatment that addresses the underlying cause of XLH. Crysvita is approved in the United States and Canada for the treatment of XLH in adult and pediatric patients six months of age and older. In the European Union, or the EU, and the United Kingdom, Crysvita is approved for the treatment of XLH with radiographic evidence of bone disease in children one year of age and older, adolescents, and adults. In Brazil, Colombia, and Mexico, Crysvita is approved for treatment of XLH in adult and pediatric patients one year of age and older. We have submitted regulatory filings in various other Latin American countries.</w:t>
      </w:r>
    </w:p>
    <w:p>
      <w:pPr>
        <w:spacing w:after="0" w:line="47" w:lineRule="exact"/>
        <w:rPr>
          <w:sz w:val="20"/>
          <w:szCs w:val="20"/>
          <w:color w:val="auto"/>
        </w:rPr>
      </w:pPr>
    </w:p>
    <w:p>
      <w:pPr>
        <w:jc w:val="both"/>
        <w:ind w:left="760" w:right="40"/>
        <w:spacing w:after="0" w:line="329" w:lineRule="auto"/>
        <w:rPr>
          <w:sz w:val="20"/>
          <w:szCs w:val="20"/>
          <w:color w:val="auto"/>
        </w:rPr>
      </w:pPr>
      <w:r>
        <w:rPr>
          <w:rFonts w:ascii="Arial" w:cs="Arial" w:eastAsia="Arial" w:hAnsi="Arial"/>
          <w:sz w:val="16"/>
          <w:szCs w:val="16"/>
          <w:color w:val="auto"/>
        </w:rPr>
        <w:t>Crysvita is also approved in the United States and Canada for the treatment of FGF23-related hypophosphatemia in tumor-induced osteomalacia, or TIO, associated with phosphaturic mesenchymal tumors that cannot be curatively resected or localized in adults and pediatric patients 2 years of age and older. TIO can lead to severe hypophosphatemia, osteomalacia, fractures, fatigue, bone and muscle pain, and muscle weakness.</w:t>
      </w:r>
    </w:p>
    <w:p>
      <w:pPr>
        <w:spacing w:after="0" w:line="13" w:lineRule="exact"/>
        <w:rPr>
          <w:sz w:val="20"/>
          <w:szCs w:val="20"/>
          <w:color w:val="auto"/>
        </w:rPr>
      </w:pPr>
    </w:p>
    <w:p>
      <w:pPr>
        <w:jc w:val="both"/>
        <w:ind w:left="760" w:right="40"/>
        <w:spacing w:after="0" w:line="293" w:lineRule="auto"/>
        <w:rPr>
          <w:sz w:val="20"/>
          <w:szCs w:val="20"/>
          <w:color w:val="auto"/>
        </w:rPr>
      </w:pPr>
      <w:r>
        <w:rPr>
          <w:rFonts w:ascii="Arial" w:cs="Arial" w:eastAsia="Arial" w:hAnsi="Arial"/>
          <w:sz w:val="18"/>
          <w:szCs w:val="18"/>
          <w:color w:val="auto"/>
        </w:rPr>
        <w:t>We are collaborating with Kyowa Kirin Co., Ltd., or KKC (formerly Kyowa Hakko Kirin Co., Ltd., or KHK), and Kyowa Kirin, a wholly owned subsidiary of KKC, on the development and commercialization of Crysvita globally.</w:t>
      </w:r>
    </w:p>
    <w:p>
      <w:pPr>
        <w:spacing w:after="0" w:line="35" w:lineRule="exact"/>
        <w:rPr>
          <w:sz w:val="20"/>
          <w:szCs w:val="20"/>
          <w:color w:val="auto"/>
        </w:rPr>
      </w:pPr>
    </w:p>
    <w:p>
      <w:pPr>
        <w:ind w:left="700" w:right="60"/>
        <w:spacing w:after="0" w:line="266" w:lineRule="auto"/>
        <w:rPr>
          <w:sz w:val="20"/>
          <w:szCs w:val="20"/>
          <w:color w:val="auto"/>
        </w:rPr>
      </w:pPr>
      <w:r>
        <w:rPr>
          <w:rFonts w:ascii="Arial" w:cs="Arial" w:eastAsia="Arial" w:hAnsi="Arial"/>
          <w:sz w:val="18"/>
          <w:szCs w:val="18"/>
          <w:color w:val="auto"/>
        </w:rPr>
        <w:t>Mepsevii is an intravenous, or IV, enzyme replacement therapy, developed for the treatment of Mucopolysaccharidosis VII, also known as MPS VII or Sly syndrome, a rare lysosomal storage disease that often leads to multi-organ dysfunction, pervasive skeletal disease, and death. MPS VII is one of the rarest MPS disorders, affecting an estimated 200 patients in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ind w:left="180" w:right="60"/>
        <w:spacing w:after="0" w:line="303" w:lineRule="auto"/>
        <w:rPr>
          <w:sz w:val="20"/>
          <w:szCs w:val="20"/>
          <w:color w:val="auto"/>
        </w:rPr>
      </w:pPr>
      <w:r>
        <w:rPr>
          <w:rFonts w:ascii="Arial" w:cs="Arial" w:eastAsia="Arial" w:hAnsi="Arial"/>
          <w:sz w:val="17"/>
          <w:szCs w:val="17"/>
          <w:color w:val="auto"/>
        </w:rPr>
        <w:t>developed world. Mepsevii is approved in the United States for the treatment of children and adults with MPS VII. In the EU and the United Kingdom, Mepsevii is approved under exceptional circumstances for the treatment of non-neurological manifestations of MPS VII for patients of all ages. In Brazil, Mexico and Italy, Mepsevii is approved for the treatment of MPS VII for patients of all ages.</w:t>
      </w:r>
    </w:p>
    <w:p>
      <w:pPr>
        <w:spacing w:after="0" w:line="29" w:lineRule="exact"/>
        <w:rPr>
          <w:sz w:val="20"/>
          <w:szCs w:val="20"/>
          <w:color w:val="auto"/>
        </w:rPr>
      </w:pPr>
    </w:p>
    <w:p>
      <w:pPr>
        <w:ind w:left="180" w:right="20"/>
        <w:spacing w:after="0" w:line="309" w:lineRule="auto"/>
        <w:rPr>
          <w:sz w:val="20"/>
          <w:szCs w:val="20"/>
          <w:color w:val="auto"/>
        </w:rPr>
      </w:pPr>
      <w:r>
        <w:rPr>
          <w:rFonts w:ascii="Arial" w:cs="Arial" w:eastAsia="Arial" w:hAnsi="Arial"/>
          <w:sz w:val="16"/>
          <w:szCs w:val="16"/>
          <w:color w:val="auto"/>
        </w:rPr>
        <w:t>UX143 (setrusumab), which is subject to our collaboration agreement with Mereo Biopharma 3 (Mereo), and the lead clinical asset in our bone endocrinology franchise, is a fully human monoclonal antibody that inhibits sclerostin, a protein that acts on a key bone-signaling pathway and inhibits the activity of bone-forming cells. Setrusumab is being studied for the treatment of osteogenesis imperfecta (OI) and has received orphan drug designation from the U.S. Food and Drug Administration (FDA) and European Medicines Agency (EMA), rare pediatric disease designation from the FDA, and was accepted into the EMA’s Priority Medicines program (PRIME). There are an estimated 60,000 patients in the developed world affected by OI. Initiation of a Phase 2/3 study with pediatric and young adult patients is currently expected around the end of 2021 and a separate study is currently being planned for younger children and an extension study for adults with OI.</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Our small molecule products include the approved therapy Dojolvi® (triheptanoin):</w:t>
      </w:r>
    </w:p>
    <w:p>
      <w:pPr>
        <w:spacing w:after="0" w:line="90" w:lineRule="exact"/>
        <w:rPr>
          <w:sz w:val="20"/>
          <w:szCs w:val="20"/>
          <w:color w:val="auto"/>
        </w:rPr>
      </w:pPr>
    </w:p>
    <w:p>
      <w:pPr>
        <w:ind w:left="180"/>
        <w:spacing w:after="0" w:line="270" w:lineRule="auto"/>
        <w:rPr>
          <w:sz w:val="20"/>
          <w:szCs w:val="20"/>
          <w:color w:val="auto"/>
        </w:rPr>
      </w:pPr>
      <w:r>
        <w:rPr>
          <w:rFonts w:ascii="Arial" w:cs="Arial" w:eastAsia="Arial" w:hAnsi="Arial"/>
          <w:sz w:val="18"/>
          <w:szCs w:val="18"/>
          <w:color w:val="auto"/>
        </w:rPr>
        <w:t>Dojolvi is a highly purified, synthetic, 7-carbon fatty acid triglyceride specifically designed to provide medium-chain, odd-carbon fatty acids as an energy source and metabolite replacement for people with long-chain fatty acid oxidation disorders, or LC-FAOD, which is a set of rare metabolic diseases that prevents the conversion of fat into energy and can cause low blood sugar, muscle rupture, and heart and liver disease. Dojolvi is approved and commercially available in the United States and Canada as a source of calories and fatty acids for the treatment of pediatric and adult patients with molecularly confirmed LC-FAOD. We have received marketing authorization from the Brazilian Health Regulatory Agency (ANVISA) and are in the process of seeking reimbursement approval. There are approximately 8,000 to 14,000 patients in the developed world with LC-FAOD.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Our clinical-stage gene therapy pipeline includes DTX401, DTX301, DTX201 and UX701:</w:t>
      </w:r>
    </w:p>
    <w:p>
      <w:pPr>
        <w:spacing w:after="0" w:line="104" w:lineRule="exact"/>
        <w:rPr>
          <w:sz w:val="20"/>
          <w:szCs w:val="20"/>
          <w:color w:val="auto"/>
        </w:rPr>
      </w:pPr>
    </w:p>
    <w:p>
      <w:pPr>
        <w:ind w:left="180" w:right="20"/>
        <w:spacing w:after="0" w:line="288" w:lineRule="auto"/>
        <w:rPr>
          <w:sz w:val="20"/>
          <w:szCs w:val="20"/>
          <w:color w:val="auto"/>
        </w:rPr>
      </w:pPr>
      <w:r>
        <w:rPr>
          <w:rFonts w:ascii="Arial" w:cs="Arial" w:eastAsia="Arial" w:hAnsi="Arial"/>
          <w:sz w:val="17"/>
          <w:szCs w:val="17"/>
          <w:color w:val="auto"/>
        </w:rPr>
        <w:t>DTX401 is an adeno-associated virus 8, or AAV8, gene therapy clinical candidate for the treatment of patients with glycogen storage disease type Ia, or GSDIa, a disease that arises from a defect in G6Pase, an essential enzyme in glycogen and glucose metabolism. GSDIa is the most common genetically inherited glycogen storage disease, with an estimated 6,000 patients in the developed world affected by GSDIa. A Pediatric Investigation Plan, or PIP, was accepted by the EMA. DTX401 has been granted Orphan Drug Designation in both the United States and in the EU, and Regenerative Medicine Advanced Therapy (RMAT) designation and Fast Track designation in the United States. Phase 3 study start-up activities are ongoing with the first patients in the U.S. and Canada currently expected to enter a 4-to 8-week baseline screening period around the end of 2021, after which they would receive a single dose of DTX401 or placebo.</w:t>
      </w:r>
    </w:p>
    <w:p>
      <w:pPr>
        <w:spacing w:after="0" w:line="32" w:lineRule="exact"/>
        <w:rPr>
          <w:sz w:val="20"/>
          <w:szCs w:val="20"/>
          <w:color w:val="auto"/>
        </w:rPr>
      </w:pPr>
    </w:p>
    <w:p>
      <w:pPr>
        <w:ind w:left="180" w:right="60"/>
        <w:spacing w:after="0" w:line="270" w:lineRule="auto"/>
        <w:rPr>
          <w:sz w:val="20"/>
          <w:szCs w:val="20"/>
          <w:color w:val="auto"/>
        </w:rPr>
      </w:pPr>
      <w:r>
        <w:rPr>
          <w:rFonts w:ascii="Arial" w:cs="Arial" w:eastAsia="Arial" w:hAnsi="Arial"/>
          <w:sz w:val="18"/>
          <w:szCs w:val="18"/>
          <w:color w:val="auto"/>
        </w:rPr>
        <w:t>DTX301 is an AAV8 gene therapy product candidate designed for the treatment of patients with ornithine transcarbamylase, or OTC, deficiency. OTC is part of the urea cycle, an enzymatic pathway in the liver that converts excess nitrogen, in the form of ammonia, to urea for excretion. OTC deficiency is the most common urea cycle disorder, and there are approximately 10,000 patients in the developed world with OTC deficiency, of which we estimate approximately 80% are classified as late-onset, our target population. DTX301 has received Orphan Drug Designation in both the United States and in the EU and Fast Track Designation in the United States. Phase 3 study start-up activities are ongoing with the first patients in the U.S. expected to enter a 4-to 8-week baseline screening period around the end of 2021, after which they would receive a single dose of DTX301 or placebo.</w:t>
      </w:r>
    </w:p>
    <w:p>
      <w:pPr>
        <w:spacing w:after="0" w:line="58" w:lineRule="exact"/>
        <w:rPr>
          <w:sz w:val="20"/>
          <w:szCs w:val="20"/>
          <w:color w:val="auto"/>
        </w:rPr>
      </w:pPr>
    </w:p>
    <w:p>
      <w:pPr>
        <w:ind w:left="180" w:right="100"/>
        <w:spacing w:after="0" w:line="275" w:lineRule="auto"/>
        <w:rPr>
          <w:sz w:val="20"/>
          <w:szCs w:val="20"/>
          <w:color w:val="auto"/>
        </w:rPr>
      </w:pPr>
      <w:r>
        <w:rPr>
          <w:rFonts w:ascii="Arial" w:cs="Arial" w:eastAsia="Arial" w:hAnsi="Arial"/>
          <w:sz w:val="18"/>
          <w:szCs w:val="18"/>
          <w:color w:val="auto"/>
        </w:rPr>
        <w:t>DTX201 is a Factor VIII gene therapy program for the treatment of hemophilia A that is being developed in collaboration with Bayer Healthcare LLC, or Bayer. Hemophilia A is the most common form of hemophilia with approximately 144,000 patients in the developed world. The first three cohorts with two patients each have been dosed using material from our proprietary manufacturing platform. Enrollment of additional dose cohorts in the Phase 1/2 study is currently ongoing.</w:t>
      </w:r>
    </w:p>
    <w:p>
      <w:pPr>
        <w:spacing w:after="0" w:line="50" w:lineRule="exact"/>
        <w:rPr>
          <w:sz w:val="20"/>
          <w:szCs w:val="20"/>
          <w:color w:val="auto"/>
        </w:rPr>
      </w:pPr>
    </w:p>
    <w:p>
      <w:pPr>
        <w:ind w:left="180" w:right="260"/>
        <w:spacing w:after="0" w:line="272" w:lineRule="auto"/>
        <w:rPr>
          <w:sz w:val="20"/>
          <w:szCs w:val="20"/>
          <w:color w:val="auto"/>
        </w:rPr>
      </w:pPr>
      <w:r>
        <w:rPr>
          <w:rFonts w:ascii="Arial" w:cs="Arial" w:eastAsia="Arial" w:hAnsi="Arial"/>
          <w:sz w:val="18"/>
          <w:szCs w:val="18"/>
          <w:color w:val="auto"/>
        </w:rPr>
        <w:t>UX701 is an AAV type 9 gene therapy product candidate designed to deliver stable expression of a truncated version of the ATP7B copper transporter following a single intravenous infusion to patients with Wilson disease. Wilson disease affects more than 50,000 individuals in the developed world. UX701 was granted Orphan Drug Designation in the United States and EU. Multiple patients with Wilson disease have been successfully screened and enrolled into the baseline monitoring period prior to dosing in the seamless Phase 1/2/3 study of UX701, the Cyprus2+study.</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Our clinical-stage nucleic acid pipeline includes GTX-102 for the treatment of Angelman syndrome, and UX053 for the treatment of GSDIII:</w:t>
      </w:r>
    </w:p>
    <w:p>
      <w:pPr>
        <w:spacing w:after="0" w:line="115" w:lineRule="exact"/>
        <w:rPr>
          <w:sz w:val="20"/>
          <w:szCs w:val="20"/>
          <w:color w:val="auto"/>
        </w:rPr>
      </w:pPr>
    </w:p>
    <w:p>
      <w:pPr>
        <w:ind w:left="180" w:right="100"/>
        <w:spacing w:after="0" w:line="266" w:lineRule="auto"/>
        <w:rPr>
          <w:sz w:val="20"/>
          <w:szCs w:val="20"/>
          <w:color w:val="auto"/>
        </w:rPr>
      </w:pPr>
      <w:r>
        <w:rPr>
          <w:rFonts w:ascii="Arial" w:cs="Arial" w:eastAsia="Arial" w:hAnsi="Arial"/>
          <w:sz w:val="18"/>
          <w:szCs w:val="18"/>
          <w:color w:val="auto"/>
        </w:rPr>
        <w:t>GTX-102 is an antisense oligonucleotide, or ASO, that is being developed for the treatment of Angelman syndrome, a debilitating and rare neurogenetic disorder caused by loss-of-function of the maternally inherited allele of the UBE3A gene. There are an estimated 60,000 patients in the developed world affected by Angelman syndrome. GTX-102 was granted Fast Track designation, Orphan Drug Designation and Rare Pediatric Disease Designation from the FDA. GTX-102 is being developed in collaboration with GeneTx Biotherapeutics LLC (GeneTx) in an ongoing Phase 1/2 clinical study in the U.S., Canada, and the U.K.</w:t>
      </w:r>
    </w:p>
    <w:p>
      <w:pPr>
        <w:spacing w:after="0" w:line="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449" w:right="339" w:bottom="1440" w:gutter="0" w:footer="0" w:header="0"/>
        </w:sectPr>
      </w:pPr>
    </w:p>
    <w:bookmarkStart w:id="25" w:name="page26"/>
    <w:bookmarkEnd w:id="25"/>
    <w:p>
      <w:pPr>
        <w:ind w:left="700"/>
        <w:spacing w:after="0" w:line="275" w:lineRule="auto"/>
        <w:rPr>
          <w:sz w:val="20"/>
          <w:szCs w:val="20"/>
          <w:color w:val="auto"/>
        </w:rPr>
      </w:pPr>
      <w:r>
        <w:rPr>
          <w:rFonts w:ascii="Arial" w:cs="Arial" w:eastAsia="Arial" w:hAnsi="Arial"/>
          <w:sz w:val="18"/>
          <w:szCs w:val="18"/>
          <w:color w:val="auto"/>
        </w:rPr>
        <w:t>UX053 is an mRNA product candidate designed for the treatment of patients with GSDIII, a disease caused by a glycogen debranching enzyme (AGL) deficiency that results in glycogen accumulation in the liver and muscle. GSDIII affects more than 10,000 patients in the developed world. UX053 was granted Orphan Drug Designation in the United States and EU. The Phase 1/2 study is currently expected to initiate around the end of 2021.</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approved products and clinical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168910</wp:posOffset>
            </wp:positionV>
            <wp:extent cx="6172200" cy="50920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72200" cy="5092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Program Updates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Crysvita for the treatment of Tumor-Induced Osteomalacia (TIO)</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September 2021, Crysvita was approved by Health Canada for the treatment of TIO in adults.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Dojolvi for the treatment of Long Chain Fatty-Acid Oxidation Disorders (LC-FAOD)</w:t>
      </w:r>
    </w:p>
    <w:p>
      <w:pPr>
        <w:spacing w:after="0" w:line="104" w:lineRule="exact"/>
        <w:rPr>
          <w:sz w:val="20"/>
          <w:szCs w:val="20"/>
          <w:color w:val="auto"/>
        </w:rPr>
      </w:pPr>
    </w:p>
    <w:p>
      <w:pPr>
        <w:ind w:right="300" w:firstLine="464"/>
        <w:spacing w:after="0" w:line="279" w:lineRule="auto"/>
        <w:rPr>
          <w:sz w:val="20"/>
          <w:szCs w:val="20"/>
          <w:color w:val="auto"/>
        </w:rPr>
      </w:pPr>
      <w:r>
        <w:rPr>
          <w:rFonts w:ascii="Arial" w:cs="Arial" w:eastAsia="Arial" w:hAnsi="Arial"/>
          <w:sz w:val="18"/>
          <w:szCs w:val="18"/>
          <w:color w:val="auto"/>
        </w:rPr>
        <w:t>In August 2021, we announced approval by Brazil’s ANVISA for Dojolvi as a source of calories and fatty acids for the treatment of pediatric and adult patients with molecularly confirmed LC-FAOD. Following this marketing authorization, we are in the process of seeking full reimbursement approval, while patients concurrently work through the injunction process to receive this therapy.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Mepsevii for the treatment of Mucopolysaccharidosis VII (MPS VII or Sly syndrome)</w:t>
      </w:r>
    </w:p>
    <w:p>
      <w:pPr>
        <w:spacing w:after="0" w:line="104" w:lineRule="exact"/>
        <w:rPr>
          <w:sz w:val="20"/>
          <w:szCs w:val="20"/>
          <w:color w:val="auto"/>
        </w:rPr>
      </w:pPr>
    </w:p>
    <w:p>
      <w:pPr>
        <w:ind w:right="460" w:firstLine="464"/>
        <w:spacing w:after="0" w:line="293" w:lineRule="auto"/>
        <w:rPr>
          <w:sz w:val="20"/>
          <w:szCs w:val="20"/>
          <w:color w:val="auto"/>
        </w:rPr>
      </w:pPr>
      <w:r>
        <w:rPr>
          <w:rFonts w:ascii="Arial" w:cs="Arial" w:eastAsia="Arial" w:hAnsi="Arial"/>
          <w:sz w:val="18"/>
          <w:szCs w:val="18"/>
          <w:color w:val="auto"/>
        </w:rPr>
        <w:t>In September 2021, we announced reimbursement approval by Italy’s Agenzia Italiana del Farmaco (Italian Medicines Agency – AIFA) for the treatment of pediatric and adult patients with MPS VII.</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UX143 for the treatment of Osteogenesis Imperfecta (OI)</w:t>
      </w:r>
    </w:p>
    <w:p>
      <w:pPr>
        <w:spacing w:after="0" w:line="104" w:lineRule="exact"/>
        <w:rPr>
          <w:sz w:val="20"/>
          <w:szCs w:val="20"/>
          <w:color w:val="auto"/>
        </w:rPr>
      </w:pPr>
    </w:p>
    <w:p>
      <w:pPr>
        <w:ind w:firstLine="464"/>
        <w:spacing w:after="0" w:line="314" w:lineRule="auto"/>
        <w:rPr>
          <w:sz w:val="20"/>
          <w:szCs w:val="20"/>
          <w:color w:val="auto"/>
        </w:rPr>
      </w:pPr>
      <w:r>
        <w:rPr>
          <w:rFonts w:ascii="Arial" w:cs="Arial" w:eastAsia="Arial" w:hAnsi="Arial"/>
          <w:sz w:val="16"/>
          <w:szCs w:val="16"/>
          <w:color w:val="auto"/>
        </w:rPr>
        <w:t>In October 2021, at the American Society for Bone and Mineral Research (ASBMR) annual meeting, we, along with our partner, Mereo, presented additional secondary endpoint data from the Phase 2b ASTEROID study demonstrating treatment with UX143 resulted in dose-dependent increase in P1NP serum levels, a marker of bone formation, and decrease in CTx serum levels, a marker of bone resorption, confirming the mechanism of action of sclerostin inhibition over the 12-month treatment period. Observed improvements in bone mineral density were continuous over the 12 months of the study, with comparable gains achieved in the first and second 6 months of treatment in the high dose group despite temporal changes in biomarkers.</w:t>
      </w:r>
    </w:p>
    <w:p>
      <w:pPr>
        <w:spacing w:after="0" w:line="11" w:lineRule="exact"/>
        <w:rPr>
          <w:sz w:val="20"/>
          <w:szCs w:val="20"/>
          <w:color w:val="auto"/>
        </w:rPr>
      </w:pPr>
    </w:p>
    <w:p>
      <w:pPr>
        <w:ind w:right="420" w:firstLine="464"/>
        <w:spacing w:after="0" w:line="293" w:lineRule="auto"/>
        <w:rPr>
          <w:sz w:val="20"/>
          <w:szCs w:val="20"/>
          <w:color w:val="auto"/>
        </w:rPr>
      </w:pPr>
      <w:r>
        <w:rPr>
          <w:rFonts w:ascii="Arial" w:cs="Arial" w:eastAsia="Arial" w:hAnsi="Arial"/>
          <w:sz w:val="18"/>
          <w:szCs w:val="18"/>
          <w:color w:val="auto"/>
        </w:rPr>
        <w:t>Previously, top-line 12-month data from the ASTEROID study were reported by our partner Mereo in November 2019, with full data, including secondary endpoint analyses, reported in January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DTX401 for the treatment of GSDIa</w:t>
      </w:r>
    </w:p>
    <w:p>
      <w:pPr>
        <w:spacing w:after="0" w:line="104" w:lineRule="exact"/>
        <w:rPr>
          <w:sz w:val="20"/>
          <w:szCs w:val="20"/>
          <w:color w:val="auto"/>
        </w:rPr>
      </w:pPr>
    </w:p>
    <w:p>
      <w:pPr>
        <w:ind w:right="140" w:firstLine="464"/>
        <w:spacing w:after="0" w:line="272" w:lineRule="auto"/>
        <w:rPr>
          <w:sz w:val="20"/>
          <w:szCs w:val="20"/>
          <w:color w:val="auto"/>
        </w:rPr>
      </w:pPr>
      <w:r>
        <w:rPr>
          <w:rFonts w:ascii="Arial" w:cs="Arial" w:eastAsia="Arial" w:hAnsi="Arial"/>
          <w:sz w:val="18"/>
          <w:szCs w:val="18"/>
          <w:color w:val="auto"/>
        </w:rPr>
        <w:t>We are currently in the process of initiating a Phase 3 study with a 48-week primary efficacy analysis period and plan to enroll approximately 50 patients eight years of age and older, randomized 1:1 to DTX401 (1.0 x 10^13 GC/kg dose) or placebo. The coprimary endpoints are the reduction in oral glucose replacement with cornstarch while maintaining and improved glucose control assessed by continuous glucose monitoring. The first patients in the U.S. and Canada are expected to enter an approximate 4-to 8-week baseline screening period around the end of 2021 after which they would receive a single dose of DTX401 or placebo.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DTX301 for the treatment of OTC deficiency</w:t>
      </w:r>
    </w:p>
    <w:p>
      <w:pPr>
        <w:spacing w:after="0" w:line="104" w:lineRule="exact"/>
        <w:rPr>
          <w:sz w:val="20"/>
          <w:szCs w:val="20"/>
          <w:color w:val="auto"/>
        </w:rPr>
      </w:pPr>
    </w:p>
    <w:p>
      <w:pPr>
        <w:ind w:right="220" w:firstLine="464"/>
        <w:spacing w:after="0" w:line="272" w:lineRule="auto"/>
        <w:rPr>
          <w:sz w:val="20"/>
          <w:szCs w:val="20"/>
          <w:color w:val="auto"/>
        </w:rPr>
      </w:pPr>
      <w:r>
        <w:rPr>
          <w:rFonts w:ascii="Arial" w:cs="Arial" w:eastAsia="Arial" w:hAnsi="Arial"/>
          <w:sz w:val="18"/>
          <w:szCs w:val="18"/>
          <w:color w:val="auto"/>
        </w:rPr>
        <w:t>We are currently in the process of initiating a Phase 3 study that will include a 64-week primary efficacy analysis period and plan to enroll approximately 50 patients 12 years of age and older, randomized 1:1 to DTX301 (1.7 x 10^13 GC/kg dose) or placebo. The co-primary endpoints are the percentage of patients who achieve a response as measured by discontinuation or reduction in baseline disease management and the 24-hour plasma ammonia levels. The first patients in the U.S. are expected to enter an approximate 4-to 8-week baseline screening period around the end of 2021, after which they would receive a single dose of DTX301 or placebo.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UX701 for the treatment of Wilson Disease</w:t>
      </w:r>
    </w:p>
    <w:p>
      <w:pPr>
        <w:spacing w:after="0" w:line="90" w:lineRule="exact"/>
        <w:rPr>
          <w:sz w:val="20"/>
          <w:szCs w:val="20"/>
          <w:color w:val="auto"/>
        </w:rPr>
      </w:pPr>
    </w:p>
    <w:p>
      <w:pPr>
        <w:ind w:right="40" w:firstLine="464"/>
        <w:spacing w:after="0" w:line="290" w:lineRule="auto"/>
        <w:rPr>
          <w:sz w:val="20"/>
          <w:szCs w:val="20"/>
          <w:color w:val="auto"/>
        </w:rPr>
      </w:pPr>
      <w:r>
        <w:rPr>
          <w:rFonts w:ascii="Arial" w:cs="Arial" w:eastAsia="Arial" w:hAnsi="Arial"/>
          <w:sz w:val="17"/>
          <w:szCs w:val="17"/>
          <w:color w:val="auto"/>
        </w:rPr>
        <w:t>In October 2021, we announced that we successfully screened and enrolled multiple patients with Wilson disease into the baseline monitoring period prior to dosing in the seamless Phase 1/2/3 study of UX701, the Cyprus2+ study. The study will enroll patients receiving ongoing standard of care medication for the treatment of Wilson disease (copper chelators and/or zinc) for at least 12 months, with no medication or dose changes for at least six months prior to enrollment. After initial screening that includes testing for pre-existing antibodies to the AAV9 capsid, patients will be evaluated to ensure stable measures of disease during a 6-to 12-week baseline monitoring period (including values for 24-hour urinary copper concentration, complete blood count, and liver function tests) and will then be dosed with either UX701 or placebo.</w:t>
      </w:r>
    </w:p>
    <w:p>
      <w:pPr>
        <w:spacing w:after="0" w:line="27" w:lineRule="exact"/>
        <w:rPr>
          <w:sz w:val="20"/>
          <w:szCs w:val="20"/>
          <w:color w:val="auto"/>
        </w:rPr>
      </w:pPr>
    </w:p>
    <w:p>
      <w:pPr>
        <w:ind w:right="20" w:firstLine="464"/>
        <w:spacing w:after="0" w:line="281" w:lineRule="auto"/>
        <w:rPr>
          <w:sz w:val="20"/>
          <w:szCs w:val="20"/>
          <w:color w:val="auto"/>
        </w:rPr>
      </w:pPr>
      <w:r>
        <w:rPr>
          <w:rFonts w:ascii="Arial" w:cs="Arial" w:eastAsia="Arial" w:hAnsi="Arial"/>
          <w:sz w:val="17"/>
          <w:szCs w:val="17"/>
          <w:color w:val="auto"/>
        </w:rPr>
        <w:t>During the first stage of the study, the safety and efficacy of up to three dose levels of UX701 will be evaluated over the course of 52 weeks and a dose will be selected for further evaluation in stage 2. In this first stage, 27 patients will be randomized into three cohorts in a 2:1 ratio per cohort to receive UX701 at the dose level assigned for the cohort or placebo. The sequential doses to be evaluated are 5.0 x 10^12 GC/kg, 1.0 x 10^13 GC/kg, and 2.0 x 10^13 GC/kg. In stage 2, a new cohort of patients will be randomized 2:1 to receive the selected dose of UX701 or placebo. The primary safety and efficacy analyses will be conducted at Week 52 of stage 2. The primary efficacy endpoints are change in 24-hour urinary copper concentration and percent reduction in standard of care medication by Week 52. After the initial 52-week study period, all patients will have long term follow up in stage 3. Patients randomized to placebo in stages 1 and 2 will be eligible to receive UX701 in stage 3.</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GTX-102 for the treatment of Angelman syndrome, partnered with GeneTx</w:t>
      </w:r>
    </w:p>
    <w:p>
      <w:pPr>
        <w:spacing w:after="0" w:line="104" w:lineRule="exact"/>
        <w:rPr>
          <w:sz w:val="20"/>
          <w:szCs w:val="20"/>
          <w:color w:val="auto"/>
        </w:rPr>
      </w:pPr>
    </w:p>
    <w:p>
      <w:pPr>
        <w:ind w:right="120" w:firstLine="464"/>
        <w:spacing w:after="0" w:line="272" w:lineRule="auto"/>
        <w:rPr>
          <w:sz w:val="20"/>
          <w:szCs w:val="20"/>
          <w:color w:val="auto"/>
        </w:rPr>
      </w:pPr>
      <w:r>
        <w:rPr>
          <w:rFonts w:ascii="Arial" w:cs="Arial" w:eastAsia="Arial" w:hAnsi="Arial"/>
          <w:sz w:val="18"/>
          <w:szCs w:val="18"/>
          <w:color w:val="auto"/>
        </w:rPr>
        <w:t>In September 2021, we and our partner GeneTx announced that the FDA had removed the clinical hold and that GeneTx may begin dosing naïve patients in the Phase 1/2 study of GTX-102 in pediatric patients with Angelman syndrome. GeneTx previously received clearance, under a separate protocol amendment, to begin the Phase 1/2 study in the United Kingdom and Canada. The Phase 1/2 open-label, multiple-dose study evaluates the safety, tolerability, and plasma and cerebrospinal fluid concentrations of GTX-102 in pediatric patients with Angelman syndrome with a genetically confirmed diagnosis of full maternal UBE3A gene deletion.</w:t>
      </w:r>
    </w:p>
    <w:p>
      <w:pPr>
        <w:spacing w:after="0" w:line="56" w:lineRule="exact"/>
        <w:rPr>
          <w:sz w:val="20"/>
          <w:szCs w:val="20"/>
          <w:color w:val="auto"/>
        </w:rPr>
      </w:pPr>
    </w:p>
    <w:p>
      <w:pPr>
        <w:ind w:right="20" w:firstLine="464"/>
        <w:spacing w:after="0" w:line="292" w:lineRule="auto"/>
        <w:rPr>
          <w:sz w:val="20"/>
          <w:szCs w:val="20"/>
          <w:color w:val="auto"/>
        </w:rPr>
      </w:pPr>
      <w:r>
        <w:rPr>
          <w:rFonts w:ascii="Arial" w:cs="Arial" w:eastAsia="Arial" w:hAnsi="Arial"/>
          <w:sz w:val="17"/>
          <w:szCs w:val="17"/>
          <w:color w:val="auto"/>
        </w:rPr>
        <w:t>Under the amended U.S. protocol, eight patients (4 to &lt; 8 years of age) who were not previously treated with GTX-102 will be enrolled into two groups, an active group and an age-matched comparator group. The active group will receive four monthly 2 mg doses of GTX-102, while the comparator group will have limited assessments at baseline and Day 128. Patients in the comparator group will then be eligible to receive GTX-102 under the same dosing strategy as the active group. All U.S. patients who have completed the dose-loading phase will then move to a maintenance phase during which they will receive 2 mg of GTX-102 every three months and continue to be monitored for response and safety.</w:t>
      </w:r>
    </w:p>
    <w:p>
      <w:pPr>
        <w:spacing w:after="0" w:line="39" w:lineRule="exact"/>
        <w:rPr>
          <w:sz w:val="20"/>
          <w:szCs w:val="20"/>
          <w:color w:val="auto"/>
        </w:rPr>
      </w:pPr>
    </w:p>
    <w:p>
      <w:pPr>
        <w:ind w:right="80" w:firstLine="464"/>
        <w:spacing w:after="0" w:line="275" w:lineRule="auto"/>
        <w:rPr>
          <w:sz w:val="20"/>
          <w:szCs w:val="20"/>
          <w:color w:val="auto"/>
        </w:rPr>
      </w:pPr>
      <w:r>
        <w:rPr>
          <w:rFonts w:ascii="Arial" w:cs="Arial" w:eastAsia="Arial" w:hAnsi="Arial"/>
          <w:sz w:val="18"/>
          <w:szCs w:val="18"/>
          <w:color w:val="auto"/>
        </w:rPr>
        <w:t>Under the protocol approved in the U.K. and Canada, approximately 12 patients will be enrolled into two cohorts split by age: patients ages 4 to &lt; 8 years will be enrolled into Cohort 4, and patients ages 8 to &lt; 18 years will be enrolled into Cohort 5. Two in the younger cohort and two in the older cohort will be enrolled first and assessed after two doses by a data safety monitoring board. If recommended, then an additional four patients can be enrolled in each of the two cohorts.</w:t>
      </w:r>
    </w:p>
    <w:p>
      <w:pPr>
        <w:spacing w:after="0" w:line="50" w:lineRule="exact"/>
        <w:rPr>
          <w:sz w:val="20"/>
          <w:szCs w:val="20"/>
          <w:color w:val="auto"/>
        </w:rPr>
      </w:pPr>
    </w:p>
    <w:p>
      <w:pPr>
        <w:ind w:right="140" w:firstLine="464"/>
        <w:spacing w:after="0" w:line="272" w:lineRule="auto"/>
        <w:rPr>
          <w:sz w:val="20"/>
          <w:szCs w:val="20"/>
          <w:color w:val="auto"/>
        </w:rPr>
      </w:pPr>
      <w:r>
        <w:rPr>
          <w:rFonts w:ascii="Arial" w:cs="Arial" w:eastAsia="Arial" w:hAnsi="Arial"/>
          <w:sz w:val="18"/>
          <w:szCs w:val="18"/>
          <w:color w:val="auto"/>
        </w:rPr>
        <w:t>The starting doses in Cohorts 4 and 5 will be 3.3 and 5 mg, respectively. Patients will receive three to four monthly doses, titrated individually through smaller steps than the first three cohorts in the original study with dose increases based on response and enhanced safety monitoring. Patients will then move to a maintenance phase during which they will receive GTX-102 every three months and continue to be monitored for response and safety. In this phase, individual dose titration may continue if safety is sustained, and the clinical response is not much improved in at least 2 domains up to a maximum dose of 14 mg.</w:t>
      </w:r>
    </w:p>
    <w:p>
      <w:pPr>
        <w:spacing w:after="0" w:line="56" w:lineRule="exact"/>
        <w:rPr>
          <w:sz w:val="20"/>
          <w:szCs w:val="20"/>
          <w:color w:val="auto"/>
        </w:rPr>
      </w:pPr>
    </w:p>
    <w:p>
      <w:pPr>
        <w:jc w:val="both"/>
        <w:ind w:right="160" w:firstLine="469"/>
        <w:spacing w:after="0" w:line="279" w:lineRule="auto"/>
        <w:rPr>
          <w:sz w:val="20"/>
          <w:szCs w:val="20"/>
          <w:color w:val="auto"/>
        </w:rPr>
      </w:pPr>
      <w:r>
        <w:rPr>
          <w:rFonts w:ascii="Arial" w:cs="Arial" w:eastAsia="Arial" w:hAnsi="Arial"/>
          <w:sz w:val="18"/>
          <w:szCs w:val="18"/>
          <w:color w:val="auto"/>
        </w:rPr>
        <w:t>In October 2021, we announced that the first patients in Canada have been dosed in the Phase 1/2 study, with dosing in the U.K. and U.S. currently expected to begin later in the fourth quarter of 2021. A preliminary update on the first four patients in the study is expected to be available around the end of 2021, with additional data anticipated in mid-2022.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08" w:lineRule="exact"/>
        <w:rPr>
          <w:sz w:val="20"/>
          <w:szCs w:val="20"/>
          <w:color w:val="auto"/>
        </w:rPr>
      </w:pPr>
    </w:p>
    <w:p>
      <w:pPr>
        <w:ind w:right="120" w:firstLine="469"/>
        <w:spacing w:after="0" w:line="275" w:lineRule="auto"/>
        <w:rPr>
          <w:sz w:val="20"/>
          <w:szCs w:val="20"/>
          <w:color w:val="auto"/>
        </w:rPr>
      </w:pPr>
      <w:r>
        <w:rPr>
          <w:rFonts w:ascii="Arial" w:cs="Arial" w:eastAsia="Arial" w:hAnsi="Arial"/>
          <w:sz w:val="18"/>
          <w:szCs w:val="18"/>
          <w:color w:val="auto"/>
        </w:rPr>
        <w:t>We are a biopharmaceutical company with a limited operating history. To date, we have invested substantially all of our efforts and financial resources in identifying, acquiring, and developing our products and product candidates, including conducting clinical studies and providing selling, general and administrative support for these operations. To date, we have funded our operations primarily from the sale of our equity securities, the sale of certain future royalties, and strategic collaboration arrangements.</w:t>
      </w:r>
    </w:p>
    <w:p>
      <w:pPr>
        <w:spacing w:after="0" w:line="50" w:lineRule="exact"/>
        <w:rPr>
          <w:sz w:val="20"/>
          <w:szCs w:val="20"/>
          <w:color w:val="auto"/>
        </w:rPr>
      </w:pPr>
    </w:p>
    <w:p>
      <w:pPr>
        <w:ind w:firstLine="469"/>
        <w:spacing w:after="0" w:line="309" w:lineRule="auto"/>
        <w:rPr>
          <w:sz w:val="20"/>
          <w:szCs w:val="20"/>
          <w:color w:val="auto"/>
        </w:rPr>
      </w:pPr>
      <w:r>
        <w:rPr>
          <w:rFonts w:ascii="Arial" w:cs="Arial" w:eastAsia="Arial" w:hAnsi="Arial"/>
          <w:sz w:val="16"/>
          <w:szCs w:val="16"/>
          <w:color w:val="auto"/>
        </w:rPr>
        <w:t>We have incurred net losses in each year since inception. Our net loss was $73.0 million and $331.6 million for the three and nine months ended September 30, 2021, respectively. Our net loss was $68.8 million and $162.6 for the three and nine months ended September 30, 2020, respectively. Net loss for the three and nine months ended September 30, 2021 included a gain of $25.7 million and a loss of $26.0 million, respectively, resulting from changes in fair value of our investments in Arcturus Therapeutics Holdings Inc. (Arcturus) and Solid Biosciences Inc. (Solid) equity securities. Net loss for the three and nine months ended September 30, 2020 included a loss of $11.5 million and a gain of $91.3 million, respectively, resulting from changes in the fair value of our investment in Arcturus. Other than changes in the fair value of our investments, substantially all of our net losses have resulted from costs incurred in connection with our research and development programs and from selling, general and administrative costs associated with our operations.</w:t>
      </w:r>
    </w:p>
    <w:p>
      <w:pPr>
        <w:spacing w:after="0" w:line="29"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For the three months ended September 30, 2021, our total revenues increased to $81.6 million, compared to $81.5 million for the same period in 2020 and for the nine months ended September 30, 2021, increased to $268.0 million, compared to $179.5 million for the same period in 2020. Revenue for the three months ended September 30, 2021 and 2020 included $12.1 million and $32.9 million, respectively, and for the nine months ended September 30, 2021 and 2020 included $76.8 million and $51.7 million, respectively, in revenue from our collaboration and license agreement with Daiichi Sankyo Co., Ltd. (Daiichi Sankyo) which we executed in March 2020. The remainder of the increase was driven by higher revenue from Crysvita collaboration revenue in the profit-share territory, an increase in revenue for our approved products, and an increase in collaboration royalty revenue.</w:t>
      </w:r>
    </w:p>
    <w:p>
      <w:pPr>
        <w:spacing w:after="0" w:line="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2021, we had $941.4 million in available cash, cash equivalents, and marketable debt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4" w:lineRule="exact"/>
        <w:rPr>
          <w:sz w:val="20"/>
          <w:szCs w:val="20"/>
          <w:color w:val="auto"/>
        </w:rPr>
      </w:pPr>
    </w:p>
    <w:p>
      <w:pPr>
        <w:ind w:right="80" w:firstLine="509"/>
        <w:spacing w:after="0" w:line="270"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U.S. generally accepted accounting principles, or GAAP.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8" w:name="page29"/>
    <w:bookmarkEnd w:id="28"/>
    <w:p>
      <w:pPr>
        <w:ind w:right="260"/>
        <w:spacing w:after="0" w:line="303" w:lineRule="auto"/>
        <w:rPr>
          <w:sz w:val="20"/>
          <w:szCs w:val="20"/>
          <w:color w:val="auto"/>
        </w:rPr>
      </w:pPr>
      <w:r>
        <w:rPr>
          <w:rFonts w:ascii="Arial" w:cs="Arial" w:eastAsia="Arial" w:hAnsi="Arial"/>
          <w:sz w:val="17"/>
          <w:szCs w:val="17"/>
          <w:color w:val="auto"/>
        </w:rPr>
        <w:t>from these estimates under different assumptions or conditions. There have been no material changes in our critical accounting policies during the nine months ended September 30, 2021, as compared to those disclosed in “Management’s Discussion and Analysis of Financial Condition and Results of Operations — Critical Accounting Policies and Significant Judgments and Estimates” in our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2021 to the three and nine months ended September 30,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(dollars in thousands)</w:t>
      </w:r>
    </w:p>
    <w:p>
      <w:pPr>
        <w:spacing w:after="0" w:line="379" w:lineRule="exact"/>
        <w:rPr>
          <w:sz w:val="20"/>
          <w:szCs w:val="20"/>
          <w:color w:val="auto"/>
        </w:rPr>
      </w:pPr>
    </w:p>
    <w:tbl>
      <w:tblPr>
        <w:tblLayout w:type="fixed"/>
        <w:tblInd w:w="580" w:type="dxa"/>
        <w:tblCellMar>
          <w:top w:w="0" w:type="dxa"/>
          <w:left w:w="0" w:type="dxa"/>
          <w:bottom w:w="0" w:type="dxa"/>
          <w:right w:w="0" w:type="dxa"/>
        </w:tblCellMar>
      </w:tblPr>
      <w:tr>
        <w:trPr>
          <w:trHeight w:val="198"/>
        </w:trPr>
        <w:tc>
          <w:tcPr>
            <w:tcW w:w="4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Dollar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r>
      <w:tr>
        <w:trPr>
          <w:trHeight w:val="190"/>
        </w:trPr>
        <w:tc>
          <w:tcPr>
            <w:tcW w:w="4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Change</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r>
      <w:tr>
        <w:trPr>
          <w:trHeight w:val="256"/>
        </w:trPr>
        <w:tc>
          <w:tcPr>
            <w:tcW w:w="402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Collaboration and license revenue:</w:t>
            </w:r>
          </w:p>
        </w:tc>
        <w:tc>
          <w:tcPr>
            <w:tcW w:w="1000" w:type="dxa"/>
            <w:vAlign w:val="bottom"/>
            <w:tcBorders>
              <w:top w:val="single" w:sz="8" w:color="auto"/>
            </w:tcBorders>
            <w:shd w:val="clear" w:color="auto" w:fill="CCECFF"/>
          </w:tcPr>
          <w:p>
            <w:pPr>
              <w:spacing w:after="0"/>
              <w:rPr>
                <w:sz w:val="22"/>
                <w:szCs w:val="22"/>
                <w:color w:val="auto"/>
              </w:rPr>
            </w:pPr>
          </w:p>
        </w:tc>
        <w:tc>
          <w:tcPr>
            <w:tcW w:w="640" w:type="dxa"/>
            <w:vAlign w:val="bottom"/>
            <w:tcBorders>
              <w:top w:val="single" w:sz="8" w:color="auto"/>
            </w:tcBorders>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960" w:type="dxa"/>
            <w:vAlign w:val="bottom"/>
            <w:tcBorders>
              <w:top w:val="single" w:sz="8" w:color="auto"/>
            </w:tcBorders>
            <w:shd w:val="clear" w:color="auto" w:fill="CCECFF"/>
          </w:tcPr>
          <w:p>
            <w:pPr>
              <w:spacing w:after="0"/>
              <w:rPr>
                <w:sz w:val="22"/>
                <w:szCs w:val="22"/>
                <w:color w:val="auto"/>
              </w:rPr>
            </w:pPr>
          </w:p>
        </w:tc>
        <w:tc>
          <w:tcPr>
            <w:tcW w:w="620" w:type="dxa"/>
            <w:vAlign w:val="bottom"/>
            <w:tcBorders>
              <w:top w:val="single" w:sz="8" w:color="auto"/>
            </w:tcBorders>
            <w:shd w:val="clear" w:color="auto" w:fill="CCECFF"/>
          </w:tcPr>
          <w:p>
            <w:pPr>
              <w:spacing w:after="0"/>
              <w:rPr>
                <w:sz w:val="22"/>
                <w:szCs w:val="22"/>
                <w:color w:val="auto"/>
              </w:rPr>
            </w:pPr>
          </w:p>
        </w:tc>
        <w:tc>
          <w:tcPr>
            <w:tcW w:w="240" w:type="dxa"/>
            <w:vAlign w:val="bottom"/>
            <w:tcBorders>
              <w:right w:val="single" w:sz="8" w:color="CCECFF"/>
            </w:tcBorders>
            <w:shd w:val="clear" w:color="auto" w:fill="CCECFF"/>
          </w:tcPr>
          <w:p>
            <w:pPr>
              <w:spacing w:after="0"/>
              <w:rPr>
                <w:sz w:val="22"/>
                <w:szCs w:val="22"/>
                <w:color w:val="auto"/>
              </w:rPr>
            </w:pPr>
          </w:p>
        </w:tc>
        <w:tc>
          <w:tcPr>
            <w:tcW w:w="180" w:type="dxa"/>
            <w:vAlign w:val="bottom"/>
            <w:tcBorders>
              <w:top w:val="single" w:sz="8" w:color="auto"/>
            </w:tcBorders>
            <w:shd w:val="clear" w:color="auto" w:fill="CCECFF"/>
          </w:tcPr>
          <w:p>
            <w:pPr>
              <w:spacing w:after="0"/>
              <w:rPr>
                <w:sz w:val="22"/>
                <w:szCs w:val="22"/>
                <w:color w:val="auto"/>
              </w:rPr>
            </w:pPr>
          </w:p>
        </w:tc>
        <w:tc>
          <w:tcPr>
            <w:tcW w:w="860" w:type="dxa"/>
            <w:vAlign w:val="bottom"/>
            <w:tcBorders>
              <w:top w:val="single" w:sz="8" w:color="auto"/>
            </w:tcBorders>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860" w:type="dxa"/>
            <w:vAlign w:val="bottom"/>
            <w:tcBorders>
              <w:top w:val="single" w:sz="8" w:color="auto"/>
            </w:tcBorders>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r>
      <w:tr>
        <w:trPr>
          <w:trHeight w:val="242"/>
        </w:trPr>
        <w:tc>
          <w:tcPr>
            <w:tcW w:w="4020" w:type="dxa"/>
            <w:vAlign w:val="bottom"/>
            <w:gridSpan w:val="2"/>
          </w:tcPr>
          <w:p>
            <w:pPr>
              <w:ind w:left="100"/>
              <w:spacing w:after="0"/>
              <w:rPr>
                <w:sz w:val="20"/>
                <w:szCs w:val="20"/>
                <w:color w:val="auto"/>
              </w:rPr>
            </w:pPr>
            <w:r>
              <w:rPr>
                <w:rFonts w:ascii="Arial" w:cs="Arial" w:eastAsia="Arial" w:hAnsi="Arial"/>
                <w:sz w:val="18"/>
                <w:szCs w:val="18"/>
                <w:color w:val="auto"/>
              </w:rPr>
              <w:t>Crysvita collaboration revenue in profit-share</w:t>
            </w: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7"/>
        </w:trPr>
        <w:tc>
          <w:tcPr>
            <w:tcW w:w="4020" w:type="dxa"/>
            <w:vAlign w:val="bottom"/>
            <w:gridSpan w:val="2"/>
          </w:tcPr>
          <w:p>
            <w:pPr>
              <w:ind w:left="280"/>
              <w:spacing w:after="0"/>
              <w:rPr>
                <w:sz w:val="20"/>
                <w:szCs w:val="20"/>
                <w:color w:val="auto"/>
              </w:rPr>
            </w:pPr>
            <w:r>
              <w:rPr>
                <w:rFonts w:ascii="Arial" w:cs="Arial" w:eastAsia="Arial" w:hAnsi="Arial"/>
                <w:sz w:val="18"/>
                <w:szCs w:val="18"/>
                <w:color w:val="auto"/>
              </w:rPr>
              <w:t>territory</w:t>
            </w:r>
          </w:p>
        </w:tc>
        <w:tc>
          <w:tcPr>
            <w:tcW w:w="1000" w:type="dxa"/>
            <w:vAlign w:val="bottom"/>
          </w:tcPr>
          <w:p>
            <w:pPr>
              <w:jc w:val="right"/>
              <w:ind w:right="823"/>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42,971</w:t>
            </w:r>
          </w:p>
        </w:tc>
        <w:tc>
          <w:tcPr>
            <w:tcW w:w="120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34,058</w:t>
            </w:r>
          </w:p>
        </w:tc>
        <w:tc>
          <w:tcPr>
            <w:tcW w:w="240" w:type="dxa"/>
            <w:vAlign w:val="bottom"/>
          </w:tcPr>
          <w:p>
            <w:pPr>
              <w:spacing w:after="0"/>
              <w:rPr>
                <w:sz w:val="20"/>
                <w:szCs w:val="20"/>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8,913</w:t>
            </w: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26 %</w:t>
            </w:r>
          </w:p>
        </w:tc>
      </w:tr>
      <w:tr>
        <w:trPr>
          <w:trHeight w:val="263"/>
        </w:trPr>
        <w:tc>
          <w:tcPr>
            <w:tcW w:w="4020" w:type="dxa"/>
            <w:vAlign w:val="bottom"/>
            <w:gridSpan w:val="2"/>
            <w:shd w:val="clear" w:color="auto" w:fill="CCECFF"/>
          </w:tcPr>
          <w:p>
            <w:pPr>
              <w:ind w:left="100"/>
              <w:spacing w:after="0"/>
              <w:rPr>
                <w:sz w:val="20"/>
                <w:szCs w:val="20"/>
                <w:color w:val="auto"/>
              </w:rPr>
            </w:pPr>
            <w:r>
              <w:rPr>
                <w:rFonts w:ascii="Arial" w:cs="Arial" w:eastAsia="Arial" w:hAnsi="Arial"/>
                <w:sz w:val="18"/>
                <w:szCs w:val="18"/>
                <w:color w:val="auto"/>
              </w:rPr>
              <w:t>Crysvita royalty revenue in European territory</w:t>
            </w:r>
          </w:p>
        </w:tc>
        <w:tc>
          <w:tcPr>
            <w:tcW w:w="1000" w:type="dxa"/>
            <w:vAlign w:val="bottom"/>
            <w:shd w:val="clear" w:color="auto" w:fill="CCECFF"/>
          </w:tcPr>
          <w:p>
            <w:pPr>
              <w:spacing w:after="0"/>
              <w:rPr>
                <w:sz w:val="22"/>
                <w:szCs w:val="2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CFF"/>
          </w:tcPr>
          <w:p>
            <w:pPr>
              <w:spacing w:after="0"/>
              <w:rPr>
                <w:sz w:val="22"/>
                <w:szCs w:val="22"/>
                <w:color w:val="auto"/>
              </w:rPr>
            </w:pPr>
          </w:p>
        </w:tc>
        <w:tc>
          <w:tcPr>
            <w:tcW w:w="960" w:type="dxa"/>
            <w:vAlign w:val="bottom"/>
            <w:shd w:val="clear" w:color="auto" w:fill="CCECFF"/>
          </w:tcPr>
          <w:p>
            <w:pPr>
              <w:spacing w:after="0"/>
              <w:rPr>
                <w:sz w:val="22"/>
                <w:szCs w:val="22"/>
                <w:color w:val="auto"/>
              </w:rPr>
            </w:pPr>
          </w:p>
        </w:tc>
        <w:tc>
          <w:tcPr>
            <w:tcW w:w="86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CFF"/>
          </w:tcPr>
          <w:p>
            <w:pPr>
              <w:spacing w:after="0"/>
              <w:rPr>
                <w:sz w:val="22"/>
                <w:szCs w:val="22"/>
                <w:color w:val="auto"/>
              </w:rPr>
            </w:pPr>
          </w:p>
        </w:tc>
      </w:tr>
      <w:tr>
        <w:trPr>
          <w:trHeight w:val="257"/>
        </w:trPr>
        <w:tc>
          <w:tcPr>
            <w:tcW w:w="4020" w:type="dxa"/>
            <w:vAlign w:val="bottom"/>
            <w:gridSpan w:val="2"/>
          </w:tcPr>
          <w:p>
            <w:pPr>
              <w:ind w:left="100"/>
              <w:spacing w:after="0"/>
              <w:rPr>
                <w:sz w:val="20"/>
                <w:szCs w:val="20"/>
                <w:color w:val="auto"/>
              </w:rPr>
            </w:pPr>
            <w:r>
              <w:rPr>
                <w:rFonts w:ascii="Arial" w:cs="Arial" w:eastAsia="Arial" w:hAnsi="Arial"/>
                <w:sz w:val="18"/>
                <w:szCs w:val="18"/>
                <w:color w:val="auto"/>
              </w:rPr>
              <w:t>Daiichi Sankyo</w:t>
            </w:r>
          </w:p>
        </w:tc>
        <w:tc>
          <w:tcPr>
            <w:tcW w:w="10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12,061</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32,866</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(20,805 )</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-63 %</w:t>
            </w: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250"/>
        </w:trPr>
        <w:tc>
          <w:tcPr>
            <w:tcW w:w="4020" w:type="dxa"/>
            <w:vAlign w:val="bottom"/>
            <w:gridSpan w:val="2"/>
            <w:shd w:val="clear" w:color="auto" w:fill="CCECFF"/>
          </w:tcPr>
          <w:p>
            <w:pPr>
              <w:ind w:left="180"/>
              <w:spacing w:after="0"/>
              <w:rPr>
                <w:sz w:val="20"/>
                <w:szCs w:val="20"/>
                <w:color w:val="auto"/>
              </w:rPr>
            </w:pPr>
            <w:r>
              <w:rPr>
                <w:rFonts w:ascii="Arial" w:cs="Arial" w:eastAsia="Arial" w:hAnsi="Arial"/>
                <w:sz w:val="18"/>
                <w:szCs w:val="18"/>
                <w:color w:val="auto"/>
              </w:rPr>
              <w:t>Total collaboration and license revenue</w:t>
            </w:r>
          </w:p>
        </w:tc>
        <w:tc>
          <w:tcPr>
            <w:tcW w:w="1000" w:type="dxa"/>
            <w:vAlign w:val="bottom"/>
            <w:shd w:val="clear" w:color="auto" w:fill="CCECFF"/>
          </w:tcPr>
          <w:p>
            <w:pPr>
              <w:spacing w:after="0"/>
              <w:rPr>
                <w:sz w:val="21"/>
                <w:szCs w:val="2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55,048</w:t>
            </w:r>
          </w:p>
        </w:tc>
        <w:tc>
          <w:tcPr>
            <w:tcW w:w="240" w:type="dxa"/>
            <w:vAlign w:val="bottom"/>
            <w:shd w:val="clear" w:color="auto" w:fill="CCECFF"/>
          </w:tcPr>
          <w:p>
            <w:pPr>
              <w:spacing w:after="0"/>
              <w:rPr>
                <w:sz w:val="21"/>
                <w:szCs w:val="21"/>
                <w:color w:val="auto"/>
              </w:rPr>
            </w:pPr>
          </w:p>
        </w:tc>
        <w:tc>
          <w:tcPr>
            <w:tcW w:w="96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66,924</w:t>
            </w:r>
          </w:p>
        </w:tc>
        <w:tc>
          <w:tcPr>
            <w:tcW w:w="240" w:type="dxa"/>
            <w:vAlign w:val="bottom"/>
            <w:tcBorders>
              <w:right w:val="single" w:sz="8" w:color="CCECFF"/>
            </w:tcBorders>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(11,876 )</w:t>
            </w:r>
          </w:p>
        </w:tc>
        <w:tc>
          <w:tcPr>
            <w:tcW w:w="11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-18 %</w:t>
            </w:r>
          </w:p>
        </w:tc>
      </w:tr>
      <w:tr>
        <w:trPr>
          <w:trHeight w:val="243"/>
        </w:trPr>
        <w:tc>
          <w:tcPr>
            <w:tcW w:w="4020" w:type="dxa"/>
            <w:vAlign w:val="bottom"/>
            <w:tcBorders>
              <w:top w:val="single" w:sz="8" w:color="CCECFF"/>
            </w:tcBorders>
            <w:gridSpan w:val="2"/>
          </w:tcPr>
          <w:p>
            <w:pPr>
              <w:spacing w:after="0"/>
              <w:rPr>
                <w:sz w:val="20"/>
                <w:szCs w:val="20"/>
                <w:color w:val="auto"/>
              </w:rPr>
            </w:pPr>
            <w:r>
              <w:rPr>
                <w:rFonts w:ascii="Arial" w:cs="Arial" w:eastAsia="Arial" w:hAnsi="Arial"/>
                <w:sz w:val="18"/>
                <w:szCs w:val="18"/>
                <w:color w:val="auto"/>
              </w:rPr>
              <w:t>Product sales:</w:t>
            </w:r>
          </w:p>
        </w:tc>
        <w:tc>
          <w:tcPr>
            <w:tcW w:w="10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40" w:type="dxa"/>
            <w:vAlign w:val="bottom"/>
            <w:tcBorders>
              <w:top w:val="single" w:sz="8" w:color="CCECFF"/>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40" w:type="dxa"/>
            <w:vAlign w:val="bottom"/>
            <w:tcBorders>
              <w:top w:val="single" w:sz="8" w:color="CCEC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20" w:type="dxa"/>
            <w:vAlign w:val="bottom"/>
            <w:tcBorders>
              <w:top w:val="single" w:sz="8" w:color="CCECFF"/>
            </w:tcBorders>
          </w:tcPr>
          <w:p>
            <w:pPr>
              <w:spacing w:after="0"/>
              <w:rPr>
                <w:sz w:val="21"/>
                <w:szCs w:val="21"/>
                <w:color w:val="auto"/>
              </w:rPr>
            </w:pPr>
          </w:p>
        </w:tc>
        <w:tc>
          <w:tcPr>
            <w:tcW w:w="860" w:type="dxa"/>
            <w:vAlign w:val="bottom"/>
            <w:tcBorders>
              <w:top w:val="single" w:sz="8" w:color="CCECFF"/>
            </w:tcBorders>
          </w:tcPr>
          <w:p>
            <w:pPr>
              <w:spacing w:after="0"/>
              <w:rPr>
                <w:sz w:val="21"/>
                <w:szCs w:val="21"/>
                <w:color w:val="auto"/>
              </w:rPr>
            </w:pPr>
          </w:p>
        </w:tc>
        <w:tc>
          <w:tcPr>
            <w:tcW w:w="260" w:type="dxa"/>
            <w:vAlign w:val="bottom"/>
            <w:tcBorders>
              <w:top w:val="single" w:sz="8" w:color="CCECFF"/>
            </w:tcBorders>
          </w:tcPr>
          <w:p>
            <w:pPr>
              <w:spacing w:after="0"/>
              <w:rPr>
                <w:sz w:val="21"/>
                <w:szCs w:val="21"/>
                <w:color w:val="auto"/>
              </w:rPr>
            </w:pPr>
          </w:p>
        </w:tc>
      </w:tr>
      <w:tr>
        <w:trPr>
          <w:trHeight w:val="263"/>
        </w:trPr>
        <w:tc>
          <w:tcPr>
            <w:tcW w:w="4020" w:type="dxa"/>
            <w:vAlign w:val="bottom"/>
            <w:gridSpan w:val="2"/>
            <w:shd w:val="clear" w:color="auto" w:fill="CCECFF"/>
          </w:tcPr>
          <w:p>
            <w:pPr>
              <w:ind w:left="100"/>
              <w:spacing w:after="0"/>
              <w:rPr>
                <w:sz w:val="20"/>
                <w:szCs w:val="20"/>
                <w:color w:val="auto"/>
              </w:rPr>
            </w:pPr>
            <w:r>
              <w:rPr>
                <w:rFonts w:ascii="Arial" w:cs="Arial" w:eastAsia="Arial" w:hAnsi="Arial"/>
                <w:sz w:val="18"/>
                <w:szCs w:val="18"/>
                <w:color w:val="auto"/>
              </w:rPr>
              <w:t>Crysvita</w:t>
            </w:r>
          </w:p>
        </w:tc>
        <w:tc>
          <w:tcPr>
            <w:tcW w:w="1000" w:type="dxa"/>
            <w:vAlign w:val="bottom"/>
            <w:shd w:val="clear" w:color="auto" w:fill="CCECFF"/>
          </w:tcPr>
          <w:p>
            <w:pPr>
              <w:spacing w:after="0"/>
              <w:rPr>
                <w:sz w:val="22"/>
                <w:szCs w:val="2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7,378</w:t>
            </w:r>
          </w:p>
        </w:tc>
        <w:tc>
          <w:tcPr>
            <w:tcW w:w="240" w:type="dxa"/>
            <w:vAlign w:val="bottom"/>
            <w:shd w:val="clear" w:color="auto" w:fill="CCECFF"/>
          </w:tcPr>
          <w:p>
            <w:pPr>
              <w:spacing w:after="0"/>
              <w:rPr>
                <w:sz w:val="22"/>
                <w:szCs w:val="22"/>
                <w:color w:val="auto"/>
              </w:rPr>
            </w:pPr>
          </w:p>
        </w:tc>
        <w:tc>
          <w:tcPr>
            <w:tcW w:w="960" w:type="dxa"/>
            <w:vAlign w:val="bottom"/>
            <w:shd w:val="clear" w:color="auto" w:fill="CCECFF"/>
          </w:tcPr>
          <w:p>
            <w:pPr>
              <w:spacing w:after="0"/>
              <w:rPr>
                <w:sz w:val="22"/>
                <w:szCs w:val="2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3,277</w:t>
            </w:r>
          </w:p>
        </w:tc>
        <w:tc>
          <w:tcPr>
            <w:tcW w:w="240" w:type="dxa"/>
            <w:vAlign w:val="bottom"/>
            <w:tcBorders>
              <w:right w:val="single" w:sz="8" w:color="CCECFF"/>
            </w:tcBorders>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4,101</w:t>
            </w:r>
          </w:p>
        </w:tc>
        <w:tc>
          <w:tcPr>
            <w:tcW w:w="220" w:type="dxa"/>
            <w:vAlign w:val="bottom"/>
            <w:shd w:val="clear" w:color="auto" w:fill="CCECFF"/>
          </w:tcPr>
          <w:p>
            <w:pPr>
              <w:spacing w:after="0"/>
              <w:rPr>
                <w:sz w:val="22"/>
                <w:szCs w:val="22"/>
                <w:color w:val="auto"/>
              </w:rPr>
            </w:pPr>
          </w:p>
        </w:tc>
        <w:tc>
          <w:tcPr>
            <w:tcW w:w="11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125 %</w:t>
            </w:r>
          </w:p>
        </w:tc>
      </w:tr>
      <w:tr>
        <w:trPr>
          <w:trHeight w:val="250"/>
        </w:trPr>
        <w:tc>
          <w:tcPr>
            <w:tcW w:w="4020" w:type="dxa"/>
            <w:vAlign w:val="bottom"/>
            <w:gridSpan w:val="2"/>
          </w:tcPr>
          <w:p>
            <w:pPr>
              <w:ind w:left="100"/>
              <w:spacing w:after="0"/>
              <w:rPr>
                <w:sz w:val="20"/>
                <w:szCs w:val="20"/>
                <w:color w:val="auto"/>
              </w:rPr>
            </w:pPr>
            <w:r>
              <w:rPr>
                <w:rFonts w:ascii="Arial" w:cs="Arial" w:eastAsia="Arial" w:hAnsi="Arial"/>
                <w:sz w:val="18"/>
                <w:szCs w:val="18"/>
                <w:color w:val="auto"/>
              </w:rPr>
              <w:t>Mepsevii</w:t>
            </w:r>
          </w:p>
        </w:tc>
        <w:tc>
          <w:tcPr>
            <w:tcW w:w="1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3,918</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4,076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(158 )</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r>
      <w:tr>
        <w:trPr>
          <w:trHeight w:val="263"/>
        </w:trPr>
        <w:tc>
          <w:tcPr>
            <w:tcW w:w="4020" w:type="dxa"/>
            <w:vAlign w:val="bottom"/>
            <w:tcBorders>
              <w:bottom w:val="single" w:sz="8" w:color="CCECFF"/>
            </w:tcBorders>
            <w:gridSpan w:val="2"/>
            <w:shd w:val="clear" w:color="auto" w:fill="CCECFF"/>
          </w:tcPr>
          <w:p>
            <w:pPr>
              <w:ind w:left="100"/>
              <w:spacing w:after="0"/>
              <w:rPr>
                <w:sz w:val="20"/>
                <w:szCs w:val="20"/>
                <w:color w:val="auto"/>
              </w:rPr>
            </w:pPr>
            <w:r>
              <w:rPr>
                <w:rFonts w:ascii="Arial" w:cs="Arial" w:eastAsia="Arial" w:hAnsi="Arial"/>
                <w:sz w:val="18"/>
                <w:szCs w:val="18"/>
                <w:color w:val="auto"/>
              </w:rPr>
              <w:t>Dojolvi</w:t>
            </w:r>
          </w:p>
        </w:tc>
        <w:tc>
          <w:tcPr>
            <w:tcW w:w="1000" w:type="dxa"/>
            <w:vAlign w:val="bottom"/>
            <w:tcBorders>
              <w:bottom w:val="single" w:sz="8" w:color="auto"/>
            </w:tcBorders>
            <w:shd w:val="clear" w:color="auto" w:fill="CCECFF"/>
          </w:tcPr>
          <w:p>
            <w:pPr>
              <w:spacing w:after="0"/>
              <w:rPr>
                <w:sz w:val="22"/>
                <w:szCs w:val="2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10,654</w:t>
            </w:r>
          </w:p>
        </w:tc>
        <w:tc>
          <w:tcPr>
            <w:tcW w:w="240" w:type="dxa"/>
            <w:vAlign w:val="bottom"/>
            <w:tcBorders>
              <w:bottom w:val="single" w:sz="8" w:color="CCECFF"/>
            </w:tcBorders>
            <w:shd w:val="clear" w:color="auto" w:fill="CCECFF"/>
          </w:tcPr>
          <w:p>
            <w:pPr>
              <w:spacing w:after="0"/>
              <w:rPr>
                <w:sz w:val="22"/>
                <w:szCs w:val="22"/>
                <w:color w:val="auto"/>
              </w:rPr>
            </w:pPr>
          </w:p>
        </w:tc>
        <w:tc>
          <w:tcPr>
            <w:tcW w:w="960" w:type="dxa"/>
            <w:vAlign w:val="bottom"/>
            <w:tcBorders>
              <w:bottom w:val="single" w:sz="8" w:color="auto"/>
            </w:tcBorders>
            <w:shd w:val="clear" w:color="auto" w:fill="CCECFF"/>
          </w:tcPr>
          <w:p>
            <w:pPr>
              <w:spacing w:after="0"/>
              <w:rPr>
                <w:sz w:val="22"/>
                <w:szCs w:val="2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3,862</w:t>
            </w:r>
          </w:p>
        </w:tc>
        <w:tc>
          <w:tcPr>
            <w:tcW w:w="240" w:type="dxa"/>
            <w:vAlign w:val="bottom"/>
            <w:tcBorders>
              <w:bottom w:val="single" w:sz="8" w:color="CCECFF"/>
              <w:right w:val="single" w:sz="8" w:color="CCECFF"/>
            </w:tcBorders>
            <w:shd w:val="clear" w:color="auto" w:fill="CCECFF"/>
          </w:tcPr>
          <w:p>
            <w:pPr>
              <w:spacing w:after="0"/>
              <w:rPr>
                <w:sz w:val="22"/>
                <w:szCs w:val="22"/>
                <w:color w:val="auto"/>
              </w:rPr>
            </w:pPr>
          </w:p>
        </w:tc>
        <w:tc>
          <w:tcPr>
            <w:tcW w:w="180" w:type="dxa"/>
            <w:vAlign w:val="bottom"/>
            <w:tcBorders>
              <w:bottom w:val="single" w:sz="8" w:color="auto"/>
            </w:tcBorders>
            <w:shd w:val="clear" w:color="auto" w:fill="CCECFF"/>
          </w:tcPr>
          <w:p>
            <w:pPr>
              <w:spacing w:after="0"/>
              <w:rPr>
                <w:sz w:val="22"/>
                <w:szCs w:val="22"/>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6,792</w:t>
            </w:r>
          </w:p>
        </w:tc>
        <w:tc>
          <w:tcPr>
            <w:tcW w:w="220" w:type="dxa"/>
            <w:vAlign w:val="bottom"/>
            <w:tcBorders>
              <w:bottom w:val="single" w:sz="8" w:color="CCECFF"/>
            </w:tcBorders>
            <w:shd w:val="clear" w:color="auto" w:fill="CCECFF"/>
          </w:tcPr>
          <w:p>
            <w:pPr>
              <w:spacing w:after="0"/>
              <w:rPr>
                <w:sz w:val="22"/>
                <w:szCs w:val="22"/>
                <w:color w:val="auto"/>
              </w:rPr>
            </w:pPr>
          </w:p>
        </w:tc>
        <w:tc>
          <w:tcPr>
            <w:tcW w:w="1120" w:type="dxa"/>
            <w:vAlign w:val="bottom"/>
            <w:tcBorders>
              <w:bottom w:val="single" w:sz="8" w:color="CCECFF"/>
            </w:tcBorders>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176 %</w:t>
            </w:r>
          </w:p>
        </w:tc>
      </w:tr>
      <w:tr>
        <w:trPr>
          <w:trHeight w:val="250"/>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Total product sales</w:t>
            </w:r>
          </w:p>
        </w:tc>
        <w:tc>
          <w:tcPr>
            <w:tcW w:w="10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21,950</w:t>
            </w:r>
          </w:p>
        </w:tc>
        <w:tc>
          <w:tcPr>
            <w:tcW w:w="24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11,215</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10,735</w:t>
            </w:r>
          </w:p>
        </w:tc>
        <w:tc>
          <w:tcPr>
            <w:tcW w:w="2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96 %</w:t>
            </w:r>
          </w:p>
        </w:tc>
      </w:tr>
      <w:tr>
        <w:trPr>
          <w:trHeight w:val="250"/>
        </w:trPr>
        <w:tc>
          <w:tcPr>
            <w:tcW w:w="402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Crysvita non-cash collaboration royalty revenue</w:t>
            </w:r>
          </w:p>
        </w:tc>
        <w:tc>
          <w:tcPr>
            <w:tcW w:w="1000" w:type="dxa"/>
            <w:vAlign w:val="bottom"/>
            <w:tcBorders>
              <w:bottom w:val="single" w:sz="8" w:color="auto"/>
            </w:tcBorders>
            <w:shd w:val="clear" w:color="auto" w:fill="CCECFF"/>
          </w:tcPr>
          <w:p>
            <w:pPr>
              <w:spacing w:after="0"/>
              <w:rPr>
                <w:sz w:val="21"/>
                <w:szCs w:val="2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4,649</w:t>
            </w:r>
          </w:p>
        </w:tc>
        <w:tc>
          <w:tcPr>
            <w:tcW w:w="240" w:type="dxa"/>
            <w:vAlign w:val="bottom"/>
            <w:tcBorders>
              <w:bottom w:val="single" w:sz="8" w:color="CCECFF"/>
            </w:tcBorders>
            <w:shd w:val="clear" w:color="auto" w:fill="CCECFF"/>
          </w:tcPr>
          <w:p>
            <w:pPr>
              <w:spacing w:after="0"/>
              <w:rPr>
                <w:sz w:val="21"/>
                <w:szCs w:val="21"/>
                <w:color w:val="auto"/>
              </w:rPr>
            </w:pPr>
          </w:p>
        </w:tc>
        <w:tc>
          <w:tcPr>
            <w:tcW w:w="960" w:type="dxa"/>
            <w:vAlign w:val="bottom"/>
            <w:tcBorders>
              <w:bottom w:val="single" w:sz="8" w:color="auto"/>
            </w:tcBorders>
            <w:shd w:val="clear" w:color="auto" w:fill="CCECFF"/>
          </w:tcPr>
          <w:p>
            <w:pPr>
              <w:spacing w:after="0"/>
              <w:rPr>
                <w:sz w:val="21"/>
                <w:szCs w:val="2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3,331</w:t>
            </w:r>
          </w:p>
        </w:tc>
        <w:tc>
          <w:tcPr>
            <w:tcW w:w="240" w:type="dxa"/>
            <w:vAlign w:val="bottom"/>
            <w:tcBorders>
              <w:bottom w:val="single" w:sz="8" w:color="CCECFF"/>
              <w:right w:val="single" w:sz="8" w:color="CCECFF"/>
            </w:tcBorders>
            <w:shd w:val="clear" w:color="auto" w:fill="CCECFF"/>
          </w:tcPr>
          <w:p>
            <w:pPr>
              <w:spacing w:after="0"/>
              <w:rPr>
                <w:sz w:val="21"/>
                <w:szCs w:val="21"/>
                <w:color w:val="auto"/>
              </w:rPr>
            </w:pPr>
          </w:p>
        </w:tc>
        <w:tc>
          <w:tcPr>
            <w:tcW w:w="180" w:type="dxa"/>
            <w:vAlign w:val="bottom"/>
            <w:tcBorders>
              <w:bottom w:val="single" w:sz="8" w:color="auto"/>
            </w:tcBorders>
            <w:shd w:val="clear" w:color="auto" w:fill="CCECFF"/>
          </w:tcPr>
          <w:p>
            <w:pPr>
              <w:spacing w:after="0"/>
              <w:rPr>
                <w:sz w:val="21"/>
                <w:szCs w:val="21"/>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1,318</w:t>
            </w:r>
          </w:p>
        </w:tc>
        <w:tc>
          <w:tcPr>
            <w:tcW w:w="220" w:type="dxa"/>
            <w:vAlign w:val="bottom"/>
            <w:tcBorders>
              <w:bottom w:val="single" w:sz="8" w:color="CCECFF"/>
            </w:tcBorders>
            <w:shd w:val="clear" w:color="auto" w:fill="CCECFF"/>
          </w:tcPr>
          <w:p>
            <w:pPr>
              <w:spacing w:after="0"/>
              <w:rPr>
                <w:sz w:val="21"/>
                <w:szCs w:val="21"/>
                <w:color w:val="auto"/>
              </w:rPr>
            </w:pPr>
          </w:p>
        </w:tc>
        <w:tc>
          <w:tcPr>
            <w:tcW w:w="1120" w:type="dxa"/>
            <w:vAlign w:val="bottom"/>
            <w:tcBorders>
              <w:bottom w:val="single" w:sz="8" w:color="CCECFF"/>
            </w:tcBorders>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40 %</w:t>
            </w:r>
          </w:p>
        </w:tc>
      </w:tr>
      <w:tr>
        <w:trPr>
          <w:trHeight w:val="250"/>
        </w:trPr>
        <w:tc>
          <w:tcPr>
            <w:tcW w:w="4020" w:type="dxa"/>
            <w:vAlign w:val="bottom"/>
            <w:gridSpan w:val="2"/>
          </w:tcPr>
          <w:p>
            <w:pPr>
              <w:ind w:left="360"/>
              <w:spacing w:after="0"/>
              <w:rPr>
                <w:sz w:val="20"/>
                <w:szCs w:val="20"/>
                <w:color w:val="auto"/>
              </w:rPr>
            </w:pPr>
            <w:r>
              <w:rPr>
                <w:rFonts w:ascii="Arial" w:cs="Arial" w:eastAsia="Arial" w:hAnsi="Arial"/>
                <w:sz w:val="18"/>
                <w:szCs w:val="18"/>
                <w:color w:val="auto"/>
              </w:rPr>
              <w:t>Total revenues</w:t>
            </w:r>
          </w:p>
        </w:tc>
        <w:tc>
          <w:tcPr>
            <w:tcW w:w="1000" w:type="dxa"/>
            <w:vAlign w:val="bottom"/>
            <w:tcBorders>
              <w:bottom w:val="single" w:sz="8" w:color="auto"/>
            </w:tcBorders>
          </w:tcPr>
          <w:p>
            <w:pPr>
              <w:jc w:val="right"/>
              <w:ind w:right="82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81,647</w:t>
            </w:r>
          </w:p>
        </w:tc>
        <w:tc>
          <w:tcPr>
            <w:tcW w:w="240" w:type="dxa"/>
            <w:vAlign w:val="bottom"/>
          </w:tcPr>
          <w:p>
            <w:pPr>
              <w:spacing w:after="0"/>
              <w:rPr>
                <w:sz w:val="21"/>
                <w:szCs w:val="21"/>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81,470</w:t>
            </w:r>
          </w:p>
        </w:tc>
        <w:tc>
          <w:tcPr>
            <w:tcW w:w="240" w:type="dxa"/>
            <w:vAlign w:val="bottom"/>
          </w:tcPr>
          <w:p>
            <w:pPr>
              <w:spacing w:after="0"/>
              <w:rPr>
                <w:sz w:val="21"/>
                <w:szCs w:val="21"/>
                <w:color w:val="auto"/>
              </w:rPr>
            </w:pPr>
          </w:p>
        </w:tc>
        <w:tc>
          <w:tcPr>
            <w:tcW w:w="180" w:type="dxa"/>
            <w:vAlign w:val="bottom"/>
            <w:tcBorders>
              <w:bottom w:val="single" w:sz="8" w:color="auto"/>
            </w:tcBorders>
          </w:tcPr>
          <w:p>
            <w:pPr>
              <w:jc w:val="right"/>
              <w:ind w:right="18"/>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534"/>
        </w:trPr>
        <w:tc>
          <w:tcPr>
            <w:tcW w:w="4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Dollar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4"/>
                <w:szCs w:val="24"/>
                <w:color w:val="auto"/>
              </w:rPr>
            </w:pPr>
          </w:p>
        </w:tc>
      </w:tr>
      <w:tr>
        <w:trPr>
          <w:trHeight w:val="190"/>
        </w:trPr>
        <w:tc>
          <w:tcPr>
            <w:tcW w:w="40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6"/>
                <w:szCs w:val="16"/>
                <w:color w:val="auto"/>
              </w:rPr>
            </w:pPr>
          </w:p>
        </w:tc>
      </w:tr>
      <w:tr>
        <w:trPr>
          <w:trHeight w:val="256"/>
        </w:trPr>
        <w:tc>
          <w:tcPr>
            <w:tcW w:w="402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Collaboration and license revenue:</w:t>
            </w:r>
          </w:p>
        </w:tc>
        <w:tc>
          <w:tcPr>
            <w:tcW w:w="1000" w:type="dxa"/>
            <w:vAlign w:val="bottom"/>
            <w:shd w:val="clear" w:color="auto" w:fill="CCECFF"/>
          </w:tcPr>
          <w:p>
            <w:pPr>
              <w:spacing w:after="0"/>
              <w:rPr>
                <w:sz w:val="22"/>
                <w:szCs w:val="22"/>
                <w:color w:val="auto"/>
              </w:rPr>
            </w:pPr>
          </w:p>
        </w:tc>
        <w:tc>
          <w:tcPr>
            <w:tcW w:w="64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960" w:type="dxa"/>
            <w:vAlign w:val="bottom"/>
            <w:shd w:val="clear" w:color="auto" w:fill="CCECFF"/>
          </w:tcPr>
          <w:p>
            <w:pPr>
              <w:spacing w:after="0"/>
              <w:rPr>
                <w:sz w:val="22"/>
                <w:szCs w:val="22"/>
                <w:color w:val="auto"/>
              </w:rPr>
            </w:pPr>
          </w:p>
        </w:tc>
        <w:tc>
          <w:tcPr>
            <w:tcW w:w="620" w:type="dxa"/>
            <w:vAlign w:val="bottom"/>
            <w:shd w:val="clear" w:color="auto" w:fill="CCECFF"/>
          </w:tcPr>
          <w:p>
            <w:pPr>
              <w:spacing w:after="0"/>
              <w:rPr>
                <w:sz w:val="22"/>
                <w:szCs w:val="22"/>
                <w:color w:val="auto"/>
              </w:rPr>
            </w:pPr>
          </w:p>
        </w:tc>
        <w:tc>
          <w:tcPr>
            <w:tcW w:w="240" w:type="dxa"/>
            <w:vAlign w:val="bottom"/>
            <w:tcBorders>
              <w:right w:val="single" w:sz="8" w:color="CCECFF"/>
            </w:tcBorders>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86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86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r>
      <w:tr>
        <w:trPr>
          <w:trHeight w:val="242"/>
        </w:trPr>
        <w:tc>
          <w:tcPr>
            <w:tcW w:w="4020" w:type="dxa"/>
            <w:vAlign w:val="bottom"/>
            <w:gridSpan w:val="2"/>
          </w:tcPr>
          <w:p>
            <w:pPr>
              <w:ind w:left="100"/>
              <w:spacing w:after="0"/>
              <w:rPr>
                <w:sz w:val="20"/>
                <w:szCs w:val="20"/>
                <w:color w:val="auto"/>
              </w:rPr>
            </w:pPr>
            <w:r>
              <w:rPr>
                <w:rFonts w:ascii="Arial" w:cs="Arial" w:eastAsia="Arial" w:hAnsi="Arial"/>
                <w:sz w:val="18"/>
                <w:szCs w:val="18"/>
                <w:color w:val="auto"/>
              </w:rPr>
              <w:t>Crysvita collaboration revenue in profit-share</w:t>
            </w: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7"/>
        </w:trPr>
        <w:tc>
          <w:tcPr>
            <w:tcW w:w="4020" w:type="dxa"/>
            <w:vAlign w:val="bottom"/>
            <w:gridSpan w:val="2"/>
          </w:tcPr>
          <w:p>
            <w:pPr>
              <w:ind w:left="280"/>
              <w:spacing w:after="0"/>
              <w:rPr>
                <w:sz w:val="20"/>
                <w:szCs w:val="20"/>
                <w:color w:val="auto"/>
              </w:rPr>
            </w:pPr>
            <w:r>
              <w:rPr>
                <w:rFonts w:ascii="Arial" w:cs="Arial" w:eastAsia="Arial" w:hAnsi="Arial"/>
                <w:sz w:val="18"/>
                <w:szCs w:val="18"/>
                <w:color w:val="auto"/>
              </w:rPr>
              <w:t>territory</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120,987</w:t>
            </w:r>
          </w:p>
        </w:tc>
        <w:tc>
          <w:tcPr>
            <w:tcW w:w="120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91,079</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29,908</w:t>
            </w: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33 %</w:t>
            </w:r>
          </w:p>
        </w:tc>
      </w:tr>
      <w:tr>
        <w:trPr>
          <w:trHeight w:val="263"/>
        </w:trPr>
        <w:tc>
          <w:tcPr>
            <w:tcW w:w="4020" w:type="dxa"/>
            <w:vAlign w:val="bottom"/>
            <w:gridSpan w:val="2"/>
            <w:shd w:val="clear" w:color="auto" w:fill="CCECFF"/>
          </w:tcPr>
          <w:p>
            <w:pPr>
              <w:ind w:left="100"/>
              <w:spacing w:after="0"/>
              <w:rPr>
                <w:sz w:val="20"/>
                <w:szCs w:val="20"/>
                <w:color w:val="auto"/>
              </w:rPr>
            </w:pPr>
            <w:r>
              <w:rPr>
                <w:rFonts w:ascii="Arial" w:cs="Arial" w:eastAsia="Arial" w:hAnsi="Arial"/>
                <w:sz w:val="18"/>
                <w:szCs w:val="18"/>
                <w:color w:val="auto"/>
              </w:rPr>
              <w:t>Crysvita royalty revenue in European territory</w:t>
            </w:r>
          </w:p>
        </w:tc>
        <w:tc>
          <w:tcPr>
            <w:tcW w:w="1000" w:type="dxa"/>
            <w:vAlign w:val="bottom"/>
            <w:shd w:val="clear" w:color="auto" w:fill="CCECFF"/>
          </w:tcPr>
          <w:p>
            <w:pPr>
              <w:spacing w:after="0"/>
              <w:rPr>
                <w:sz w:val="22"/>
                <w:szCs w:val="2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244</w:t>
            </w:r>
          </w:p>
        </w:tc>
        <w:tc>
          <w:tcPr>
            <w:tcW w:w="240" w:type="dxa"/>
            <w:vAlign w:val="bottom"/>
            <w:shd w:val="clear" w:color="auto" w:fill="CCECFF"/>
          </w:tcPr>
          <w:p>
            <w:pPr>
              <w:spacing w:after="0"/>
              <w:rPr>
                <w:sz w:val="22"/>
                <w:szCs w:val="22"/>
                <w:color w:val="auto"/>
              </w:rPr>
            </w:pPr>
          </w:p>
        </w:tc>
        <w:tc>
          <w:tcPr>
            <w:tcW w:w="960" w:type="dxa"/>
            <w:vAlign w:val="bottom"/>
            <w:shd w:val="clear" w:color="auto" w:fill="CCECFF"/>
          </w:tcPr>
          <w:p>
            <w:pPr>
              <w:spacing w:after="0"/>
              <w:rPr>
                <w:sz w:val="22"/>
                <w:szCs w:val="2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1,498</w:t>
            </w:r>
          </w:p>
        </w:tc>
        <w:tc>
          <w:tcPr>
            <w:tcW w:w="240" w:type="dxa"/>
            <w:vAlign w:val="bottom"/>
            <w:tcBorders>
              <w:right w:val="single" w:sz="8" w:color="CCECFF"/>
            </w:tcBorders>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(1,254 )</w:t>
            </w:r>
          </w:p>
        </w:tc>
        <w:tc>
          <w:tcPr>
            <w:tcW w:w="11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-84 %</w:t>
            </w:r>
          </w:p>
        </w:tc>
      </w:tr>
      <w:tr>
        <w:trPr>
          <w:trHeight w:val="250"/>
        </w:trPr>
        <w:tc>
          <w:tcPr>
            <w:tcW w:w="4000" w:type="dxa"/>
            <w:vAlign w:val="bottom"/>
            <w:tcBorders>
              <w:bottom w:val="single" w:sz="8" w:color="CCECFF"/>
            </w:tcBorders>
          </w:tcPr>
          <w:p>
            <w:pPr>
              <w:ind w:left="100"/>
              <w:spacing w:after="0"/>
              <w:rPr>
                <w:sz w:val="20"/>
                <w:szCs w:val="20"/>
                <w:color w:val="auto"/>
              </w:rPr>
            </w:pPr>
            <w:r>
              <w:rPr>
                <w:rFonts w:ascii="Arial" w:cs="Arial" w:eastAsia="Arial" w:hAnsi="Arial"/>
                <w:sz w:val="18"/>
                <w:szCs w:val="18"/>
                <w:color w:val="auto"/>
              </w:rPr>
              <w:t>Daiichi Sankyo</w:t>
            </w: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76,767</w:t>
            </w:r>
          </w:p>
        </w:tc>
        <w:tc>
          <w:tcPr>
            <w:tcW w:w="240" w:type="dxa"/>
            <w:vAlign w:val="bottom"/>
            <w:tcBorders>
              <w:bottom w:val="single" w:sz="8" w:color="CCEC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51,723</w:t>
            </w:r>
          </w:p>
        </w:tc>
        <w:tc>
          <w:tcPr>
            <w:tcW w:w="240" w:type="dxa"/>
            <w:vAlign w:val="bottom"/>
            <w:tcBorders>
              <w:bottom w:val="single" w:sz="8" w:color="CCEC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25,044</w:t>
            </w:r>
          </w:p>
        </w:tc>
        <w:tc>
          <w:tcPr>
            <w:tcW w:w="220" w:type="dxa"/>
            <w:vAlign w:val="bottom"/>
            <w:tcBorders>
              <w:bottom w:val="single" w:sz="8" w:color="CCECFF"/>
            </w:tcBorders>
          </w:tcPr>
          <w:p>
            <w:pPr>
              <w:spacing w:after="0"/>
              <w:rPr>
                <w:sz w:val="21"/>
                <w:szCs w:val="21"/>
                <w:color w:val="auto"/>
              </w:rPr>
            </w:pPr>
          </w:p>
        </w:tc>
        <w:tc>
          <w:tcPr>
            <w:tcW w:w="1120" w:type="dxa"/>
            <w:vAlign w:val="bottom"/>
            <w:tcBorders>
              <w:bottom w:val="single" w:sz="8" w:color="CCECFF"/>
            </w:tcBorders>
            <w:gridSpan w:val="2"/>
          </w:tcPr>
          <w:p>
            <w:pPr>
              <w:jc w:val="right"/>
              <w:ind w:right="100"/>
              <w:spacing w:after="0"/>
              <w:rPr>
                <w:sz w:val="20"/>
                <w:szCs w:val="20"/>
                <w:color w:val="auto"/>
              </w:rPr>
            </w:pPr>
            <w:r>
              <w:rPr>
                <w:rFonts w:ascii="Arial" w:cs="Arial" w:eastAsia="Arial" w:hAnsi="Arial"/>
                <w:sz w:val="18"/>
                <w:szCs w:val="18"/>
                <w:color w:val="auto"/>
              </w:rPr>
              <w:t>48 %</w:t>
            </w:r>
          </w:p>
        </w:tc>
      </w:tr>
      <w:tr>
        <w:trPr>
          <w:trHeight w:val="243"/>
        </w:trPr>
        <w:tc>
          <w:tcPr>
            <w:tcW w:w="4000" w:type="dxa"/>
            <w:vAlign w:val="bottom"/>
            <w:tcBorders>
              <w:bottom w:val="single" w:sz="8" w:color="CCECFF"/>
            </w:tcBorders>
            <w:shd w:val="clear" w:color="auto" w:fill="CCECFF"/>
          </w:tcPr>
          <w:p>
            <w:pPr>
              <w:ind w:left="180"/>
              <w:spacing w:after="0"/>
              <w:rPr>
                <w:sz w:val="20"/>
                <w:szCs w:val="20"/>
                <w:color w:val="auto"/>
              </w:rPr>
            </w:pPr>
            <w:r>
              <w:rPr>
                <w:rFonts w:ascii="Arial" w:cs="Arial" w:eastAsia="Arial" w:hAnsi="Arial"/>
                <w:sz w:val="18"/>
                <w:szCs w:val="18"/>
                <w:color w:val="auto"/>
              </w:rPr>
              <w:t>Total collaboration and license revenue</w:t>
            </w:r>
          </w:p>
        </w:tc>
        <w:tc>
          <w:tcPr>
            <w:tcW w:w="20" w:type="dxa"/>
            <w:vAlign w:val="bottom"/>
            <w:tcBorders>
              <w:bottom w:val="single" w:sz="8" w:color="auto"/>
            </w:tcBorders>
            <w:shd w:val="clear" w:color="auto" w:fill="CCECFF"/>
          </w:tcPr>
          <w:p>
            <w:pPr>
              <w:spacing w:after="0"/>
              <w:rPr>
                <w:sz w:val="21"/>
                <w:szCs w:val="21"/>
                <w:color w:val="auto"/>
              </w:rPr>
            </w:pPr>
          </w:p>
        </w:tc>
        <w:tc>
          <w:tcPr>
            <w:tcW w:w="1000" w:type="dxa"/>
            <w:vAlign w:val="bottom"/>
            <w:tcBorders>
              <w:bottom w:val="single" w:sz="8" w:color="auto"/>
            </w:tcBorders>
            <w:shd w:val="clear" w:color="auto" w:fill="CCECFF"/>
          </w:tcPr>
          <w:p>
            <w:pPr>
              <w:spacing w:after="0"/>
              <w:rPr>
                <w:sz w:val="21"/>
                <w:szCs w:val="2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2"/>
              </w:rPr>
              <w:t>197,998</w:t>
            </w:r>
          </w:p>
        </w:tc>
        <w:tc>
          <w:tcPr>
            <w:tcW w:w="240" w:type="dxa"/>
            <w:vAlign w:val="bottom"/>
            <w:tcBorders>
              <w:bottom w:val="single" w:sz="8" w:color="CCECFF"/>
            </w:tcBorders>
            <w:shd w:val="clear" w:color="auto" w:fill="CCECFF"/>
          </w:tcPr>
          <w:p>
            <w:pPr>
              <w:spacing w:after="0"/>
              <w:rPr>
                <w:sz w:val="21"/>
                <w:szCs w:val="21"/>
                <w:color w:val="auto"/>
              </w:rPr>
            </w:pPr>
          </w:p>
        </w:tc>
        <w:tc>
          <w:tcPr>
            <w:tcW w:w="960" w:type="dxa"/>
            <w:vAlign w:val="bottom"/>
            <w:tcBorders>
              <w:bottom w:val="single" w:sz="8" w:color="auto"/>
            </w:tcBorders>
            <w:shd w:val="clear" w:color="auto" w:fill="CCECFF"/>
          </w:tcPr>
          <w:p>
            <w:pPr>
              <w:spacing w:after="0"/>
              <w:rPr>
                <w:sz w:val="21"/>
                <w:szCs w:val="2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2"/>
              </w:rPr>
              <w:t>144,300</w:t>
            </w:r>
          </w:p>
        </w:tc>
        <w:tc>
          <w:tcPr>
            <w:tcW w:w="240" w:type="dxa"/>
            <w:vAlign w:val="bottom"/>
            <w:tcBorders>
              <w:bottom w:val="single" w:sz="8" w:color="CCECFF"/>
              <w:right w:val="single" w:sz="8" w:color="CCECFF"/>
            </w:tcBorders>
            <w:shd w:val="clear" w:color="auto" w:fill="CCECFF"/>
          </w:tcPr>
          <w:p>
            <w:pPr>
              <w:spacing w:after="0"/>
              <w:rPr>
                <w:sz w:val="21"/>
                <w:szCs w:val="21"/>
                <w:color w:val="auto"/>
              </w:rPr>
            </w:pPr>
          </w:p>
        </w:tc>
        <w:tc>
          <w:tcPr>
            <w:tcW w:w="180" w:type="dxa"/>
            <w:vAlign w:val="bottom"/>
            <w:tcBorders>
              <w:bottom w:val="single" w:sz="8" w:color="auto"/>
            </w:tcBorders>
            <w:shd w:val="clear" w:color="auto" w:fill="CCECFF"/>
          </w:tcPr>
          <w:p>
            <w:pPr>
              <w:spacing w:after="0"/>
              <w:rPr>
                <w:sz w:val="21"/>
                <w:szCs w:val="21"/>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53,698</w:t>
            </w:r>
          </w:p>
        </w:tc>
        <w:tc>
          <w:tcPr>
            <w:tcW w:w="220" w:type="dxa"/>
            <w:vAlign w:val="bottom"/>
            <w:tcBorders>
              <w:bottom w:val="single" w:sz="8" w:color="CCECFF"/>
            </w:tcBorders>
            <w:shd w:val="clear" w:color="auto" w:fill="CCECFF"/>
          </w:tcPr>
          <w:p>
            <w:pPr>
              <w:spacing w:after="0"/>
              <w:rPr>
                <w:sz w:val="21"/>
                <w:szCs w:val="21"/>
                <w:color w:val="auto"/>
              </w:rPr>
            </w:pPr>
          </w:p>
        </w:tc>
        <w:tc>
          <w:tcPr>
            <w:tcW w:w="1120" w:type="dxa"/>
            <w:vAlign w:val="bottom"/>
            <w:tcBorders>
              <w:bottom w:val="single" w:sz="8" w:color="CCECFF"/>
            </w:tcBorders>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37 %</w:t>
            </w:r>
          </w:p>
        </w:tc>
      </w:tr>
      <w:tr>
        <w:trPr>
          <w:trHeight w:val="243"/>
        </w:trPr>
        <w:tc>
          <w:tcPr>
            <w:tcW w:w="402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63"/>
        </w:trPr>
        <w:tc>
          <w:tcPr>
            <w:tcW w:w="4020" w:type="dxa"/>
            <w:vAlign w:val="bottom"/>
            <w:gridSpan w:val="2"/>
            <w:shd w:val="clear" w:color="auto" w:fill="CCECFF"/>
          </w:tcPr>
          <w:p>
            <w:pPr>
              <w:ind w:left="100"/>
              <w:spacing w:after="0"/>
              <w:rPr>
                <w:sz w:val="20"/>
                <w:szCs w:val="20"/>
                <w:color w:val="auto"/>
              </w:rPr>
            </w:pPr>
            <w:r>
              <w:rPr>
                <w:rFonts w:ascii="Arial" w:cs="Arial" w:eastAsia="Arial" w:hAnsi="Arial"/>
                <w:sz w:val="18"/>
                <w:szCs w:val="18"/>
                <w:color w:val="auto"/>
              </w:rPr>
              <w:t>Crysvita</w:t>
            </w:r>
          </w:p>
        </w:tc>
        <w:tc>
          <w:tcPr>
            <w:tcW w:w="1000" w:type="dxa"/>
            <w:vAlign w:val="bottom"/>
            <w:shd w:val="clear" w:color="auto" w:fill="CCECFF"/>
          </w:tcPr>
          <w:p>
            <w:pPr>
              <w:spacing w:after="0"/>
              <w:rPr>
                <w:sz w:val="22"/>
                <w:szCs w:val="2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16,150</w:t>
            </w:r>
          </w:p>
        </w:tc>
        <w:tc>
          <w:tcPr>
            <w:tcW w:w="240" w:type="dxa"/>
            <w:vAlign w:val="bottom"/>
            <w:shd w:val="clear" w:color="auto" w:fill="CCECFF"/>
          </w:tcPr>
          <w:p>
            <w:pPr>
              <w:spacing w:after="0"/>
              <w:rPr>
                <w:sz w:val="22"/>
                <w:szCs w:val="22"/>
                <w:color w:val="auto"/>
              </w:rPr>
            </w:pPr>
          </w:p>
        </w:tc>
        <w:tc>
          <w:tcPr>
            <w:tcW w:w="960" w:type="dxa"/>
            <w:vAlign w:val="bottom"/>
            <w:shd w:val="clear" w:color="auto" w:fill="CCECFF"/>
          </w:tcPr>
          <w:p>
            <w:pPr>
              <w:spacing w:after="0"/>
              <w:rPr>
                <w:sz w:val="22"/>
                <w:szCs w:val="2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7,436</w:t>
            </w:r>
          </w:p>
        </w:tc>
        <w:tc>
          <w:tcPr>
            <w:tcW w:w="240" w:type="dxa"/>
            <w:vAlign w:val="bottom"/>
            <w:tcBorders>
              <w:right w:val="single" w:sz="8" w:color="CCECFF"/>
            </w:tcBorders>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8,714</w:t>
            </w:r>
          </w:p>
        </w:tc>
        <w:tc>
          <w:tcPr>
            <w:tcW w:w="220" w:type="dxa"/>
            <w:vAlign w:val="bottom"/>
            <w:shd w:val="clear" w:color="auto" w:fill="CCECFF"/>
          </w:tcPr>
          <w:p>
            <w:pPr>
              <w:spacing w:after="0"/>
              <w:rPr>
                <w:sz w:val="22"/>
                <w:szCs w:val="22"/>
                <w:color w:val="auto"/>
              </w:rPr>
            </w:pPr>
          </w:p>
        </w:tc>
        <w:tc>
          <w:tcPr>
            <w:tcW w:w="11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117 %</w:t>
            </w:r>
          </w:p>
        </w:tc>
      </w:tr>
      <w:tr>
        <w:trPr>
          <w:trHeight w:val="250"/>
        </w:trPr>
        <w:tc>
          <w:tcPr>
            <w:tcW w:w="4020" w:type="dxa"/>
            <w:vAlign w:val="bottom"/>
            <w:gridSpan w:val="2"/>
          </w:tcPr>
          <w:p>
            <w:pPr>
              <w:ind w:left="100"/>
              <w:spacing w:after="0"/>
              <w:rPr>
                <w:sz w:val="20"/>
                <w:szCs w:val="20"/>
                <w:color w:val="auto"/>
              </w:rPr>
            </w:pPr>
            <w:r>
              <w:rPr>
                <w:rFonts w:ascii="Arial" w:cs="Arial" w:eastAsia="Arial" w:hAnsi="Arial"/>
                <w:sz w:val="18"/>
                <w:szCs w:val="18"/>
                <w:color w:val="auto"/>
              </w:rPr>
              <w:t>Mepsevii</w:t>
            </w:r>
          </w:p>
        </w:tc>
        <w:tc>
          <w:tcPr>
            <w:tcW w:w="1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12,924</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11,686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1,238</w:t>
            </w:r>
          </w:p>
        </w:tc>
        <w:tc>
          <w:tcPr>
            <w:tcW w:w="2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11 %</w:t>
            </w:r>
          </w:p>
        </w:tc>
      </w:tr>
      <w:tr>
        <w:trPr>
          <w:trHeight w:val="263"/>
        </w:trPr>
        <w:tc>
          <w:tcPr>
            <w:tcW w:w="4000" w:type="dxa"/>
            <w:vAlign w:val="bottom"/>
            <w:tcBorders>
              <w:bottom w:val="single" w:sz="8" w:color="CCECFF"/>
            </w:tcBorders>
            <w:shd w:val="clear" w:color="auto" w:fill="CCECFF"/>
          </w:tcPr>
          <w:p>
            <w:pPr>
              <w:ind w:left="100"/>
              <w:spacing w:after="0"/>
              <w:rPr>
                <w:sz w:val="20"/>
                <w:szCs w:val="20"/>
                <w:color w:val="auto"/>
              </w:rPr>
            </w:pPr>
            <w:r>
              <w:rPr>
                <w:rFonts w:ascii="Arial" w:cs="Arial" w:eastAsia="Arial" w:hAnsi="Arial"/>
                <w:sz w:val="18"/>
                <w:szCs w:val="18"/>
                <w:color w:val="auto"/>
              </w:rPr>
              <w:t>Dojolvi</w:t>
            </w:r>
          </w:p>
        </w:tc>
        <w:tc>
          <w:tcPr>
            <w:tcW w:w="20" w:type="dxa"/>
            <w:vAlign w:val="bottom"/>
            <w:tcBorders>
              <w:bottom w:val="single" w:sz="8" w:color="auto"/>
            </w:tcBorders>
            <w:shd w:val="clear" w:color="auto" w:fill="CCECFF"/>
          </w:tcPr>
          <w:p>
            <w:pPr>
              <w:spacing w:after="0"/>
              <w:rPr>
                <w:sz w:val="22"/>
                <w:szCs w:val="22"/>
                <w:color w:val="auto"/>
              </w:rPr>
            </w:pPr>
          </w:p>
        </w:tc>
        <w:tc>
          <w:tcPr>
            <w:tcW w:w="1000" w:type="dxa"/>
            <w:vAlign w:val="bottom"/>
            <w:tcBorders>
              <w:bottom w:val="single" w:sz="8" w:color="auto"/>
            </w:tcBorders>
            <w:shd w:val="clear" w:color="auto" w:fill="CCECFF"/>
          </w:tcPr>
          <w:p>
            <w:pPr>
              <w:spacing w:after="0"/>
              <w:rPr>
                <w:sz w:val="22"/>
                <w:szCs w:val="2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27,735</w:t>
            </w:r>
          </w:p>
        </w:tc>
        <w:tc>
          <w:tcPr>
            <w:tcW w:w="240" w:type="dxa"/>
            <w:vAlign w:val="bottom"/>
            <w:tcBorders>
              <w:bottom w:val="single" w:sz="8" w:color="CCECFF"/>
            </w:tcBorders>
            <w:shd w:val="clear" w:color="auto" w:fill="CCECFF"/>
          </w:tcPr>
          <w:p>
            <w:pPr>
              <w:spacing w:after="0"/>
              <w:rPr>
                <w:sz w:val="22"/>
                <w:szCs w:val="22"/>
                <w:color w:val="auto"/>
              </w:rPr>
            </w:pPr>
          </w:p>
        </w:tc>
        <w:tc>
          <w:tcPr>
            <w:tcW w:w="960" w:type="dxa"/>
            <w:vAlign w:val="bottom"/>
            <w:tcBorders>
              <w:bottom w:val="single" w:sz="8" w:color="auto"/>
            </w:tcBorders>
            <w:shd w:val="clear" w:color="auto" w:fill="CCECFF"/>
          </w:tcPr>
          <w:p>
            <w:pPr>
              <w:spacing w:after="0"/>
              <w:rPr>
                <w:sz w:val="22"/>
                <w:szCs w:val="2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6,638</w:t>
            </w:r>
          </w:p>
        </w:tc>
        <w:tc>
          <w:tcPr>
            <w:tcW w:w="240" w:type="dxa"/>
            <w:vAlign w:val="bottom"/>
            <w:tcBorders>
              <w:bottom w:val="single" w:sz="8" w:color="CCECFF"/>
              <w:right w:val="single" w:sz="8" w:color="CCECFF"/>
            </w:tcBorders>
            <w:shd w:val="clear" w:color="auto" w:fill="CCECFF"/>
          </w:tcPr>
          <w:p>
            <w:pPr>
              <w:spacing w:after="0"/>
              <w:rPr>
                <w:sz w:val="22"/>
                <w:szCs w:val="22"/>
                <w:color w:val="auto"/>
              </w:rPr>
            </w:pPr>
          </w:p>
        </w:tc>
        <w:tc>
          <w:tcPr>
            <w:tcW w:w="180" w:type="dxa"/>
            <w:vAlign w:val="bottom"/>
            <w:tcBorders>
              <w:bottom w:val="single" w:sz="8" w:color="auto"/>
            </w:tcBorders>
            <w:shd w:val="clear" w:color="auto" w:fill="CCECFF"/>
          </w:tcPr>
          <w:p>
            <w:pPr>
              <w:spacing w:after="0"/>
              <w:rPr>
                <w:sz w:val="22"/>
                <w:szCs w:val="22"/>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21,097</w:t>
            </w:r>
          </w:p>
        </w:tc>
        <w:tc>
          <w:tcPr>
            <w:tcW w:w="220" w:type="dxa"/>
            <w:vAlign w:val="bottom"/>
            <w:tcBorders>
              <w:bottom w:val="single" w:sz="8" w:color="CCECFF"/>
            </w:tcBorders>
            <w:shd w:val="clear" w:color="auto" w:fill="CCECFF"/>
          </w:tcPr>
          <w:p>
            <w:pPr>
              <w:spacing w:after="0"/>
              <w:rPr>
                <w:sz w:val="22"/>
                <w:szCs w:val="22"/>
                <w:color w:val="auto"/>
              </w:rPr>
            </w:pPr>
          </w:p>
        </w:tc>
        <w:tc>
          <w:tcPr>
            <w:tcW w:w="1120" w:type="dxa"/>
            <w:vAlign w:val="bottom"/>
            <w:tcBorders>
              <w:bottom w:val="single" w:sz="8" w:color="CCECFF"/>
            </w:tcBorders>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318 %</w:t>
            </w:r>
          </w:p>
        </w:tc>
      </w:tr>
      <w:tr>
        <w:trPr>
          <w:trHeight w:val="250"/>
        </w:trPr>
        <w:tc>
          <w:tcPr>
            <w:tcW w:w="4000" w:type="dxa"/>
            <w:vAlign w:val="bottom"/>
          </w:tcPr>
          <w:p>
            <w:pPr>
              <w:ind w:left="180"/>
              <w:spacing w:after="0"/>
              <w:rPr>
                <w:sz w:val="20"/>
                <w:szCs w:val="20"/>
                <w:color w:val="auto"/>
              </w:rPr>
            </w:pPr>
            <w:r>
              <w:rPr>
                <w:rFonts w:ascii="Arial" w:cs="Arial" w:eastAsia="Arial" w:hAnsi="Arial"/>
                <w:sz w:val="18"/>
                <w:szCs w:val="18"/>
                <w:color w:val="auto"/>
              </w:rPr>
              <w:t>Total product sales</w:t>
            </w: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56,809</w:t>
            </w:r>
          </w:p>
        </w:tc>
        <w:tc>
          <w:tcPr>
            <w:tcW w:w="24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25,760</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31,049</w:t>
            </w:r>
          </w:p>
        </w:tc>
        <w:tc>
          <w:tcPr>
            <w:tcW w:w="2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121 %</w:t>
            </w:r>
          </w:p>
        </w:tc>
      </w:tr>
      <w:tr>
        <w:trPr>
          <w:trHeight w:val="250"/>
        </w:trPr>
        <w:tc>
          <w:tcPr>
            <w:tcW w:w="40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Crysvita non-cash collaboration royalty revenue</w:t>
            </w:r>
          </w:p>
        </w:tc>
        <w:tc>
          <w:tcPr>
            <w:tcW w:w="20" w:type="dxa"/>
            <w:vAlign w:val="bottom"/>
            <w:tcBorders>
              <w:bottom w:val="single" w:sz="8" w:color="auto"/>
            </w:tcBorders>
            <w:shd w:val="clear" w:color="auto" w:fill="CCECFF"/>
          </w:tcPr>
          <w:p>
            <w:pPr>
              <w:spacing w:after="0"/>
              <w:rPr>
                <w:sz w:val="21"/>
                <w:szCs w:val="21"/>
                <w:color w:val="auto"/>
              </w:rPr>
            </w:pPr>
          </w:p>
        </w:tc>
        <w:tc>
          <w:tcPr>
            <w:tcW w:w="1000" w:type="dxa"/>
            <w:vAlign w:val="bottom"/>
            <w:tcBorders>
              <w:bottom w:val="single" w:sz="8" w:color="auto"/>
            </w:tcBorders>
            <w:shd w:val="clear" w:color="auto" w:fill="CCECFF"/>
          </w:tcPr>
          <w:p>
            <w:pPr>
              <w:spacing w:after="0"/>
              <w:rPr>
                <w:sz w:val="21"/>
                <w:szCs w:val="2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13,210</w:t>
            </w:r>
          </w:p>
        </w:tc>
        <w:tc>
          <w:tcPr>
            <w:tcW w:w="240" w:type="dxa"/>
            <w:vAlign w:val="bottom"/>
            <w:tcBorders>
              <w:bottom w:val="single" w:sz="8" w:color="CCECFF"/>
            </w:tcBorders>
            <w:shd w:val="clear" w:color="auto" w:fill="CCECFF"/>
          </w:tcPr>
          <w:p>
            <w:pPr>
              <w:spacing w:after="0"/>
              <w:rPr>
                <w:sz w:val="21"/>
                <w:szCs w:val="21"/>
                <w:color w:val="auto"/>
              </w:rPr>
            </w:pPr>
          </w:p>
        </w:tc>
        <w:tc>
          <w:tcPr>
            <w:tcW w:w="960" w:type="dxa"/>
            <w:vAlign w:val="bottom"/>
            <w:tcBorders>
              <w:bottom w:val="single" w:sz="8" w:color="auto"/>
            </w:tcBorders>
            <w:shd w:val="clear" w:color="auto" w:fill="CCECFF"/>
          </w:tcPr>
          <w:p>
            <w:pPr>
              <w:spacing w:after="0"/>
              <w:rPr>
                <w:sz w:val="21"/>
                <w:szCs w:val="2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9,428</w:t>
            </w:r>
          </w:p>
        </w:tc>
        <w:tc>
          <w:tcPr>
            <w:tcW w:w="240" w:type="dxa"/>
            <w:vAlign w:val="bottom"/>
            <w:tcBorders>
              <w:bottom w:val="single" w:sz="8" w:color="CCECFF"/>
              <w:right w:val="single" w:sz="8" w:color="CCECFF"/>
            </w:tcBorders>
            <w:shd w:val="clear" w:color="auto" w:fill="CCECFF"/>
          </w:tcPr>
          <w:p>
            <w:pPr>
              <w:spacing w:after="0"/>
              <w:rPr>
                <w:sz w:val="21"/>
                <w:szCs w:val="21"/>
                <w:color w:val="auto"/>
              </w:rPr>
            </w:pPr>
          </w:p>
        </w:tc>
        <w:tc>
          <w:tcPr>
            <w:tcW w:w="180" w:type="dxa"/>
            <w:vAlign w:val="bottom"/>
            <w:tcBorders>
              <w:bottom w:val="single" w:sz="8" w:color="auto"/>
            </w:tcBorders>
            <w:shd w:val="clear" w:color="auto" w:fill="CCECFF"/>
          </w:tcPr>
          <w:p>
            <w:pPr>
              <w:spacing w:after="0"/>
              <w:rPr>
                <w:sz w:val="21"/>
                <w:szCs w:val="21"/>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3,782</w:t>
            </w:r>
          </w:p>
        </w:tc>
        <w:tc>
          <w:tcPr>
            <w:tcW w:w="220" w:type="dxa"/>
            <w:vAlign w:val="bottom"/>
            <w:tcBorders>
              <w:bottom w:val="single" w:sz="8" w:color="CCECFF"/>
            </w:tcBorders>
            <w:shd w:val="clear" w:color="auto" w:fill="CCECFF"/>
          </w:tcPr>
          <w:p>
            <w:pPr>
              <w:spacing w:after="0"/>
              <w:rPr>
                <w:sz w:val="21"/>
                <w:szCs w:val="21"/>
                <w:color w:val="auto"/>
              </w:rPr>
            </w:pPr>
          </w:p>
        </w:tc>
        <w:tc>
          <w:tcPr>
            <w:tcW w:w="1120" w:type="dxa"/>
            <w:vAlign w:val="bottom"/>
            <w:tcBorders>
              <w:bottom w:val="single" w:sz="8" w:color="CCECFF"/>
            </w:tcBorders>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40 %</w:t>
            </w:r>
          </w:p>
        </w:tc>
      </w:tr>
      <w:tr>
        <w:trPr>
          <w:trHeight w:val="250"/>
        </w:trPr>
        <w:tc>
          <w:tcPr>
            <w:tcW w:w="4020" w:type="dxa"/>
            <w:vAlign w:val="bottom"/>
            <w:gridSpan w:val="2"/>
          </w:tcPr>
          <w:p>
            <w:pPr>
              <w:ind w:left="360"/>
              <w:spacing w:after="0"/>
              <w:rPr>
                <w:sz w:val="20"/>
                <w:szCs w:val="20"/>
                <w:color w:val="auto"/>
              </w:rPr>
            </w:pPr>
            <w:r>
              <w:rPr>
                <w:rFonts w:ascii="Arial" w:cs="Arial" w:eastAsia="Arial" w:hAnsi="Arial"/>
                <w:sz w:val="18"/>
                <w:szCs w:val="18"/>
                <w:color w:val="auto"/>
              </w:rPr>
              <w:t>Total revenues</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268,017</w:t>
            </w:r>
          </w:p>
        </w:tc>
        <w:tc>
          <w:tcPr>
            <w:tcW w:w="120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179,488</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88,529</w:t>
            </w:r>
          </w:p>
        </w:tc>
        <w:tc>
          <w:tcPr>
            <w:tcW w:w="2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49 %</w:t>
            </w:r>
          </w:p>
        </w:tc>
      </w:tr>
      <w:tr>
        <w:trPr>
          <w:trHeight w:val="20"/>
        </w:trPr>
        <w:tc>
          <w:tcPr>
            <w:tcW w:w="4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-3853815</wp:posOffset>
            </wp:positionV>
            <wp:extent cx="15430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-3853815</wp:posOffset>
            </wp:positionV>
            <wp:extent cx="13716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-3853815</wp:posOffset>
            </wp:positionV>
            <wp:extent cx="14605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-3194050</wp:posOffset>
            </wp:positionV>
            <wp:extent cx="15430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-3194050</wp:posOffset>
            </wp:positionV>
            <wp:extent cx="13716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-3194050</wp:posOffset>
            </wp:positionV>
            <wp:extent cx="14605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-2851150</wp:posOffset>
            </wp:positionV>
            <wp:extent cx="15430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-2851150</wp:posOffset>
            </wp:positionV>
            <wp:extent cx="13716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-2851150</wp:posOffset>
            </wp:positionV>
            <wp:extent cx="14605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-1374775</wp:posOffset>
            </wp:positionV>
            <wp:extent cx="179705" cy="1968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-1374775</wp:posOffset>
            </wp:positionV>
            <wp:extent cx="171450" cy="1968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1450" cy="196850"/>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-1374775</wp:posOffset>
            </wp:positionV>
            <wp:extent cx="171450" cy="1968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1450" cy="1968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-536575</wp:posOffset>
            </wp:positionV>
            <wp:extent cx="15430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-536575</wp:posOffset>
            </wp:positionV>
            <wp:extent cx="14605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-536575</wp:posOffset>
            </wp:positionV>
            <wp:extent cx="14605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-193675</wp:posOffset>
            </wp:positionV>
            <wp:extent cx="15430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-193675</wp:posOffset>
            </wp:positionV>
            <wp:extent cx="14605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-193675</wp:posOffset>
            </wp:positionV>
            <wp:extent cx="14605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6050" cy="5715"/>
                    </a:xfrm>
                    <a:prstGeom prst="rect">
                      <a:avLst/>
                    </a:prstGeom>
                    <a:noFill/>
                  </pic:spPr>
                </pic:pic>
              </a:graphicData>
            </a:graphic>
          </wp:anchor>
        </w:drawing>
      </w:r>
    </w:p>
    <w:p>
      <w:pPr>
        <w:spacing w:after="0" w:line="60"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212529"/>
        </w:rPr>
        <w:t xml:space="preserve">For the three and nine months ended </w:t>
      </w:r>
      <w:r>
        <w:rPr>
          <w:rFonts w:ascii="Arial" w:cs="Arial" w:eastAsia="Arial" w:hAnsi="Arial"/>
          <w:sz w:val="18"/>
          <w:szCs w:val="18"/>
          <w:color w:val="000000"/>
        </w:rPr>
        <w:t>September 30, 2021</w:t>
      </w:r>
      <w:r>
        <w:rPr>
          <w:rFonts w:ascii="Arial" w:cs="Arial" w:eastAsia="Arial" w:hAnsi="Arial"/>
          <w:sz w:val="18"/>
          <w:szCs w:val="18"/>
          <w:color w:val="212529"/>
        </w:rPr>
        <w:t xml:space="preserve">, our share of Crysvita collaboration revenue in the profit-share territory increased by </w:t>
      </w:r>
      <w:r>
        <w:rPr>
          <w:rFonts w:ascii="Arial" w:cs="Arial" w:eastAsia="Arial" w:hAnsi="Arial"/>
          <w:sz w:val="18"/>
          <w:szCs w:val="18"/>
          <w:color w:val="000000"/>
        </w:rPr>
        <w:t>$8.9</w:t>
      </w:r>
      <w:r>
        <w:rPr>
          <w:rFonts w:ascii="Arial" w:cs="Arial" w:eastAsia="Arial" w:hAnsi="Arial"/>
          <w:sz w:val="18"/>
          <w:szCs w:val="18"/>
          <w:color w:val="212529"/>
        </w:rPr>
        <w:t xml:space="preserve"> </w:t>
      </w:r>
      <w:r>
        <w:rPr>
          <w:rFonts w:ascii="Arial" w:cs="Arial" w:eastAsia="Arial" w:hAnsi="Arial"/>
          <w:sz w:val="18"/>
          <w:szCs w:val="18"/>
          <w:color w:val="000000"/>
        </w:rPr>
        <w:t>million and $29.9 million, respectively, as compared to the same periods in 2020. The increase primarily reflects the continuing increase in demand for Crysvita due to an increase in the number of patients on therapy.</w:t>
      </w:r>
    </w:p>
    <w:p>
      <w:pPr>
        <w:spacing w:after="0" w:line="48" w:lineRule="exact"/>
        <w:rPr>
          <w:sz w:val="20"/>
          <w:szCs w:val="20"/>
          <w:color w:val="auto"/>
        </w:rPr>
      </w:pPr>
    </w:p>
    <w:p>
      <w:pPr>
        <w:jc w:val="both"/>
        <w:ind w:right="80" w:firstLine="509"/>
        <w:spacing w:after="0" w:line="275" w:lineRule="auto"/>
        <w:rPr>
          <w:sz w:val="20"/>
          <w:szCs w:val="20"/>
          <w:color w:val="auto"/>
        </w:rPr>
      </w:pPr>
      <w:r>
        <w:rPr>
          <w:rFonts w:ascii="Arial" w:cs="Arial" w:eastAsia="Arial" w:hAnsi="Arial"/>
          <w:sz w:val="18"/>
          <w:szCs w:val="18"/>
          <w:color w:val="auto"/>
        </w:rPr>
        <w:t>Beginning in 2020, we have recorded Crysvita royalty revenue from sales in the European territory as non-cash royalty revenues. During the nine months ended September 30, 2021 and 2020, there were changes in the estimates on the revenue reserves, related to sales made prior to January 1, 2020, and as a result, we recorded $0.2 million and $1.5 million as royalty revenue in the European territory for the nine months ended September 30, 2021 and 2020, respectively.</w:t>
      </w:r>
    </w:p>
    <w:p>
      <w:pPr>
        <w:spacing w:after="0" w:line="50"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212529"/>
        </w:rPr>
        <w:t xml:space="preserve">In March 2020, we executed a license agreement with Daiichi Sankyo, pursuant to which we granted Daiichi Sankyo a non-exclusive license to intellectual property, including know-how and patent applications, with respect to our PCL and HEK293 transient transfection manufacturing technology platforms for AAV-based gene therapy products. We will also provide certain technical assistance and technology transfer services during the technology transfer period of three years to enable Daiichi Sankyo to use the technologies for its internal gene therapy programs. For the three and nine months ended </w:t>
      </w:r>
      <w:r>
        <w:rPr>
          <w:rFonts w:ascii="Arial" w:cs="Arial" w:eastAsia="Arial" w:hAnsi="Arial"/>
          <w:sz w:val="16"/>
          <w:szCs w:val="16"/>
          <w:color w:val="000000"/>
        </w:rPr>
        <w:t>September 30, 2021</w:t>
      </w:r>
      <w:r>
        <w:rPr>
          <w:rFonts w:ascii="Arial" w:cs="Arial" w:eastAsia="Arial" w:hAnsi="Arial"/>
          <w:sz w:val="16"/>
          <w:szCs w:val="16"/>
          <w:color w:val="212529"/>
        </w:rPr>
        <w:t>, the collaboration and license revenue from this arrangement decreased by $20.8 million and increased by $25.0 million, respectively,</w:t>
      </w:r>
      <w:r>
        <w:rPr>
          <w:rFonts w:ascii="Arial" w:cs="Arial" w:eastAsia="Arial" w:hAnsi="Arial"/>
          <w:sz w:val="16"/>
          <w:szCs w:val="16"/>
          <w:color w:val="000000"/>
        </w:rPr>
        <w:t xml:space="preserve"> </w:t>
      </w:r>
      <w:r>
        <w:rPr>
          <w:rFonts w:ascii="Arial" w:cs="Arial" w:eastAsia="Arial" w:hAnsi="Arial"/>
          <w:sz w:val="16"/>
          <w:szCs w:val="16"/>
          <w:color w:val="212529"/>
        </w:rPr>
        <w:t>as compared to the same periods in 2020. The increase in the nine months period and subsequent decrease in the three months period ended September 30, 2021 were related to the relative progress toward complete satisfaction of the individual performance obligation using an input measure as we near the completion of the technology transfer period which is currently expected to be substantially complete by the</w:t>
      </w:r>
    </w:p>
    <w:p>
      <w:pPr>
        <w:spacing w:after="0" w:line="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36" w:right="439" w:bottom="1440" w:gutter="0" w:footer="0" w:header="0"/>
        </w:sectPr>
      </w:pPr>
    </w:p>
    <w:bookmarkStart w:id="29" w:name="page30"/>
    <w:bookmarkEnd w:id="29"/>
    <w:p>
      <w:pPr>
        <w:ind w:right="220"/>
        <w:spacing w:after="0" w:line="324" w:lineRule="auto"/>
        <w:rPr>
          <w:sz w:val="20"/>
          <w:szCs w:val="20"/>
          <w:color w:val="auto"/>
        </w:rPr>
      </w:pPr>
      <w:r>
        <w:rPr>
          <w:rFonts w:ascii="Arial" w:cs="Arial" w:eastAsia="Arial" w:hAnsi="Arial"/>
          <w:sz w:val="18"/>
          <w:szCs w:val="18"/>
          <w:color w:val="212529"/>
        </w:rPr>
        <w:t>end of 2021, with a small remainder of the revenue allocated to the intellectual property and the transfer services expected to be recognized as revenue in the first quarter of 2022.</w:t>
      </w:r>
    </w:p>
    <w:p>
      <w:pPr>
        <w:spacing w:after="0" w:line="22" w:lineRule="exact"/>
        <w:rPr>
          <w:sz w:val="20"/>
          <w:szCs w:val="20"/>
          <w:color w:val="auto"/>
        </w:rPr>
      </w:pPr>
    </w:p>
    <w:p>
      <w:pPr>
        <w:ind w:right="40" w:firstLine="509"/>
        <w:spacing w:after="0" w:line="329" w:lineRule="auto"/>
        <w:rPr>
          <w:sz w:val="20"/>
          <w:szCs w:val="20"/>
          <w:color w:val="auto"/>
        </w:rPr>
      </w:pPr>
      <w:r>
        <w:rPr>
          <w:rFonts w:ascii="Arial" w:cs="Arial" w:eastAsia="Arial" w:hAnsi="Arial"/>
          <w:sz w:val="16"/>
          <w:szCs w:val="16"/>
          <w:color w:val="auto"/>
        </w:rPr>
        <w:t>The increases in product sales of $10.7 million and $31.0 million for the three and nine months ended September 30, 2021, respectively, compared to the same periods in 2020 were primarily due to the commercial launch of Dojolvi in the United States in the third quarter of 2020, continuing increase in demand for our approved products, and an increase in sales of our products under our named patient program in certain countries.</w:t>
      </w:r>
    </w:p>
    <w:p>
      <w:pPr>
        <w:spacing w:after="0" w:line="13"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The increases in Crysvita non-cash collaboration royalty revenue of $1.3 million and $3.8 million for the three and nine months ended September 30, 2021, respectively, compared to the same periods in 2020 primarily reflects the launch progress by our collaboration partner in European countries and an increase in the number of patients on therapy.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Sales (dollars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98"/>
        </w:trPr>
        <w:tc>
          <w:tcPr>
            <w:tcW w:w="4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 September 30,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142"/>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left="15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r>
      <w:tr>
        <w:trPr>
          <w:trHeight w:val="190"/>
        </w:trPr>
        <w:tc>
          <w:tcPr>
            <w:tcW w:w="4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Change</w:t>
            </w:r>
          </w:p>
        </w:tc>
        <w:tc>
          <w:tcPr>
            <w:tcW w:w="24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6"/>
                <w:szCs w:val="16"/>
                <w:color w:val="auto"/>
              </w:rPr>
            </w:pPr>
          </w:p>
        </w:tc>
      </w:tr>
      <w:tr>
        <w:trPr>
          <w:trHeight w:val="256"/>
        </w:trPr>
        <w:tc>
          <w:tcPr>
            <w:tcW w:w="4260" w:type="dxa"/>
            <w:vAlign w:val="bottom"/>
            <w:shd w:val="clear" w:color="auto" w:fill="CCECFF"/>
          </w:tcPr>
          <w:p>
            <w:pPr>
              <w:spacing w:after="0"/>
              <w:rPr>
                <w:sz w:val="20"/>
                <w:szCs w:val="20"/>
                <w:color w:val="auto"/>
              </w:rPr>
            </w:pPr>
            <w:r>
              <w:rPr>
                <w:rFonts w:ascii="Arial" w:cs="Arial" w:eastAsia="Arial" w:hAnsi="Arial"/>
                <w:sz w:val="18"/>
                <w:szCs w:val="18"/>
                <w:color w:val="auto"/>
              </w:rPr>
              <w:t>Cost of sales</w:t>
            </w:r>
          </w:p>
        </w:tc>
        <w:tc>
          <w:tcPr>
            <w:tcW w:w="2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4,175</w:t>
            </w:r>
          </w:p>
        </w:tc>
        <w:tc>
          <w:tcPr>
            <w:tcW w:w="56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2,348</w:t>
            </w:r>
          </w:p>
        </w:tc>
        <w:tc>
          <w:tcPr>
            <w:tcW w:w="440" w:type="dxa"/>
            <w:vAlign w:val="bottom"/>
            <w:gridSpan w:val="3"/>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1,827</w:t>
            </w:r>
          </w:p>
        </w:tc>
        <w:tc>
          <w:tcPr>
            <w:tcW w:w="1520" w:type="dxa"/>
            <w:vAlign w:val="bottom"/>
            <w:gridSpan w:val="3"/>
            <w:shd w:val="clear" w:color="auto" w:fill="CCECFF"/>
          </w:tcPr>
          <w:p>
            <w:pPr>
              <w:jc w:val="right"/>
              <w:ind w:right="100"/>
              <w:spacing w:after="0"/>
              <w:rPr>
                <w:sz w:val="20"/>
                <w:szCs w:val="20"/>
                <w:color w:val="auto"/>
              </w:rPr>
            </w:pPr>
            <w:r>
              <w:rPr>
                <w:rFonts w:ascii="Arial" w:cs="Arial" w:eastAsia="Arial" w:hAnsi="Arial"/>
                <w:sz w:val="18"/>
                <w:szCs w:val="18"/>
                <w:color w:val="auto"/>
              </w:rPr>
              <w:t>78 %</w:t>
            </w:r>
          </w:p>
        </w:tc>
      </w:tr>
      <w:tr>
        <w:trPr>
          <w:trHeight w:val="553"/>
        </w:trPr>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 September 30,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center"/>
              <w:ind w:right="162"/>
              <w:spacing w:after="0"/>
              <w:rPr>
                <w:sz w:val="20"/>
                <w:szCs w:val="20"/>
                <w:color w:val="auto"/>
              </w:rPr>
            </w:pPr>
            <w:r>
              <w:rPr>
                <w:rFonts w:ascii="Arial" w:cs="Arial" w:eastAsia="Arial" w:hAnsi="Arial"/>
                <w:sz w:val="14"/>
                <w:szCs w:val="14"/>
                <w:b w:val="1"/>
                <w:bCs w:val="1"/>
                <w:color w:val="auto"/>
                <w:w w:val="95"/>
              </w:rPr>
              <w:t>Dollar</w:t>
            </w:r>
          </w:p>
        </w:tc>
        <w:tc>
          <w:tcPr>
            <w:tcW w:w="1260" w:type="dxa"/>
            <w:vAlign w:val="bottom"/>
            <w:gridSpan w:val="2"/>
          </w:tcPr>
          <w:p>
            <w:pPr>
              <w:jc w:val="center"/>
              <w:ind w:left="15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4"/>
                <w:szCs w:val="24"/>
                <w:color w:val="auto"/>
              </w:rPr>
            </w:pPr>
          </w:p>
        </w:tc>
      </w:tr>
      <w:tr>
        <w:trPr>
          <w:trHeight w:val="190"/>
        </w:trPr>
        <w:tc>
          <w:tcPr>
            <w:tcW w:w="426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6"/>
                <w:szCs w:val="16"/>
                <w:color w:val="auto"/>
              </w:rPr>
            </w:pPr>
          </w:p>
        </w:tc>
      </w:tr>
      <w:tr>
        <w:trPr>
          <w:trHeight w:val="256"/>
        </w:trPr>
        <w:tc>
          <w:tcPr>
            <w:tcW w:w="4260" w:type="dxa"/>
            <w:vAlign w:val="bottom"/>
            <w:shd w:val="clear" w:color="auto" w:fill="CCECFF"/>
          </w:tcPr>
          <w:p>
            <w:pPr>
              <w:spacing w:after="0"/>
              <w:rPr>
                <w:sz w:val="20"/>
                <w:szCs w:val="20"/>
                <w:color w:val="auto"/>
              </w:rPr>
            </w:pPr>
            <w:r>
              <w:rPr>
                <w:rFonts w:ascii="Arial" w:cs="Arial" w:eastAsia="Arial" w:hAnsi="Arial"/>
                <w:sz w:val="18"/>
                <w:szCs w:val="18"/>
                <w:color w:val="auto"/>
              </w:rPr>
              <w:t>Cost of sales</w:t>
            </w:r>
          </w:p>
        </w:tc>
        <w:tc>
          <w:tcPr>
            <w:tcW w:w="24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12,499</w:t>
            </w:r>
          </w:p>
        </w:tc>
        <w:tc>
          <w:tcPr>
            <w:tcW w:w="56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648</w:t>
            </w:r>
          </w:p>
        </w:tc>
        <w:tc>
          <w:tcPr>
            <w:tcW w:w="20" w:type="dxa"/>
            <w:vAlign w:val="bottom"/>
            <w:shd w:val="clear" w:color="auto" w:fill="CCECFF"/>
          </w:tcPr>
          <w:p>
            <w:pPr>
              <w:spacing w:after="0"/>
              <w:rPr>
                <w:sz w:val="22"/>
                <w:szCs w:val="22"/>
                <w:color w:val="auto"/>
              </w:rPr>
            </w:pPr>
          </w:p>
        </w:tc>
        <w:tc>
          <w:tcPr>
            <w:tcW w:w="440" w:type="dxa"/>
            <w:vAlign w:val="bottom"/>
            <w:gridSpan w:val="3"/>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11,851</w:t>
            </w:r>
          </w:p>
        </w:tc>
        <w:tc>
          <w:tcPr>
            <w:tcW w:w="1520" w:type="dxa"/>
            <w:vAlign w:val="bottom"/>
            <w:gridSpan w:val="3"/>
            <w:shd w:val="clear" w:color="auto" w:fill="CCECFF"/>
          </w:tcPr>
          <w:p>
            <w:pPr>
              <w:jc w:val="right"/>
              <w:ind w:right="100"/>
              <w:spacing w:after="0"/>
              <w:rPr>
                <w:sz w:val="20"/>
                <w:szCs w:val="20"/>
                <w:color w:val="auto"/>
              </w:rPr>
            </w:pPr>
            <w:r>
              <w:rPr>
                <w:rFonts w:ascii="Arial" w:cs="Arial" w:eastAsia="Arial" w:hAnsi="Arial"/>
                <w:sz w:val="18"/>
                <w:szCs w:val="18"/>
                <w:color w:val="auto"/>
              </w:rPr>
              <w:t>1829 %</w:t>
            </w:r>
          </w:p>
        </w:tc>
      </w:tr>
    </w:tbl>
    <w:p>
      <w:pPr>
        <w:spacing w:after="0" w:line="80" w:lineRule="exact"/>
        <w:rPr>
          <w:sz w:val="20"/>
          <w:szCs w:val="20"/>
          <w:color w:val="auto"/>
        </w:rPr>
      </w:pPr>
    </w:p>
    <w:p>
      <w:pPr>
        <w:ind w:right="160" w:firstLine="509"/>
        <w:spacing w:after="0" w:line="309" w:lineRule="auto"/>
        <w:rPr>
          <w:sz w:val="20"/>
          <w:szCs w:val="20"/>
          <w:color w:val="auto"/>
        </w:rPr>
      </w:pPr>
      <w:r>
        <w:rPr>
          <w:rFonts w:ascii="Arial" w:cs="Arial" w:eastAsia="Arial" w:hAnsi="Arial"/>
          <w:sz w:val="16"/>
          <w:szCs w:val="16"/>
          <w:color w:val="auto"/>
        </w:rPr>
        <w:t>Cost of sales increased by $1.8 million and $11.9 million for the three and nine months ended September 30, 2021, respectively, compared to the same periods in 2020. The increase in cost of sales for the three months ended September 30, 2021 compared to the same period in 2020 was due to an increase in demand for our approved products including Dojolvi, which launched in the third quarter of 2020. The increase in cost of sales for the nine months ended September 30, 2021 compared to the same period in 2020 was due to an increase in demand for our approved products including Dojolvi, which launched in the third quarter of 2020 and a credit for the manufacturing of future inventory batches of $4.6 million due to certain inventory batches that did not meet specified quality standards which we recorded during the nine months ended September 30, 2020. The increase was offset by additional reserves of $1.7 million for excess inventory write-downs recorded during the nine months ended September 30,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 (dollars in thousands)</w:t>
      </w:r>
    </w:p>
    <w:p>
      <w:pPr>
        <w:spacing w:after="0" w:line="104" w:lineRule="exact"/>
        <w:rPr>
          <w:sz w:val="20"/>
          <w:szCs w:val="20"/>
          <w:color w:val="auto"/>
        </w:rPr>
      </w:pPr>
    </w:p>
    <w:p>
      <w:pPr>
        <w:ind w:right="140" w:firstLine="469"/>
        <w:spacing w:after="0" w:line="314" w:lineRule="auto"/>
        <w:rPr>
          <w:sz w:val="20"/>
          <w:szCs w:val="20"/>
          <w:color w:val="auto"/>
        </w:rPr>
      </w:pPr>
      <w:r>
        <w:rPr>
          <w:rFonts w:ascii="Arial" w:cs="Arial" w:eastAsia="Arial" w:hAnsi="Arial"/>
          <w:sz w:val="16"/>
          <w:szCs w:val="16"/>
          <w:color w:val="auto"/>
        </w:rPr>
        <w:t>Research and development expenses include internal and external costs incurred for research and development of our programs and program candidates and expenses related to certain technology that we acquire or license through business development transactions. These expenses consist primarily of clinical studies performed by contract research organizations, manufacturing of drug substance and drug product performed by contract manufacturing organizations, materials and supplies, fees from collaborative and other arrangements including milestones, licenses and other fees, personnel costs including salaries, benefits and stock-based compensation, and overhead allocations consisting of various support and infrastructure costs.</w:t>
      </w:r>
    </w:p>
    <w:p>
      <w:pPr>
        <w:spacing w:after="0" w:line="25" w:lineRule="exact"/>
        <w:rPr>
          <w:sz w:val="20"/>
          <w:szCs w:val="20"/>
          <w:color w:val="auto"/>
        </w:rPr>
      </w:pPr>
    </w:p>
    <w:p>
      <w:pPr>
        <w:ind w:right="100" w:firstLine="469"/>
        <w:spacing w:after="0" w:line="292" w:lineRule="auto"/>
        <w:rPr>
          <w:sz w:val="20"/>
          <w:szCs w:val="20"/>
          <w:color w:val="auto"/>
        </w:rPr>
      </w:pPr>
      <w:r>
        <w:rPr>
          <w:rFonts w:ascii="Arial" w:cs="Arial" w:eastAsia="Arial" w:hAnsi="Arial"/>
          <w:sz w:val="17"/>
          <w:szCs w:val="17"/>
          <w:color w:val="auto"/>
        </w:rPr>
        <w:t>Commercial programs include costs for disease monitoring programs and certain regulatory and medical affairs support activities for programs after commercial approval. Clinical programs include study conduct and manufacturing costs related to clinical program candidates. Translational research includes costs for preclinical study work and costs related to preclinical programs prior to IND filing. Upfront license and milestone fees include any significant expenses related to strategic licensing agreements. Infrastructure costs include direct costs related to laboratory, IT, and equipment depreciation costs, and overhead allocations for human resources, IT and other allocable costs.</w:t>
      </w:r>
    </w:p>
    <w:p>
      <w:pPr>
        <w:spacing w:after="0" w:line="3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provides a breakout of our research and development expenses by major program type and business activities: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w w:val="96"/>
              </w:rPr>
              <w:t>Three Months Ended September 30,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Dollar</w:t>
            </w:r>
          </w:p>
        </w:tc>
        <w:tc>
          <w:tcPr>
            <w:tcW w:w="1160" w:type="dxa"/>
            <w:vAlign w:val="bottom"/>
          </w:tcPr>
          <w:p>
            <w:pPr>
              <w:jc w:val="right"/>
              <w:ind w:right="41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4020" w:type="dxa"/>
            <w:vAlign w:val="bottom"/>
            <w:shd w:val="clear" w:color="auto" w:fill="CCECFF"/>
          </w:tcPr>
          <w:p>
            <w:pPr>
              <w:ind w:left="360"/>
              <w:spacing w:after="0"/>
              <w:rPr>
                <w:sz w:val="20"/>
                <w:szCs w:val="20"/>
                <w:color w:val="auto"/>
              </w:rPr>
            </w:pPr>
            <w:r>
              <w:rPr>
                <w:rFonts w:ascii="Arial" w:cs="Arial" w:eastAsia="Arial" w:hAnsi="Arial"/>
                <w:sz w:val="18"/>
                <w:szCs w:val="18"/>
                <w:color w:val="auto"/>
              </w:rPr>
              <w:t>Commercial programs</w:t>
            </w: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12,696</w:t>
            </w:r>
          </w:p>
        </w:tc>
        <w:tc>
          <w:tcPr>
            <w:tcW w:w="540" w:type="dxa"/>
            <w:vAlign w:val="bottom"/>
            <w:gridSpan w:val="2"/>
            <w:shd w:val="clear" w:color="auto" w:fill="CCEC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11,548</w:t>
            </w:r>
          </w:p>
        </w:tc>
        <w:tc>
          <w:tcPr>
            <w:tcW w:w="48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1,148</w:t>
            </w:r>
          </w:p>
        </w:tc>
        <w:tc>
          <w:tcPr>
            <w:tcW w:w="200" w:type="dxa"/>
            <w:vAlign w:val="bottom"/>
            <w:shd w:val="clear" w:color="auto" w:fill="CCECFF"/>
          </w:tcPr>
          <w:p>
            <w:pPr>
              <w:spacing w:after="0"/>
              <w:rPr>
                <w:sz w:val="22"/>
                <w:szCs w:val="22"/>
                <w:color w:val="auto"/>
              </w:rPr>
            </w:pPr>
          </w:p>
        </w:tc>
        <w:tc>
          <w:tcPr>
            <w:tcW w:w="14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10 %</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020" w:type="dxa"/>
            <w:vAlign w:val="bottom"/>
          </w:tcPr>
          <w:p>
            <w:pPr>
              <w:ind w:left="360"/>
              <w:spacing w:after="0"/>
              <w:rPr>
                <w:sz w:val="20"/>
                <w:szCs w:val="20"/>
                <w:color w:val="auto"/>
              </w:rPr>
            </w:pPr>
            <w:r>
              <w:rPr>
                <w:rFonts w:ascii="Arial" w:cs="Arial" w:eastAsia="Arial" w:hAnsi="Arial"/>
                <w:sz w:val="18"/>
                <w:szCs w:val="18"/>
                <w:color w:val="auto"/>
              </w:rPr>
              <w:t>Clinical programs: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020" w:type="dxa"/>
            <w:vAlign w:val="bottom"/>
            <w:shd w:val="clear" w:color="auto" w:fill="CCECFF"/>
          </w:tcPr>
          <w:p>
            <w:pPr>
              <w:ind w:left="540"/>
              <w:spacing w:after="0"/>
              <w:rPr>
                <w:sz w:val="20"/>
                <w:szCs w:val="20"/>
                <w:color w:val="auto"/>
              </w:rPr>
            </w:pPr>
            <w:r>
              <w:rPr>
                <w:rFonts w:ascii="Arial" w:cs="Arial" w:eastAsia="Arial" w:hAnsi="Arial"/>
                <w:sz w:val="18"/>
                <w:szCs w:val="18"/>
                <w:color w:val="auto"/>
              </w:rPr>
              <w:t>Gene therapy programs</w:t>
            </w:r>
          </w:p>
        </w:tc>
        <w:tc>
          <w:tcPr>
            <w:tcW w:w="220" w:type="dxa"/>
            <w:vAlign w:val="bottom"/>
            <w:shd w:val="clear" w:color="auto" w:fill="CCECFF"/>
          </w:tcPr>
          <w:p>
            <w:pPr>
              <w:spacing w:after="0"/>
              <w:rPr>
                <w:sz w:val="22"/>
                <w:szCs w:val="22"/>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28,039</w:t>
            </w:r>
          </w:p>
        </w:tc>
        <w:tc>
          <w:tcPr>
            <w:tcW w:w="2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14,938</w:t>
            </w:r>
          </w:p>
        </w:tc>
        <w:tc>
          <w:tcPr>
            <w:tcW w:w="20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13,101</w:t>
            </w:r>
          </w:p>
        </w:tc>
        <w:tc>
          <w:tcPr>
            <w:tcW w:w="200" w:type="dxa"/>
            <w:vAlign w:val="bottom"/>
            <w:shd w:val="clear" w:color="auto" w:fill="CCECFF"/>
          </w:tcPr>
          <w:p>
            <w:pPr>
              <w:spacing w:after="0"/>
              <w:rPr>
                <w:sz w:val="22"/>
                <w:szCs w:val="22"/>
                <w:color w:val="auto"/>
              </w:rPr>
            </w:pPr>
          </w:p>
        </w:tc>
        <w:tc>
          <w:tcPr>
            <w:tcW w:w="14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88 %</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80" w:type="dxa"/>
            <w:vAlign w:val="bottom"/>
          </w:tcPr>
          <w:p>
            <w:pPr>
              <w:spacing w:after="0"/>
              <w:rPr>
                <w:sz w:val="21"/>
                <w:szCs w:val="21"/>
                <w:color w:val="auto"/>
              </w:rPr>
            </w:pPr>
          </w:p>
        </w:tc>
        <w:tc>
          <w:tcPr>
            <w:tcW w:w="4020" w:type="dxa"/>
            <w:vAlign w:val="bottom"/>
          </w:tcPr>
          <w:p>
            <w:pPr>
              <w:ind w:left="540"/>
              <w:spacing w:after="0"/>
              <w:rPr>
                <w:sz w:val="20"/>
                <w:szCs w:val="20"/>
                <w:color w:val="auto"/>
              </w:rPr>
            </w:pPr>
            <w:r>
              <w:rPr>
                <w:rFonts w:ascii="Arial" w:cs="Arial" w:eastAsia="Arial" w:hAnsi="Arial"/>
                <w:sz w:val="18"/>
                <w:szCs w:val="18"/>
                <w:color w:val="auto"/>
              </w:rPr>
              <w:t>Nucleic acid and other biologic</w:t>
            </w:r>
          </w:p>
        </w:tc>
        <w:tc>
          <w:tcPr>
            <w:tcW w:w="220" w:type="dxa"/>
            <w:vAlign w:val="bottom"/>
          </w:tcPr>
          <w:p>
            <w:pPr>
              <w:spacing w:after="0"/>
              <w:rPr>
                <w:sz w:val="21"/>
                <w:szCs w:val="2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13,137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12,509</w:t>
            </w:r>
          </w:p>
        </w:tc>
        <w:tc>
          <w:tcPr>
            <w:tcW w:w="200" w:type="dxa"/>
            <w:vAlign w:val="bottom"/>
          </w:tcPr>
          <w:p>
            <w:pPr>
              <w:spacing w:after="0"/>
              <w:rPr>
                <w:sz w:val="21"/>
                <w:szCs w:val="2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580" w:type="dxa"/>
            <w:vAlign w:val="bottom"/>
          </w:tcPr>
          <w:p>
            <w:pPr>
              <w:spacing w:after="0"/>
              <w:rPr>
                <w:sz w:val="9"/>
                <w:szCs w:val="9"/>
                <w:color w:val="auto"/>
              </w:rPr>
            </w:pPr>
          </w:p>
        </w:tc>
        <w:tc>
          <w:tcPr>
            <w:tcW w:w="4020" w:type="dxa"/>
            <w:vAlign w:val="bottom"/>
            <w:vMerge w:val="restart"/>
          </w:tcPr>
          <w:p>
            <w:pPr>
              <w:ind w:left="720"/>
              <w:spacing w:after="0"/>
              <w:rPr>
                <w:sz w:val="20"/>
                <w:szCs w:val="20"/>
                <w:color w:val="auto"/>
              </w:rPr>
            </w:pPr>
            <w:r>
              <w:rPr>
                <w:rFonts w:ascii="Arial" w:cs="Arial" w:eastAsia="Arial" w:hAnsi="Arial"/>
                <w:sz w:val="18"/>
                <w:szCs w:val="18"/>
                <w:color w:val="auto"/>
              </w:rPr>
              <w:t>programs</w:t>
            </w:r>
          </w:p>
        </w:tc>
        <w:tc>
          <w:tcPr>
            <w:tcW w:w="2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40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020" w:type="dxa"/>
            <w:vAlign w:val="bottom"/>
            <w:shd w:val="clear" w:color="auto" w:fill="CCECFF"/>
          </w:tcPr>
          <w:p>
            <w:pPr>
              <w:ind w:left="360"/>
              <w:spacing w:after="0"/>
              <w:rPr>
                <w:sz w:val="20"/>
                <w:szCs w:val="20"/>
                <w:color w:val="auto"/>
              </w:rPr>
            </w:pPr>
            <w:r>
              <w:rPr>
                <w:rFonts w:ascii="Arial" w:cs="Arial" w:eastAsia="Arial" w:hAnsi="Arial"/>
                <w:sz w:val="18"/>
                <w:szCs w:val="18"/>
                <w:color w:val="auto"/>
              </w:rPr>
              <w:t>Translational research</w:t>
            </w:r>
          </w:p>
        </w:tc>
        <w:tc>
          <w:tcPr>
            <w:tcW w:w="220" w:type="dxa"/>
            <w:vAlign w:val="bottom"/>
            <w:shd w:val="clear" w:color="auto" w:fill="CCECFF"/>
          </w:tcPr>
          <w:p>
            <w:pPr>
              <w:spacing w:after="0"/>
              <w:rPr>
                <w:sz w:val="22"/>
                <w:szCs w:val="22"/>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16,101</w:t>
            </w:r>
          </w:p>
        </w:tc>
        <w:tc>
          <w:tcPr>
            <w:tcW w:w="2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22,265</w:t>
            </w:r>
          </w:p>
        </w:tc>
        <w:tc>
          <w:tcPr>
            <w:tcW w:w="20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126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(6,164 )</w:t>
            </w:r>
          </w:p>
        </w:tc>
        <w:tc>
          <w:tcPr>
            <w:tcW w:w="14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-28 %</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020" w:type="dxa"/>
            <w:vAlign w:val="bottom"/>
          </w:tcPr>
          <w:p>
            <w:pPr>
              <w:ind w:left="360"/>
              <w:spacing w:after="0"/>
              <w:rPr>
                <w:sz w:val="20"/>
                <w:szCs w:val="20"/>
                <w:color w:val="auto"/>
              </w:rPr>
            </w:pPr>
            <w:r>
              <w:rPr>
                <w:rFonts w:ascii="Arial" w:cs="Arial" w:eastAsia="Arial" w:hAnsi="Arial"/>
                <w:sz w:val="18"/>
                <w:szCs w:val="18"/>
                <w:color w:val="auto"/>
              </w:rPr>
              <w:t>Infrastructure</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14,748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11,376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3,372</w:t>
            </w:r>
          </w:p>
        </w:tc>
        <w:tc>
          <w:tcPr>
            <w:tcW w:w="20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020" w:type="dxa"/>
            <w:vAlign w:val="bottom"/>
            <w:shd w:val="clear" w:color="auto" w:fill="CCECFF"/>
          </w:tcPr>
          <w:p>
            <w:pPr>
              <w:ind w:left="36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CFF"/>
          </w:tcPr>
          <w:p>
            <w:pPr>
              <w:spacing w:after="0"/>
              <w:rPr>
                <w:sz w:val="22"/>
                <w:szCs w:val="22"/>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15,366</w:t>
            </w:r>
          </w:p>
        </w:tc>
        <w:tc>
          <w:tcPr>
            <w:tcW w:w="2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11,533</w:t>
            </w:r>
          </w:p>
        </w:tc>
        <w:tc>
          <w:tcPr>
            <w:tcW w:w="20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3,833</w:t>
            </w:r>
          </w:p>
        </w:tc>
        <w:tc>
          <w:tcPr>
            <w:tcW w:w="200" w:type="dxa"/>
            <w:vAlign w:val="bottom"/>
            <w:shd w:val="clear" w:color="auto" w:fill="CCECFF"/>
          </w:tcPr>
          <w:p>
            <w:pPr>
              <w:spacing w:after="0"/>
              <w:rPr>
                <w:sz w:val="22"/>
                <w:szCs w:val="22"/>
                <w:color w:val="auto"/>
              </w:rPr>
            </w:pPr>
          </w:p>
        </w:tc>
        <w:tc>
          <w:tcPr>
            <w:tcW w:w="14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33 %</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4020" w:type="dxa"/>
            <w:vAlign w:val="bottom"/>
          </w:tcPr>
          <w:p>
            <w:pPr>
              <w:ind w:left="360"/>
              <w:spacing w:after="0"/>
              <w:rPr>
                <w:sz w:val="20"/>
                <w:szCs w:val="20"/>
                <w:color w:val="auto"/>
              </w:rPr>
            </w:pPr>
            <w:r>
              <w:rPr>
                <w:rFonts w:ascii="Arial" w:cs="Arial" w:eastAsia="Arial" w:hAnsi="Arial"/>
                <w:sz w:val="18"/>
                <w:szCs w:val="18"/>
                <w:color w:val="auto"/>
              </w:rPr>
              <w:t>Other research and development</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13,330</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15,026</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(1,696 )</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-11 %</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580" w:type="dxa"/>
            <w:vAlign w:val="bottom"/>
          </w:tcPr>
          <w:p>
            <w:pPr>
              <w:spacing w:after="0"/>
              <w:rPr>
                <w:sz w:val="24"/>
                <w:szCs w:val="24"/>
                <w:color w:val="auto"/>
              </w:rPr>
            </w:pPr>
          </w:p>
        </w:tc>
        <w:tc>
          <w:tcPr>
            <w:tcW w:w="402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113,417</w:t>
            </w:r>
          </w:p>
        </w:tc>
        <w:tc>
          <w:tcPr>
            <w:tcW w:w="220" w:type="dxa"/>
            <w:vAlign w:val="bottom"/>
            <w:tcBorders>
              <w:bottom w:val="single" w:sz="8" w:color="CCECFF"/>
            </w:tcBorders>
            <w:shd w:val="clear" w:color="auto" w:fill="CCECFF"/>
          </w:tcPr>
          <w:p>
            <w:pPr>
              <w:spacing w:after="0"/>
              <w:rPr>
                <w:sz w:val="24"/>
                <w:szCs w:val="24"/>
                <w:color w:val="auto"/>
              </w:rPr>
            </w:pPr>
          </w:p>
        </w:tc>
        <w:tc>
          <w:tcPr>
            <w:tcW w:w="320" w:type="dxa"/>
            <w:vAlign w:val="bottom"/>
            <w:tcBorders>
              <w:top w:val="single" w:sz="8" w:color="auto"/>
              <w:bottom w:val="single" w:sz="8" w:color="auto"/>
            </w:tcBorders>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87,314</w:t>
            </w:r>
          </w:p>
        </w:tc>
        <w:tc>
          <w:tcPr>
            <w:tcW w:w="200" w:type="dxa"/>
            <w:vAlign w:val="bottom"/>
            <w:tcBorders>
              <w:bottom w:val="single" w:sz="8" w:color="CCECFF"/>
            </w:tcBorders>
            <w:shd w:val="clear" w:color="auto" w:fill="CCECFF"/>
          </w:tcPr>
          <w:p>
            <w:pPr>
              <w:spacing w:after="0"/>
              <w:rPr>
                <w:sz w:val="24"/>
                <w:szCs w:val="24"/>
                <w:color w:val="auto"/>
              </w:rPr>
            </w:pPr>
          </w:p>
        </w:tc>
        <w:tc>
          <w:tcPr>
            <w:tcW w:w="28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26,103</w:t>
            </w:r>
          </w:p>
        </w:tc>
        <w:tc>
          <w:tcPr>
            <w:tcW w:w="200" w:type="dxa"/>
            <w:vAlign w:val="bottom"/>
            <w:tcBorders>
              <w:bottom w:val="single" w:sz="8" w:color="CCECFF"/>
            </w:tcBorders>
            <w:shd w:val="clear" w:color="auto" w:fill="CCECFF"/>
          </w:tcPr>
          <w:p>
            <w:pPr>
              <w:spacing w:after="0"/>
              <w:rPr>
                <w:sz w:val="24"/>
                <w:szCs w:val="24"/>
                <w:color w:val="auto"/>
              </w:rPr>
            </w:pPr>
          </w:p>
        </w:tc>
        <w:tc>
          <w:tcPr>
            <w:tcW w:w="1420" w:type="dxa"/>
            <w:vAlign w:val="bottom"/>
            <w:tcBorders>
              <w:bottom w:val="single" w:sz="8" w:color="CCECFF"/>
            </w:tcBorders>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30 %</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 not meaningful</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-565150</wp:posOffset>
            </wp:positionV>
            <wp:extent cx="1371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-548005</wp:posOffset>
            </wp:positionV>
            <wp:extent cx="1371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-565150</wp:posOffset>
            </wp:positionV>
            <wp:extent cx="13716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-548005</wp:posOffset>
            </wp:positionV>
            <wp:extent cx="13716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-565150</wp:posOffset>
            </wp:positionV>
            <wp:extent cx="1371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-548005</wp:posOffset>
            </wp:positionV>
            <wp:extent cx="1371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tbl>
      <w:tblPr>
        <w:tblLayout w:type="fixed"/>
        <w:tblInd w:w="580" w:type="dxa"/>
        <w:tblCellMar>
          <w:top w:w="0" w:type="dxa"/>
          <w:left w:w="0" w:type="dxa"/>
          <w:bottom w:w="0" w:type="dxa"/>
          <w:right w:w="0" w:type="dxa"/>
        </w:tblCellMar>
      </w:tblPr>
      <w:tr>
        <w:trPr>
          <w:trHeight w:val="198"/>
        </w:trPr>
        <w:tc>
          <w:tcPr>
            <w:tcW w:w="4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w w:val="98"/>
              </w:rPr>
              <w:t>Nine Months Ended September 30,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Dollar</w:t>
            </w:r>
          </w:p>
        </w:tc>
        <w:tc>
          <w:tcPr>
            <w:tcW w:w="1160" w:type="dxa"/>
            <w:vAlign w:val="bottom"/>
          </w:tcPr>
          <w:p>
            <w:pPr>
              <w:jc w:val="right"/>
              <w:ind w:right="41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0" w:type="dxa"/>
            <w:vAlign w:val="bottom"/>
            <w:shd w:val="clear" w:color="auto" w:fill="CCECFF"/>
          </w:tcPr>
          <w:p>
            <w:pPr>
              <w:ind w:left="360"/>
              <w:spacing w:after="0"/>
              <w:rPr>
                <w:sz w:val="20"/>
                <w:szCs w:val="20"/>
                <w:color w:val="auto"/>
              </w:rPr>
            </w:pPr>
            <w:r>
              <w:rPr>
                <w:rFonts w:ascii="Arial" w:cs="Arial" w:eastAsia="Arial" w:hAnsi="Arial"/>
                <w:sz w:val="18"/>
                <w:szCs w:val="18"/>
                <w:color w:val="auto"/>
              </w:rPr>
              <w:t>Commercial programs</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38,998</w:t>
            </w:r>
          </w:p>
        </w:tc>
        <w:tc>
          <w:tcPr>
            <w:tcW w:w="520" w:type="dxa"/>
            <w:vAlign w:val="bottom"/>
            <w:gridSpan w:val="2"/>
            <w:shd w:val="clear" w:color="auto" w:fill="CCEC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31,244</w:t>
            </w:r>
          </w:p>
        </w:tc>
        <w:tc>
          <w:tcPr>
            <w:tcW w:w="48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7,754</w:t>
            </w:r>
          </w:p>
        </w:tc>
        <w:tc>
          <w:tcPr>
            <w:tcW w:w="220" w:type="dxa"/>
            <w:vAlign w:val="bottom"/>
            <w:shd w:val="clear" w:color="auto" w:fill="CCECFF"/>
          </w:tcPr>
          <w:p>
            <w:pPr>
              <w:spacing w:after="0"/>
              <w:rPr>
                <w:sz w:val="22"/>
                <w:szCs w:val="22"/>
                <w:color w:val="auto"/>
              </w:rPr>
            </w:pPr>
          </w:p>
        </w:tc>
        <w:tc>
          <w:tcPr>
            <w:tcW w:w="14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50"/>
        </w:trPr>
        <w:tc>
          <w:tcPr>
            <w:tcW w:w="4000" w:type="dxa"/>
            <w:vAlign w:val="bottom"/>
          </w:tcPr>
          <w:p>
            <w:pPr>
              <w:ind w:left="360"/>
              <w:spacing w:after="0"/>
              <w:rPr>
                <w:sz w:val="20"/>
                <w:szCs w:val="20"/>
                <w:color w:val="auto"/>
              </w:rPr>
            </w:pPr>
            <w:r>
              <w:rPr>
                <w:rFonts w:ascii="Arial" w:cs="Arial" w:eastAsia="Arial" w:hAnsi="Arial"/>
                <w:sz w:val="18"/>
                <w:szCs w:val="18"/>
                <w:color w:val="auto"/>
              </w:rPr>
              <w:t>Clinical programs: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00" w:type="dxa"/>
            <w:vAlign w:val="bottom"/>
            <w:shd w:val="clear" w:color="auto" w:fill="CCECFF"/>
          </w:tcPr>
          <w:p>
            <w:pPr>
              <w:ind w:left="540"/>
              <w:spacing w:after="0"/>
              <w:rPr>
                <w:sz w:val="20"/>
                <w:szCs w:val="20"/>
                <w:color w:val="auto"/>
              </w:rPr>
            </w:pPr>
            <w:r>
              <w:rPr>
                <w:rFonts w:ascii="Arial" w:cs="Arial" w:eastAsia="Arial" w:hAnsi="Arial"/>
                <w:sz w:val="18"/>
                <w:szCs w:val="18"/>
                <w:color w:val="auto"/>
              </w:rPr>
              <w:t>Gene therapy programs</w:t>
            </w:r>
          </w:p>
        </w:tc>
        <w:tc>
          <w:tcPr>
            <w:tcW w:w="240" w:type="dxa"/>
            <w:vAlign w:val="bottom"/>
            <w:shd w:val="clear" w:color="auto" w:fill="CCECFF"/>
          </w:tcPr>
          <w:p>
            <w:pPr>
              <w:spacing w:after="0"/>
              <w:rPr>
                <w:sz w:val="22"/>
                <w:szCs w:val="22"/>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79,136</w:t>
            </w:r>
          </w:p>
        </w:tc>
        <w:tc>
          <w:tcPr>
            <w:tcW w:w="22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37,197</w:t>
            </w:r>
          </w:p>
        </w:tc>
        <w:tc>
          <w:tcPr>
            <w:tcW w:w="22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41,939</w:t>
            </w:r>
          </w:p>
        </w:tc>
        <w:tc>
          <w:tcPr>
            <w:tcW w:w="220" w:type="dxa"/>
            <w:vAlign w:val="bottom"/>
            <w:shd w:val="clear" w:color="auto" w:fill="CCECFF"/>
          </w:tcPr>
          <w:p>
            <w:pPr>
              <w:spacing w:after="0"/>
              <w:rPr>
                <w:sz w:val="22"/>
                <w:szCs w:val="22"/>
                <w:color w:val="auto"/>
              </w:rPr>
            </w:pPr>
          </w:p>
        </w:tc>
        <w:tc>
          <w:tcPr>
            <w:tcW w:w="14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42"/>
        </w:trPr>
        <w:tc>
          <w:tcPr>
            <w:tcW w:w="4000" w:type="dxa"/>
            <w:vAlign w:val="bottom"/>
          </w:tcPr>
          <w:p>
            <w:pPr>
              <w:ind w:left="540"/>
              <w:spacing w:after="0"/>
              <w:rPr>
                <w:sz w:val="20"/>
                <w:szCs w:val="20"/>
                <w:color w:val="auto"/>
              </w:rPr>
            </w:pPr>
            <w:r>
              <w:rPr>
                <w:rFonts w:ascii="Arial" w:cs="Arial" w:eastAsia="Arial" w:hAnsi="Arial"/>
                <w:sz w:val="18"/>
                <w:szCs w:val="18"/>
                <w:color w:val="auto"/>
              </w:rPr>
              <w:t>Nucleic acid and other biologic</w:t>
            </w:r>
          </w:p>
        </w:tc>
        <w:tc>
          <w:tcPr>
            <w:tcW w:w="240" w:type="dxa"/>
            <w:vAlign w:val="bottom"/>
          </w:tcPr>
          <w:p>
            <w:pPr>
              <w:spacing w:after="0"/>
              <w:rPr>
                <w:sz w:val="21"/>
                <w:szCs w:val="2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32,732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1,960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30,772</w:t>
            </w:r>
          </w:p>
        </w:tc>
        <w:tc>
          <w:tcPr>
            <w:tcW w:w="220" w:type="dxa"/>
            <w:vAlign w:val="bottom"/>
          </w:tcPr>
          <w:p>
            <w:pPr>
              <w:spacing w:after="0"/>
              <w:rPr>
                <w:sz w:val="21"/>
                <w:szCs w:val="2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4000" w:type="dxa"/>
            <w:vAlign w:val="bottom"/>
            <w:vMerge w:val="restart"/>
          </w:tcPr>
          <w:p>
            <w:pPr>
              <w:ind w:left="720"/>
              <w:spacing w:after="0"/>
              <w:rPr>
                <w:sz w:val="20"/>
                <w:szCs w:val="20"/>
                <w:color w:val="auto"/>
              </w:rPr>
            </w:pPr>
            <w:r>
              <w:rPr>
                <w:rFonts w:ascii="Arial" w:cs="Arial" w:eastAsia="Arial" w:hAnsi="Arial"/>
                <w:sz w:val="18"/>
                <w:szCs w:val="18"/>
                <w:color w:val="auto"/>
              </w:rPr>
              <w:t>programs</w:t>
            </w:r>
          </w:p>
        </w:tc>
        <w:tc>
          <w:tcPr>
            <w:tcW w:w="2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4000" w:type="dxa"/>
            <w:vAlign w:val="bottom"/>
            <w:shd w:val="clear" w:color="auto" w:fill="CCECFF"/>
          </w:tcPr>
          <w:p>
            <w:pPr>
              <w:ind w:left="540"/>
              <w:spacing w:after="0"/>
              <w:rPr>
                <w:sz w:val="20"/>
                <w:szCs w:val="20"/>
                <w:color w:val="auto"/>
              </w:rPr>
            </w:pPr>
            <w:r>
              <w:rPr>
                <w:rFonts w:ascii="Arial" w:cs="Arial" w:eastAsia="Arial" w:hAnsi="Arial"/>
                <w:sz w:val="18"/>
                <w:szCs w:val="18"/>
                <w:color w:val="auto"/>
              </w:rPr>
              <w:t>Small molecule programs</w:t>
            </w:r>
          </w:p>
        </w:tc>
        <w:tc>
          <w:tcPr>
            <w:tcW w:w="240" w:type="dxa"/>
            <w:vAlign w:val="bottom"/>
            <w:shd w:val="clear" w:color="auto" w:fill="CCECFF"/>
          </w:tcPr>
          <w:p>
            <w:pPr>
              <w:spacing w:after="0"/>
              <w:rPr>
                <w:sz w:val="22"/>
                <w:szCs w:val="22"/>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7,440</w:t>
            </w:r>
          </w:p>
        </w:tc>
        <w:tc>
          <w:tcPr>
            <w:tcW w:w="22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128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(7,440 )</w:t>
            </w:r>
          </w:p>
        </w:tc>
        <w:tc>
          <w:tcPr>
            <w:tcW w:w="14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0"/>
        </w:trPr>
        <w:tc>
          <w:tcPr>
            <w:tcW w:w="4000" w:type="dxa"/>
            <w:vAlign w:val="bottom"/>
          </w:tcPr>
          <w:p>
            <w:pPr>
              <w:ind w:left="360"/>
              <w:spacing w:after="0"/>
              <w:rPr>
                <w:sz w:val="20"/>
                <w:szCs w:val="20"/>
                <w:color w:val="auto"/>
              </w:rPr>
            </w:pPr>
            <w:r>
              <w:rPr>
                <w:rFonts w:ascii="Arial" w:cs="Arial" w:eastAsia="Arial" w:hAnsi="Arial"/>
                <w:sz w:val="18"/>
                <w:szCs w:val="18"/>
                <w:color w:val="auto"/>
              </w:rPr>
              <w:t>Translational research</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45,361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54,637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(9,276 )</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63"/>
        </w:trPr>
        <w:tc>
          <w:tcPr>
            <w:tcW w:w="4000" w:type="dxa"/>
            <w:vAlign w:val="bottom"/>
            <w:shd w:val="clear" w:color="auto" w:fill="CCECFF"/>
          </w:tcPr>
          <w:p>
            <w:pPr>
              <w:ind w:left="360"/>
              <w:spacing w:after="0"/>
              <w:rPr>
                <w:sz w:val="20"/>
                <w:szCs w:val="20"/>
                <w:color w:val="auto"/>
              </w:rPr>
            </w:pPr>
            <w:r>
              <w:rPr>
                <w:rFonts w:ascii="Arial" w:cs="Arial" w:eastAsia="Arial" w:hAnsi="Arial"/>
                <w:sz w:val="18"/>
                <w:szCs w:val="18"/>
                <w:color w:val="auto"/>
              </w:rPr>
              <w:t>Upfront license and milestone fees</w:t>
            </w:r>
          </w:p>
        </w:tc>
        <w:tc>
          <w:tcPr>
            <w:tcW w:w="240" w:type="dxa"/>
            <w:vAlign w:val="bottom"/>
            <w:shd w:val="clear" w:color="auto" w:fill="CCECFF"/>
          </w:tcPr>
          <w:p>
            <w:pPr>
              <w:spacing w:after="0"/>
              <w:rPr>
                <w:sz w:val="22"/>
                <w:szCs w:val="22"/>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33,200</w:t>
            </w:r>
          </w:p>
        </w:tc>
        <w:tc>
          <w:tcPr>
            <w:tcW w:w="22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16,800</w:t>
            </w:r>
          </w:p>
        </w:tc>
        <w:tc>
          <w:tcPr>
            <w:tcW w:w="220" w:type="dxa"/>
            <w:vAlign w:val="bottom"/>
            <w:shd w:val="clear" w:color="auto" w:fill="CCECFF"/>
          </w:tcPr>
          <w:p>
            <w:pPr>
              <w:spacing w:after="0"/>
              <w:rPr>
                <w:sz w:val="22"/>
                <w:szCs w:val="22"/>
                <w:color w:val="auto"/>
              </w:rPr>
            </w:pPr>
          </w:p>
        </w:tc>
        <w:tc>
          <w:tcPr>
            <w:tcW w:w="14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50"/>
        </w:trPr>
        <w:tc>
          <w:tcPr>
            <w:tcW w:w="4000" w:type="dxa"/>
            <w:vAlign w:val="bottom"/>
          </w:tcPr>
          <w:p>
            <w:pPr>
              <w:ind w:left="360"/>
              <w:spacing w:after="0"/>
              <w:rPr>
                <w:sz w:val="20"/>
                <w:szCs w:val="20"/>
                <w:color w:val="auto"/>
              </w:rPr>
            </w:pPr>
            <w:r>
              <w:rPr>
                <w:rFonts w:ascii="Arial" w:cs="Arial" w:eastAsia="Arial" w:hAnsi="Arial"/>
                <w:sz w:val="18"/>
                <w:szCs w:val="18"/>
                <w:color w:val="auto"/>
              </w:rPr>
              <w:t>Infrastructure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43,984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36,576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7,408</w:t>
            </w:r>
          </w:p>
        </w:tc>
        <w:tc>
          <w:tcPr>
            <w:tcW w:w="22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63"/>
        </w:trPr>
        <w:tc>
          <w:tcPr>
            <w:tcW w:w="4000" w:type="dxa"/>
            <w:vAlign w:val="bottom"/>
            <w:shd w:val="clear" w:color="auto" w:fill="CCECFF"/>
          </w:tcPr>
          <w:p>
            <w:pPr>
              <w:ind w:left="36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CFF"/>
          </w:tcPr>
          <w:p>
            <w:pPr>
              <w:spacing w:after="0"/>
              <w:rPr>
                <w:sz w:val="22"/>
                <w:szCs w:val="22"/>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43,949</w:t>
            </w:r>
          </w:p>
        </w:tc>
        <w:tc>
          <w:tcPr>
            <w:tcW w:w="22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35,318</w:t>
            </w:r>
          </w:p>
        </w:tc>
        <w:tc>
          <w:tcPr>
            <w:tcW w:w="22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8,631</w:t>
            </w:r>
          </w:p>
        </w:tc>
        <w:tc>
          <w:tcPr>
            <w:tcW w:w="220" w:type="dxa"/>
            <w:vAlign w:val="bottom"/>
            <w:shd w:val="clear" w:color="auto" w:fill="CCECFF"/>
          </w:tcPr>
          <w:p>
            <w:pPr>
              <w:spacing w:after="0"/>
              <w:rPr>
                <w:sz w:val="22"/>
                <w:szCs w:val="22"/>
                <w:color w:val="auto"/>
              </w:rPr>
            </w:pPr>
          </w:p>
        </w:tc>
        <w:tc>
          <w:tcPr>
            <w:tcW w:w="14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57"/>
        </w:trPr>
        <w:tc>
          <w:tcPr>
            <w:tcW w:w="4000" w:type="dxa"/>
            <w:vAlign w:val="bottom"/>
          </w:tcPr>
          <w:p>
            <w:pPr>
              <w:ind w:left="360"/>
              <w:spacing w:after="0"/>
              <w:rPr>
                <w:sz w:val="20"/>
                <w:szCs w:val="20"/>
                <w:color w:val="auto"/>
              </w:rPr>
            </w:pPr>
            <w:r>
              <w:rPr>
                <w:rFonts w:ascii="Arial" w:cs="Arial" w:eastAsia="Arial" w:hAnsi="Arial"/>
                <w:sz w:val="18"/>
                <w:szCs w:val="18"/>
                <w:color w:val="auto"/>
              </w:rPr>
              <w:t>Other research and development</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39,980</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43,412</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(3,432 )</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90"/>
        </w:trPr>
        <w:tc>
          <w:tcPr>
            <w:tcW w:w="40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374,140</w:t>
            </w:r>
          </w:p>
        </w:tc>
        <w:tc>
          <w:tcPr>
            <w:tcW w:w="22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280,984</w:t>
            </w:r>
          </w:p>
        </w:tc>
        <w:tc>
          <w:tcPr>
            <w:tcW w:w="22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93,156</w:t>
            </w:r>
          </w:p>
        </w:tc>
        <w:tc>
          <w:tcPr>
            <w:tcW w:w="220" w:type="dxa"/>
            <w:vAlign w:val="bottom"/>
            <w:tcBorders>
              <w:bottom w:val="single" w:sz="8" w:color="CCECFF"/>
            </w:tcBorders>
            <w:shd w:val="clear" w:color="auto" w:fill="CCECFF"/>
          </w:tcPr>
          <w:p>
            <w:pPr>
              <w:spacing w:after="0"/>
              <w:rPr>
                <w:sz w:val="24"/>
                <w:szCs w:val="24"/>
                <w:color w:val="auto"/>
              </w:rPr>
            </w:pPr>
          </w:p>
        </w:tc>
        <w:tc>
          <w:tcPr>
            <w:tcW w:w="1420" w:type="dxa"/>
            <w:vAlign w:val="bottom"/>
            <w:tcBorders>
              <w:bottom w:val="single" w:sz="8" w:color="CCECFF"/>
            </w:tcBorders>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-25400</wp:posOffset>
            </wp:positionV>
            <wp:extent cx="137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wp:posOffset>
            </wp:positionV>
            <wp:extent cx="1371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137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13716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1460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14605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60" w:lineRule="exact"/>
        <w:rPr>
          <w:sz w:val="20"/>
          <w:szCs w:val="20"/>
          <w:color w:val="auto"/>
        </w:rPr>
      </w:pPr>
    </w:p>
    <w:p>
      <w:pPr>
        <w:ind w:right="520" w:firstLine="509"/>
        <w:spacing w:after="0" w:line="324" w:lineRule="auto"/>
        <w:rPr>
          <w:sz w:val="20"/>
          <w:szCs w:val="20"/>
          <w:color w:val="auto"/>
        </w:rPr>
      </w:pPr>
      <w:r>
        <w:rPr>
          <w:rFonts w:ascii="Arial" w:cs="Arial" w:eastAsia="Arial" w:hAnsi="Arial"/>
          <w:sz w:val="17"/>
          <w:szCs w:val="17"/>
          <w:color w:val="auto"/>
        </w:rPr>
        <w:t>Total research and development expenses increased $26.1 million and $93.2 million for the three and nine months ended September 30, 2021, respectively, compared to the same periods in 2020. The change in research and development expenses was primarily due to:</w:t>
      </w:r>
    </w:p>
    <w:p>
      <w:pPr>
        <w:spacing w:after="0" w:line="12" w:lineRule="exact"/>
        <w:rPr>
          <w:sz w:val="20"/>
          <w:szCs w:val="20"/>
          <w:color w:val="auto"/>
        </w:rPr>
      </w:pPr>
    </w:p>
    <w:p>
      <w:pPr>
        <w:ind w:left="840" w:right="300"/>
        <w:spacing w:after="0" w:line="275" w:lineRule="auto"/>
        <w:rPr>
          <w:sz w:val="20"/>
          <w:szCs w:val="20"/>
          <w:color w:val="auto"/>
        </w:rPr>
      </w:pPr>
      <w:r>
        <w:rPr>
          <w:rFonts w:ascii="Arial" w:cs="Arial" w:eastAsia="Arial" w:hAnsi="Arial"/>
          <w:sz w:val="18"/>
          <w:szCs w:val="18"/>
          <w:color w:val="auto"/>
        </w:rPr>
        <w:t>for commercial programs, an increase of $1.1 million for the three months ended September 30, 2021, primarily related to increased disease monitoring program and medical affairs support costs for Crysvita, and an increase of $7.8 million for the nine months ended September 30, 2021, primarily related to the increased commercial expenses in 2021 related to the continued launch of Dojolvi and the TIO indication for Crysvita following their respective FDA approvals in June 2020;</w:t>
      </w:r>
    </w:p>
    <w:p>
      <w:pPr>
        <w:spacing w:after="0" w:line="50" w:lineRule="exact"/>
        <w:rPr>
          <w:sz w:val="20"/>
          <w:szCs w:val="20"/>
          <w:color w:val="auto"/>
        </w:rPr>
      </w:pPr>
    </w:p>
    <w:p>
      <w:pPr>
        <w:ind w:left="840" w:right="340"/>
        <w:spacing w:after="0" w:line="279" w:lineRule="auto"/>
        <w:rPr>
          <w:sz w:val="20"/>
          <w:szCs w:val="20"/>
          <w:color w:val="auto"/>
        </w:rPr>
      </w:pPr>
      <w:r>
        <w:rPr>
          <w:rFonts w:ascii="Arial" w:cs="Arial" w:eastAsia="Arial" w:hAnsi="Arial"/>
          <w:sz w:val="18"/>
          <w:szCs w:val="18"/>
          <w:color w:val="auto"/>
        </w:rPr>
        <w:t>for gene therapy programs, an increase of $13.1 million and $41.9 million for the three and nine months ended September 30, 2021, respectively, primarily related to the addition of clinical study start-up expenses for UX701 following its IND approval in January 2021 and increases in expenses related to DTX401 and DTX301 Phase 3 trial preparation;</w:t>
      </w:r>
    </w:p>
    <w:p>
      <w:pPr>
        <w:spacing w:after="0" w:line="48" w:lineRule="exact"/>
        <w:rPr>
          <w:sz w:val="20"/>
          <w:szCs w:val="20"/>
          <w:color w:val="auto"/>
        </w:rPr>
      </w:pPr>
    </w:p>
    <w:p>
      <w:pPr>
        <w:ind w:left="840" w:right="60"/>
        <w:spacing w:after="0" w:line="272" w:lineRule="auto"/>
        <w:rPr>
          <w:sz w:val="20"/>
          <w:szCs w:val="20"/>
          <w:color w:val="auto"/>
        </w:rPr>
      </w:pPr>
      <w:r>
        <w:rPr>
          <w:rFonts w:ascii="Arial" w:cs="Arial" w:eastAsia="Arial" w:hAnsi="Arial"/>
          <w:sz w:val="18"/>
          <w:szCs w:val="18"/>
          <w:color w:val="auto"/>
        </w:rPr>
        <w:t>for nucleic acid and other biologic programs, an increase of $12.5 million and $30.8 million for the three and nine months ended September 30, 2021, respectively, primarily related to the addition of expenses related to UX053 following its IND approval in March 2021 and UX143 as we entered into a License and Collaboration Agreement with Mereo BioPharma 3 Limited, or Mereo, to collaborate on the development of UX143 effective January 2021; partially offset by the classification of expenses for the TIO indication for Crysvita to commercial programs for the three and nine months ended September 30, 2021;</w:t>
      </w:r>
    </w:p>
    <w:p>
      <w:pPr>
        <w:spacing w:after="0" w:line="56" w:lineRule="exact"/>
        <w:rPr>
          <w:sz w:val="20"/>
          <w:szCs w:val="20"/>
          <w:color w:val="auto"/>
        </w:rPr>
      </w:pPr>
    </w:p>
    <w:p>
      <w:pPr>
        <w:ind w:left="840" w:right="20"/>
        <w:spacing w:after="0" w:line="293" w:lineRule="auto"/>
        <w:rPr>
          <w:sz w:val="20"/>
          <w:szCs w:val="20"/>
          <w:color w:val="auto"/>
        </w:rPr>
      </w:pPr>
      <w:r>
        <w:rPr>
          <w:rFonts w:ascii="Arial" w:cs="Arial" w:eastAsia="Arial" w:hAnsi="Arial"/>
          <w:sz w:val="18"/>
          <w:szCs w:val="18"/>
          <w:color w:val="auto"/>
        </w:rPr>
        <w:t>for small molecule programs, a decrease of $7.4 million for the nine months ended September 30, 2021, primarily related to the classification of expenses for Dojolvi to commercial programs for the nine months ended September 30, 2021;</w:t>
      </w:r>
    </w:p>
    <w:p>
      <w:pPr>
        <w:spacing w:after="0" w:line="35" w:lineRule="exact"/>
        <w:rPr>
          <w:sz w:val="20"/>
          <w:szCs w:val="20"/>
          <w:color w:val="auto"/>
        </w:rPr>
      </w:pPr>
    </w:p>
    <w:p>
      <w:pPr>
        <w:ind w:left="840" w:right="100"/>
        <w:spacing w:after="0" w:line="279" w:lineRule="auto"/>
        <w:rPr>
          <w:sz w:val="20"/>
          <w:szCs w:val="20"/>
          <w:color w:val="auto"/>
        </w:rPr>
      </w:pPr>
      <w:r>
        <w:rPr>
          <w:rFonts w:ascii="Arial" w:cs="Arial" w:eastAsia="Arial" w:hAnsi="Arial"/>
          <w:sz w:val="18"/>
          <w:szCs w:val="18"/>
          <w:color w:val="auto"/>
        </w:rPr>
        <w:t>for translational research, a decrease of $6.2 million and $9.3 million for the three and nine months ended September 30, 2021, respectively, primarily related to the classification of expenses for UX053 to nucleic acid and other biologic programs and UX701 to gene therapy programs as a result of their IND approvals net of increased spending on new translational research projects;</w:t>
      </w:r>
    </w:p>
    <w:p>
      <w:pPr>
        <w:spacing w:after="0" w:line="48" w:lineRule="exact"/>
        <w:rPr>
          <w:sz w:val="20"/>
          <w:szCs w:val="20"/>
          <w:color w:val="auto"/>
        </w:rPr>
      </w:pPr>
    </w:p>
    <w:p>
      <w:pPr>
        <w:ind w:left="840" w:right="200"/>
        <w:spacing w:after="0" w:line="319" w:lineRule="auto"/>
        <w:rPr>
          <w:sz w:val="20"/>
          <w:szCs w:val="20"/>
          <w:color w:val="auto"/>
        </w:rPr>
      </w:pPr>
      <w:r>
        <w:rPr>
          <w:rFonts w:ascii="Arial" w:cs="Arial" w:eastAsia="Arial" w:hAnsi="Arial"/>
          <w:sz w:val="16"/>
          <w:szCs w:val="16"/>
          <w:color w:val="auto"/>
        </w:rPr>
        <w:t>for upfront license and milestone fees, an increase of $16.8 million for the nine months ended September 30, 2021 primarily due to the $50.0 million upfront payment to Mereo for the nine months ended September 30, 2021, as compared to payments for the $25.0 million option extension payment to GeneTx as well as the $7.0 million upfront payment and $1.2 million one-time license fee to REGENXBIO, Inc. or REGENEX pursuant to the license agreement for REGENX’s NAV AAV8 and AAV9 vectors for the nine months ended September 30, 2020;</w:t>
      </w:r>
    </w:p>
    <w:p>
      <w:pPr>
        <w:spacing w:after="0" w:line="21" w:lineRule="exact"/>
        <w:rPr>
          <w:sz w:val="20"/>
          <w:szCs w:val="20"/>
          <w:color w:val="auto"/>
        </w:rPr>
      </w:pPr>
    </w:p>
    <w:p>
      <w:pPr>
        <w:ind w:left="840" w:right="100"/>
        <w:spacing w:after="0" w:line="275" w:lineRule="auto"/>
        <w:rPr>
          <w:sz w:val="20"/>
          <w:szCs w:val="20"/>
          <w:color w:val="auto"/>
        </w:rPr>
      </w:pPr>
      <w:r>
        <w:rPr>
          <w:rFonts w:ascii="Arial" w:cs="Arial" w:eastAsia="Arial" w:hAnsi="Arial"/>
          <w:sz w:val="18"/>
          <w:szCs w:val="18"/>
          <w:color w:val="auto"/>
        </w:rPr>
        <w:t>for infrastructure, an increase of $3.4 million and $7.4 million for the three and nine months ended September 30, 2021, respectively, primarily related to increased expenses for support of our clinical and research program pipeline, expansion of laboratory space, implementation of COVID-related policies and safety protocols, depreciation of laboratory-related leasehold improvements and equipment, and IT-related expenses;</w:t>
      </w:r>
    </w:p>
    <w:p>
      <w:pPr>
        <w:spacing w:after="0" w:line="50" w:lineRule="exact"/>
        <w:rPr>
          <w:sz w:val="20"/>
          <w:szCs w:val="20"/>
          <w:color w:val="auto"/>
        </w:rPr>
      </w:pPr>
    </w:p>
    <w:p>
      <w:pPr>
        <w:jc w:val="both"/>
        <w:ind w:left="840" w:right="840"/>
        <w:spacing w:after="0" w:line="279" w:lineRule="auto"/>
        <w:rPr>
          <w:sz w:val="20"/>
          <w:szCs w:val="20"/>
          <w:color w:val="auto"/>
        </w:rPr>
      </w:pPr>
      <w:r>
        <w:rPr>
          <w:rFonts w:ascii="Arial" w:cs="Arial" w:eastAsia="Arial" w:hAnsi="Arial"/>
          <w:sz w:val="18"/>
          <w:szCs w:val="18"/>
          <w:color w:val="auto"/>
        </w:rPr>
        <w:t>for stock-based compensation, an increase of $3.8 million and $8.6 million for the three and nine months ended September 30, 2021, respectively, primarily related to an increase in employee headcount as well as the higher valuation of stock-based awards granted to employees; and</w:t>
      </w:r>
    </w:p>
    <w:p>
      <w:pPr>
        <w:spacing w:after="0" w:line="48" w:lineRule="exact"/>
        <w:rPr>
          <w:sz w:val="20"/>
          <w:szCs w:val="20"/>
          <w:color w:val="auto"/>
        </w:rPr>
      </w:pPr>
    </w:p>
    <w:p>
      <w:pPr>
        <w:ind w:left="840" w:right="80"/>
        <w:spacing w:after="0" w:line="279" w:lineRule="auto"/>
        <w:rPr>
          <w:sz w:val="20"/>
          <w:szCs w:val="20"/>
          <w:color w:val="auto"/>
        </w:rPr>
      </w:pPr>
      <w:r>
        <w:rPr>
          <w:rFonts w:ascii="Arial" w:cs="Arial" w:eastAsia="Arial" w:hAnsi="Arial"/>
          <w:sz w:val="18"/>
          <w:szCs w:val="18"/>
          <w:color w:val="auto"/>
        </w:rPr>
        <w:t>for other research and development expenses, a decrease of $1.7 million and $3.4 million for the three and nine months ended September 30, 2021, respectively, primarily related to increased research and development allocations to the programs represented in the commercial, clinical, and translational science programs.</w:t>
      </w:r>
    </w:p>
    <w:p>
      <w:pPr>
        <w:spacing w:after="0" w:line="48"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We expect our annual research and development expenses to continue to increase in the future as we advance our product candidates through clinical development. The timing and amount of expenses incurred will depend largely upon the outcomes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31" w:name="page32"/>
    <w:bookmarkEnd w:id="31"/>
    <w:p>
      <w:pPr>
        <w:ind w:right="240"/>
        <w:spacing w:after="0" w:line="293" w:lineRule="auto"/>
        <w:rPr>
          <w:sz w:val="20"/>
          <w:szCs w:val="20"/>
          <w:color w:val="auto"/>
        </w:rPr>
      </w:pPr>
      <w:r>
        <w:rPr>
          <w:rFonts w:ascii="Arial" w:cs="Arial" w:eastAsia="Arial" w:hAnsi="Arial"/>
          <w:sz w:val="18"/>
          <w:szCs w:val="18"/>
          <w:color w:val="auto"/>
        </w:rPr>
        <w:t>current or future clinical studies for our product candidates as well as the related regulatory requirements, manufacturing costs, and any costs associated with the advancement of our preclinical programs.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 (dollars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98"/>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3"/>
              </w:rPr>
              <w:t>Three Months Ended September 30,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right="122"/>
              <w:spacing w:after="0"/>
              <w:rPr>
                <w:sz w:val="20"/>
                <w:szCs w:val="20"/>
                <w:color w:val="auto"/>
              </w:rPr>
            </w:pPr>
            <w:r>
              <w:rPr>
                <w:rFonts w:ascii="Arial" w:cs="Arial" w:eastAsia="Arial" w:hAnsi="Arial"/>
                <w:sz w:val="14"/>
                <w:szCs w:val="14"/>
                <w:b w:val="1"/>
                <w:bCs w:val="1"/>
                <w:color w:val="auto"/>
                <w:w w:val="95"/>
              </w:rPr>
              <w:t>Dollar</w:t>
            </w:r>
          </w:p>
        </w:tc>
        <w:tc>
          <w:tcPr>
            <w:tcW w:w="124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r>
      <w:tr>
        <w:trPr>
          <w:trHeight w:val="190"/>
        </w:trPr>
        <w:tc>
          <w:tcPr>
            <w:tcW w:w="4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6"/>
                <w:szCs w:val="16"/>
                <w:color w:val="auto"/>
              </w:rPr>
            </w:pPr>
          </w:p>
        </w:tc>
      </w:tr>
      <w:tr>
        <w:trPr>
          <w:trHeight w:val="256"/>
        </w:trPr>
        <w:tc>
          <w:tcPr>
            <w:tcW w:w="4280" w:type="dxa"/>
            <w:vAlign w:val="bottom"/>
            <w:shd w:val="clear" w:color="auto" w:fill="CCEC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53,883</w:t>
            </w:r>
          </w:p>
        </w:tc>
        <w:tc>
          <w:tcPr>
            <w:tcW w:w="56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42,123</w:t>
            </w:r>
          </w:p>
        </w:tc>
        <w:tc>
          <w:tcPr>
            <w:tcW w:w="2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2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11,760</w:t>
            </w:r>
          </w:p>
        </w:tc>
        <w:tc>
          <w:tcPr>
            <w:tcW w:w="1500" w:type="dxa"/>
            <w:vAlign w:val="bottom"/>
            <w:gridSpan w:val="3"/>
            <w:shd w:val="clear" w:color="auto" w:fill="CCECFF"/>
          </w:tcPr>
          <w:p>
            <w:pPr>
              <w:jc w:val="right"/>
              <w:ind w:right="100"/>
              <w:spacing w:after="0"/>
              <w:rPr>
                <w:sz w:val="20"/>
                <w:szCs w:val="20"/>
                <w:color w:val="auto"/>
              </w:rPr>
            </w:pPr>
            <w:r>
              <w:rPr>
                <w:rFonts w:ascii="Arial" w:cs="Arial" w:eastAsia="Arial" w:hAnsi="Arial"/>
                <w:sz w:val="18"/>
                <w:szCs w:val="18"/>
                <w:color w:val="auto"/>
              </w:rPr>
              <w:t>28 %</w:t>
            </w:r>
          </w:p>
        </w:tc>
      </w:tr>
      <w:tr>
        <w:trPr>
          <w:trHeight w:val="554"/>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2"/>
              </w:rPr>
              <w:t>Nine Months Ended September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center"/>
              <w:ind w:right="102"/>
              <w:spacing w:after="0"/>
              <w:rPr>
                <w:sz w:val="20"/>
                <w:szCs w:val="20"/>
                <w:color w:val="auto"/>
              </w:rPr>
            </w:pPr>
            <w:r>
              <w:rPr>
                <w:rFonts w:ascii="Arial" w:cs="Arial" w:eastAsia="Arial" w:hAnsi="Arial"/>
                <w:sz w:val="14"/>
                <w:szCs w:val="14"/>
                <w:b w:val="1"/>
                <w:bCs w:val="1"/>
                <w:color w:val="auto"/>
              </w:rPr>
              <w:t>Dollar</w:t>
            </w:r>
          </w:p>
        </w:tc>
        <w:tc>
          <w:tcPr>
            <w:tcW w:w="124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4"/>
                <w:szCs w:val="24"/>
                <w:color w:val="auto"/>
              </w:rPr>
            </w:pPr>
          </w:p>
        </w:tc>
      </w:tr>
      <w:tr>
        <w:trPr>
          <w:trHeight w:val="190"/>
        </w:trPr>
        <w:tc>
          <w:tcPr>
            <w:tcW w:w="42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6"/>
                <w:szCs w:val="16"/>
                <w:color w:val="auto"/>
              </w:rPr>
            </w:pPr>
          </w:p>
        </w:tc>
      </w:tr>
      <w:tr>
        <w:trPr>
          <w:trHeight w:val="256"/>
        </w:trPr>
        <w:tc>
          <w:tcPr>
            <w:tcW w:w="4280" w:type="dxa"/>
            <w:vAlign w:val="bottom"/>
            <w:shd w:val="clear" w:color="auto" w:fill="CCEC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160,551</w:t>
            </w:r>
          </w:p>
        </w:tc>
        <w:tc>
          <w:tcPr>
            <w:tcW w:w="56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131,891</w:t>
            </w:r>
          </w:p>
        </w:tc>
        <w:tc>
          <w:tcPr>
            <w:tcW w:w="220" w:type="dxa"/>
            <w:vAlign w:val="bottom"/>
            <w:shd w:val="clear" w:color="auto" w:fill="CCECFF"/>
          </w:tcPr>
          <w:p>
            <w:pPr>
              <w:spacing w:after="0"/>
              <w:rPr>
                <w:sz w:val="22"/>
                <w:szCs w:val="22"/>
                <w:color w:val="auto"/>
              </w:rPr>
            </w:pPr>
          </w:p>
        </w:tc>
        <w:tc>
          <w:tcPr>
            <w:tcW w:w="2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28,660</w:t>
            </w:r>
          </w:p>
        </w:tc>
        <w:tc>
          <w:tcPr>
            <w:tcW w:w="1500" w:type="dxa"/>
            <w:vAlign w:val="bottom"/>
            <w:gridSpan w:val="3"/>
            <w:shd w:val="clear" w:color="auto" w:fill="CCECFF"/>
          </w:tcPr>
          <w:p>
            <w:pPr>
              <w:jc w:val="right"/>
              <w:ind w:right="100"/>
              <w:spacing w:after="0"/>
              <w:rPr>
                <w:sz w:val="20"/>
                <w:szCs w:val="20"/>
                <w:color w:val="auto"/>
              </w:rPr>
            </w:pPr>
            <w:r>
              <w:rPr>
                <w:rFonts w:ascii="Arial" w:cs="Arial" w:eastAsia="Arial" w:hAnsi="Arial"/>
                <w:sz w:val="18"/>
                <w:szCs w:val="18"/>
                <w:color w:val="auto"/>
              </w:rPr>
              <w:t>22 %</w:t>
            </w:r>
          </w:p>
        </w:tc>
      </w:tr>
    </w:tbl>
    <w:p>
      <w:pPr>
        <w:spacing w:after="0" w:line="80" w:lineRule="exact"/>
        <w:rPr>
          <w:sz w:val="20"/>
          <w:szCs w:val="20"/>
          <w:color w:val="auto"/>
        </w:rPr>
      </w:pPr>
    </w:p>
    <w:p>
      <w:pPr>
        <w:ind w:right="140" w:firstLine="509"/>
        <w:spacing w:after="0" w:line="275" w:lineRule="auto"/>
        <w:rPr>
          <w:sz w:val="20"/>
          <w:szCs w:val="20"/>
          <w:color w:val="auto"/>
        </w:rPr>
      </w:pPr>
      <w:r>
        <w:rPr>
          <w:rFonts w:ascii="Arial" w:cs="Arial" w:eastAsia="Arial" w:hAnsi="Arial"/>
          <w:sz w:val="18"/>
          <w:szCs w:val="18"/>
          <w:color w:val="auto"/>
        </w:rPr>
        <w:t>Selling, general and administrative expenses increased $11.8 million and $28.7 million for the three and nine months ended September 30, 2021, respectively, compared to the same periods in 2020. The increases in selling, general and administrative expenses were primarily due to increases in personnel costs resulting from an increase in the number of employees in support of our commercial activities, commercialization costs, and professional services costs.</w:t>
      </w:r>
    </w:p>
    <w:p>
      <w:pPr>
        <w:spacing w:after="0" w:line="50" w:lineRule="exact"/>
        <w:rPr>
          <w:sz w:val="20"/>
          <w:szCs w:val="20"/>
          <w:color w:val="auto"/>
        </w:rPr>
      </w:pPr>
    </w:p>
    <w:p>
      <w:pPr>
        <w:ind w:right="420" w:firstLine="509"/>
        <w:spacing w:after="0" w:line="293" w:lineRule="auto"/>
        <w:rPr>
          <w:sz w:val="20"/>
          <w:szCs w:val="20"/>
          <w:color w:val="auto"/>
        </w:rPr>
      </w:pPr>
      <w:r>
        <w:rPr>
          <w:rFonts w:ascii="Arial" w:cs="Arial" w:eastAsia="Arial" w:hAnsi="Arial"/>
          <w:sz w:val="18"/>
          <w:szCs w:val="18"/>
          <w:color w:val="auto"/>
        </w:rPr>
        <w:t>We expect selling, general and administrative expenses to continue to increase in the future to support our organizational growth related to our approved products and multiple clinical-stage product candidates.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 (dollars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98"/>
        </w:trPr>
        <w:tc>
          <w:tcPr>
            <w:tcW w:w="4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Dollar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r>
      <w:tr>
        <w:trPr>
          <w:trHeight w:val="190"/>
        </w:trPr>
        <w:tc>
          <w:tcPr>
            <w:tcW w:w="4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260" w:type="dxa"/>
            <w:vAlign w:val="bottom"/>
            <w:gridSpan w:val="2"/>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6"/>
                <w:szCs w:val="16"/>
                <w:color w:val="auto"/>
              </w:rPr>
            </w:pPr>
          </w:p>
        </w:tc>
      </w:tr>
      <w:tr>
        <w:trPr>
          <w:trHeight w:val="256"/>
        </w:trPr>
        <w:tc>
          <w:tcPr>
            <w:tcW w:w="4260" w:type="dxa"/>
            <w:vAlign w:val="bottom"/>
            <w:shd w:val="clear" w:color="auto" w:fill="CCECFF"/>
          </w:tcPr>
          <w:p>
            <w:pPr>
              <w:spacing w:after="0"/>
              <w:rPr>
                <w:sz w:val="20"/>
                <w:szCs w:val="20"/>
                <w:color w:val="auto"/>
              </w:rPr>
            </w:pPr>
            <w:r>
              <w:rPr>
                <w:rFonts w:ascii="Arial" w:cs="Arial" w:eastAsia="Arial" w:hAnsi="Arial"/>
                <w:sz w:val="18"/>
                <w:szCs w:val="18"/>
                <w:color w:val="auto"/>
              </w:rPr>
              <w:t>Interest income</w:t>
            </w:r>
          </w:p>
        </w:tc>
        <w:tc>
          <w:tcPr>
            <w:tcW w:w="880" w:type="dxa"/>
            <w:vAlign w:val="bottom"/>
            <w:gridSpan w:val="2"/>
            <w:shd w:val="clear" w:color="auto" w:fill="CCECFF"/>
          </w:tcPr>
          <w:p>
            <w:pPr>
              <w:jc w:val="right"/>
              <w:ind w:right="66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408</w:t>
            </w:r>
          </w:p>
        </w:tc>
        <w:tc>
          <w:tcPr>
            <w:tcW w:w="1160" w:type="dxa"/>
            <w:vAlign w:val="bottom"/>
            <w:gridSpan w:val="3"/>
            <w:shd w:val="clear" w:color="auto" w:fill="CCECFF"/>
          </w:tcPr>
          <w:p>
            <w:pPr>
              <w:jc w:val="right"/>
              <w:ind w:right="728"/>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w w:val="88"/>
              </w:rPr>
              <w:t>1,338</w:t>
            </w:r>
          </w:p>
        </w:tc>
        <w:tc>
          <w:tcPr>
            <w:tcW w:w="44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(930 )</w:t>
            </w:r>
          </w:p>
        </w:tc>
        <w:tc>
          <w:tcPr>
            <w:tcW w:w="128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-70 %</w:t>
            </w:r>
          </w:p>
        </w:tc>
      </w:tr>
      <w:tr>
        <w:trPr>
          <w:trHeight w:val="553"/>
        </w:trPr>
        <w:tc>
          <w:tcPr>
            <w:tcW w:w="4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Dollar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4"/>
                <w:szCs w:val="24"/>
                <w:color w:val="auto"/>
              </w:rPr>
            </w:pPr>
          </w:p>
        </w:tc>
      </w:tr>
      <w:tr>
        <w:trPr>
          <w:trHeight w:val="190"/>
        </w:trPr>
        <w:tc>
          <w:tcPr>
            <w:tcW w:w="4260" w:type="dxa"/>
            <w:vAlign w:val="bottom"/>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6"/>
                <w:szCs w:val="16"/>
                <w:color w:val="auto"/>
              </w:rPr>
            </w:pPr>
          </w:p>
        </w:tc>
      </w:tr>
      <w:tr>
        <w:trPr>
          <w:trHeight w:val="256"/>
        </w:trPr>
        <w:tc>
          <w:tcPr>
            <w:tcW w:w="4260" w:type="dxa"/>
            <w:vAlign w:val="bottom"/>
            <w:shd w:val="clear" w:color="auto" w:fill="CCECFF"/>
          </w:tcPr>
          <w:p>
            <w:pPr>
              <w:spacing w:after="0"/>
              <w:rPr>
                <w:sz w:val="20"/>
                <w:szCs w:val="20"/>
                <w:color w:val="auto"/>
              </w:rPr>
            </w:pPr>
            <w:r>
              <w:rPr>
                <w:rFonts w:ascii="Arial" w:cs="Arial" w:eastAsia="Arial" w:hAnsi="Arial"/>
                <w:sz w:val="18"/>
                <w:szCs w:val="18"/>
                <w:color w:val="auto"/>
              </w:rPr>
              <w:t>Interest income</w:t>
            </w:r>
          </w:p>
        </w:tc>
        <w:tc>
          <w:tcPr>
            <w:tcW w:w="880" w:type="dxa"/>
            <w:vAlign w:val="bottom"/>
            <w:gridSpan w:val="2"/>
            <w:shd w:val="clear" w:color="auto" w:fill="CCECFF"/>
          </w:tcPr>
          <w:p>
            <w:pPr>
              <w:jc w:val="right"/>
              <w:ind w:right="708"/>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7"/>
              </w:rPr>
              <w:t>1,488</w:t>
            </w:r>
          </w:p>
        </w:tc>
        <w:tc>
          <w:tcPr>
            <w:tcW w:w="1160" w:type="dxa"/>
            <w:vAlign w:val="bottom"/>
            <w:gridSpan w:val="3"/>
            <w:shd w:val="clear" w:color="auto" w:fill="CCECFF"/>
          </w:tcPr>
          <w:p>
            <w:pPr>
              <w:jc w:val="right"/>
              <w:ind w:right="72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8"/>
              </w:rPr>
              <w:t>6,054</w:t>
            </w:r>
          </w:p>
        </w:tc>
        <w:tc>
          <w:tcPr>
            <w:tcW w:w="20" w:type="dxa"/>
            <w:vAlign w:val="bottom"/>
            <w:shd w:val="clear" w:color="auto" w:fill="CCECFF"/>
          </w:tcPr>
          <w:p>
            <w:pPr>
              <w:spacing w:after="0"/>
              <w:rPr>
                <w:sz w:val="22"/>
                <w:szCs w:val="22"/>
                <w:color w:val="auto"/>
              </w:rPr>
            </w:pPr>
          </w:p>
        </w:tc>
        <w:tc>
          <w:tcPr>
            <w:tcW w:w="4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(4,566 )</w:t>
            </w:r>
          </w:p>
        </w:tc>
        <w:tc>
          <w:tcPr>
            <w:tcW w:w="128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-75 %</w:t>
            </w:r>
          </w:p>
        </w:tc>
      </w:tr>
    </w:tbl>
    <w:p>
      <w:pPr>
        <w:spacing w:after="0" w:line="80" w:lineRule="exact"/>
        <w:rPr>
          <w:sz w:val="20"/>
          <w:szCs w:val="20"/>
          <w:color w:val="auto"/>
        </w:rPr>
      </w:pPr>
    </w:p>
    <w:p>
      <w:pPr>
        <w:jc w:val="both"/>
        <w:ind w:right="280" w:firstLine="509"/>
        <w:spacing w:after="0" w:line="279" w:lineRule="auto"/>
        <w:rPr>
          <w:sz w:val="20"/>
          <w:szCs w:val="20"/>
          <w:color w:val="auto"/>
        </w:rPr>
      </w:pPr>
      <w:r>
        <w:rPr>
          <w:rFonts w:ascii="Arial" w:cs="Arial" w:eastAsia="Arial" w:hAnsi="Arial"/>
          <w:sz w:val="18"/>
          <w:szCs w:val="18"/>
          <w:color w:val="auto"/>
        </w:rPr>
        <w:t>Interest income decreased $0.9 million and $4.6 million for the three and nine months ended September 30, 2021, respectively, compared to the same periods in 2020, primarily due to lower portfolio yields as a result of a decrease in interest rates, partially offset by higher average balances in our marketable debt securities.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Equity Investments (dollars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98"/>
        </w:trPr>
        <w:tc>
          <w:tcPr>
            <w:tcW w:w="4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20" w:type="dxa"/>
            <w:vAlign w:val="bottom"/>
            <w:gridSpan w:val="7"/>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Dollar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7"/>
                <w:szCs w:val="17"/>
                <w:color w:val="auto"/>
              </w:rPr>
            </w:pPr>
          </w:p>
        </w:tc>
      </w:tr>
      <w:tr>
        <w:trPr>
          <w:trHeight w:val="190"/>
        </w:trPr>
        <w:tc>
          <w:tcPr>
            <w:tcW w:w="4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400" w:type="dxa"/>
            <w:vAlign w:val="bottom"/>
          </w:tcPr>
          <w:p>
            <w:pPr>
              <w:spacing w:after="0"/>
              <w:rPr>
                <w:sz w:val="16"/>
                <w:szCs w:val="16"/>
                <w:color w:val="auto"/>
              </w:rPr>
            </w:pPr>
          </w:p>
        </w:tc>
      </w:tr>
      <w:tr>
        <w:trPr>
          <w:trHeight w:val="256"/>
        </w:trPr>
        <w:tc>
          <w:tcPr>
            <w:tcW w:w="4160" w:type="dxa"/>
            <w:vAlign w:val="bottom"/>
            <w:shd w:val="clear" w:color="auto" w:fill="CCECFF"/>
          </w:tcPr>
          <w:p>
            <w:pPr>
              <w:spacing w:after="0"/>
              <w:rPr>
                <w:sz w:val="20"/>
                <w:szCs w:val="20"/>
                <w:color w:val="auto"/>
              </w:rPr>
            </w:pPr>
            <w:r>
              <w:rPr>
                <w:rFonts w:ascii="Arial" w:cs="Arial" w:eastAsia="Arial" w:hAnsi="Arial"/>
                <w:sz w:val="18"/>
                <w:szCs w:val="18"/>
                <w:color w:val="auto"/>
              </w:rPr>
              <w:t>Change in fair value of equity investments</w:t>
            </w:r>
          </w:p>
        </w:tc>
        <w:tc>
          <w:tcPr>
            <w:tcW w:w="24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25,702</w:t>
            </w:r>
          </w:p>
        </w:tc>
        <w:tc>
          <w:tcPr>
            <w:tcW w:w="240" w:type="dxa"/>
            <w:vAlign w:val="bottom"/>
            <w:shd w:val="clear" w:color="auto" w:fill="CCECFF"/>
          </w:tcPr>
          <w:p>
            <w:pPr>
              <w:spacing w:after="0"/>
              <w:rPr>
                <w:sz w:val="22"/>
                <w:szCs w:val="22"/>
                <w:color w:val="auto"/>
              </w:rPr>
            </w:pP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CFF"/>
          </w:tcPr>
          <w:p>
            <w:pPr>
              <w:jc w:val="right"/>
              <w:ind w:right="160"/>
              <w:spacing w:after="0"/>
              <w:rPr>
                <w:sz w:val="20"/>
                <w:szCs w:val="20"/>
                <w:color w:val="auto"/>
              </w:rPr>
            </w:pPr>
            <w:r>
              <w:rPr>
                <w:rFonts w:ascii="Arial" w:cs="Arial" w:eastAsia="Arial" w:hAnsi="Arial"/>
                <w:sz w:val="18"/>
                <w:szCs w:val="18"/>
                <w:color w:val="auto"/>
              </w:rPr>
              <w:t>(11,520 )</w:t>
            </w:r>
          </w:p>
        </w:tc>
        <w:tc>
          <w:tcPr>
            <w:tcW w:w="24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37,222</w:t>
            </w:r>
          </w:p>
        </w:tc>
        <w:tc>
          <w:tcPr>
            <w:tcW w:w="220" w:type="dxa"/>
            <w:vAlign w:val="bottom"/>
            <w:shd w:val="clear" w:color="auto" w:fill="CCECFF"/>
          </w:tcPr>
          <w:p>
            <w:pPr>
              <w:spacing w:after="0"/>
              <w:rPr>
                <w:sz w:val="22"/>
                <w:szCs w:val="22"/>
                <w:color w:val="auto"/>
              </w:rPr>
            </w:pPr>
          </w:p>
        </w:tc>
        <w:tc>
          <w:tcPr>
            <w:tcW w:w="140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-323 %</w:t>
            </w:r>
          </w:p>
        </w:tc>
      </w:tr>
      <w:tr>
        <w:trPr>
          <w:trHeight w:val="554"/>
        </w:trPr>
        <w:tc>
          <w:tcPr>
            <w:tcW w:w="4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7"/>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Dollar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4"/>
                <w:szCs w:val="24"/>
                <w:color w:val="auto"/>
              </w:rPr>
            </w:pPr>
          </w:p>
        </w:tc>
      </w:tr>
      <w:tr>
        <w:trPr>
          <w:trHeight w:val="190"/>
        </w:trPr>
        <w:tc>
          <w:tcPr>
            <w:tcW w:w="416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400" w:type="dxa"/>
            <w:vAlign w:val="bottom"/>
          </w:tcPr>
          <w:p>
            <w:pPr>
              <w:spacing w:after="0"/>
              <w:rPr>
                <w:sz w:val="16"/>
                <w:szCs w:val="16"/>
                <w:color w:val="auto"/>
              </w:rPr>
            </w:pPr>
          </w:p>
        </w:tc>
      </w:tr>
      <w:tr>
        <w:trPr>
          <w:trHeight w:val="256"/>
        </w:trPr>
        <w:tc>
          <w:tcPr>
            <w:tcW w:w="4160" w:type="dxa"/>
            <w:vAlign w:val="bottom"/>
            <w:shd w:val="clear" w:color="auto" w:fill="CCECFF"/>
          </w:tcPr>
          <w:p>
            <w:pPr>
              <w:spacing w:after="0"/>
              <w:rPr>
                <w:sz w:val="20"/>
                <w:szCs w:val="20"/>
                <w:color w:val="auto"/>
              </w:rPr>
            </w:pPr>
            <w:r>
              <w:rPr>
                <w:rFonts w:ascii="Arial" w:cs="Arial" w:eastAsia="Arial" w:hAnsi="Arial"/>
                <w:sz w:val="18"/>
                <w:szCs w:val="18"/>
                <w:color w:val="auto"/>
              </w:rPr>
              <w:t>Change in fair value of equity investments</w:t>
            </w:r>
          </w:p>
        </w:tc>
        <w:tc>
          <w:tcPr>
            <w:tcW w:w="2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w w:val="99"/>
              </w:rPr>
              <w:t>$</w:t>
            </w:r>
          </w:p>
        </w:tc>
        <w:tc>
          <w:tcPr>
            <w:tcW w:w="1360" w:type="dxa"/>
            <w:vAlign w:val="bottom"/>
            <w:gridSpan w:val="3"/>
            <w:shd w:val="clear" w:color="auto" w:fill="CCECFF"/>
          </w:tcPr>
          <w:p>
            <w:pPr>
              <w:jc w:val="right"/>
              <w:ind w:right="180"/>
              <w:spacing w:after="0"/>
              <w:rPr>
                <w:sz w:val="20"/>
                <w:szCs w:val="20"/>
                <w:color w:val="auto"/>
              </w:rPr>
            </w:pPr>
            <w:r>
              <w:rPr>
                <w:rFonts w:ascii="Arial" w:cs="Arial" w:eastAsia="Arial" w:hAnsi="Arial"/>
                <w:sz w:val="18"/>
                <w:szCs w:val="18"/>
                <w:color w:val="auto"/>
              </w:rPr>
              <w:t>(25,963 )</w:t>
            </w: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91,348</w:t>
            </w:r>
          </w:p>
        </w:tc>
        <w:tc>
          <w:tcPr>
            <w:tcW w:w="2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24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(117,311 )</w:t>
            </w:r>
          </w:p>
        </w:tc>
        <w:tc>
          <w:tcPr>
            <w:tcW w:w="140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-128 %</w:t>
            </w:r>
          </w:p>
        </w:tc>
      </w:tr>
    </w:tbl>
    <w:p>
      <w:pPr>
        <w:spacing w:after="0" w:line="80" w:lineRule="exact"/>
        <w:rPr>
          <w:sz w:val="20"/>
          <w:szCs w:val="20"/>
          <w:color w:val="auto"/>
        </w:rPr>
      </w:pPr>
    </w:p>
    <w:p>
      <w:pPr>
        <w:ind w:firstLine="524"/>
        <w:spacing w:after="0" w:line="275" w:lineRule="auto"/>
        <w:rPr>
          <w:sz w:val="20"/>
          <w:szCs w:val="20"/>
          <w:color w:val="auto"/>
        </w:rPr>
      </w:pPr>
      <w:r>
        <w:rPr>
          <w:rFonts w:ascii="Arial" w:cs="Arial" w:eastAsia="Arial" w:hAnsi="Arial"/>
          <w:sz w:val="18"/>
          <w:szCs w:val="18"/>
          <w:color w:val="auto"/>
        </w:rPr>
        <w:t>For the three months ended September 30, 2021, we recorded a net increase in fair value of equity investments of $25.7 million. The fair value of our investment in Arcturus common stock increased by $35.6 million during the period, which included a realized gain on the sale of a portion of common stock for net proceeds of $43.2 million. This increase was partially offset by a $9.9 million decrease in fair value of our investment in Solid common stock, resulting in a net increase of $25.7 million.</w:t>
      </w:r>
    </w:p>
    <w:p>
      <w:pPr>
        <w:spacing w:after="0" w:line="50" w:lineRule="exact"/>
        <w:rPr>
          <w:sz w:val="20"/>
          <w:szCs w:val="20"/>
          <w:color w:val="auto"/>
        </w:rPr>
      </w:pPr>
    </w:p>
    <w:p>
      <w:pPr>
        <w:ind w:right="40" w:firstLine="524"/>
        <w:spacing w:after="0" w:line="275" w:lineRule="auto"/>
        <w:rPr>
          <w:sz w:val="20"/>
          <w:szCs w:val="20"/>
          <w:color w:val="auto"/>
        </w:rPr>
      </w:pPr>
      <w:r>
        <w:rPr>
          <w:rFonts w:ascii="Arial" w:cs="Arial" w:eastAsia="Arial" w:hAnsi="Arial"/>
          <w:sz w:val="18"/>
          <w:szCs w:val="18"/>
          <w:color w:val="auto"/>
        </w:rPr>
        <w:t>For the nine months ended September 30, 2021, we recorded a net decrease in fair value of equity investments of $26.0 million. The fair value of our investment in Arcturus common stock increased by $14.7 million during the period, which included a realized gain on the sale of a portion of common stock for net proceeds of $43.2 million. The increase was offset by $40.6 million decrease in fair value of our investment in Solid common stock resulting in a net decrease of $26.0 million.</w:t>
      </w:r>
    </w:p>
    <w:p>
      <w:pPr>
        <w:spacing w:after="0" w:line="50" w:lineRule="exact"/>
        <w:rPr>
          <w:sz w:val="20"/>
          <w:szCs w:val="20"/>
          <w:color w:val="auto"/>
        </w:rPr>
      </w:pPr>
    </w:p>
    <w:p>
      <w:pPr>
        <w:ind w:right="620" w:firstLine="524"/>
        <w:spacing w:after="0" w:line="293" w:lineRule="auto"/>
        <w:rPr>
          <w:sz w:val="20"/>
          <w:szCs w:val="20"/>
          <w:color w:val="auto"/>
        </w:rPr>
      </w:pPr>
      <w:r>
        <w:rPr>
          <w:rFonts w:ascii="Arial" w:cs="Arial" w:eastAsia="Arial" w:hAnsi="Arial"/>
          <w:sz w:val="18"/>
          <w:szCs w:val="18"/>
          <w:color w:val="auto"/>
        </w:rPr>
        <w:t>The fair value of our equity investments decreased by $11.5 million and increased by $91.3 million during the three and nine months ended September 30, 2020, respectively, due to changes in the fair value of Arcturus equity investments.</w:t>
      </w:r>
    </w:p>
    <w:p>
      <w:pPr>
        <w:spacing w:after="0" w:line="35" w:lineRule="exact"/>
        <w:rPr>
          <w:sz w:val="20"/>
          <w:szCs w:val="20"/>
          <w:color w:val="auto"/>
        </w:rPr>
      </w:pPr>
    </w:p>
    <w:p>
      <w:pPr>
        <w:ind w:right="260" w:firstLine="524"/>
        <w:spacing w:after="0" w:line="266" w:lineRule="auto"/>
        <w:rPr>
          <w:sz w:val="20"/>
          <w:szCs w:val="20"/>
          <w:color w:val="auto"/>
        </w:rPr>
      </w:pPr>
      <w:r>
        <w:rPr>
          <w:rFonts w:ascii="Arial" w:cs="Arial" w:eastAsia="Arial" w:hAnsi="Arial"/>
          <w:sz w:val="18"/>
          <w:szCs w:val="18"/>
          <w:color w:val="auto"/>
        </w:rPr>
        <w:t>Given the historic volatility of the publicly traded stock price of Arcturus and Solid, the fair value adjustments of our equity investments may be subject to wide fluctuations which may have a significant impact on our earnings in future periods.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Non-cash Interest Expense on Liability Related to the Sale of Future Royalties (dollars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98"/>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gridSpan w:val="7"/>
          </w:tcPr>
          <w:p>
            <w:pPr>
              <w:jc w:val="center"/>
              <w:ind w:right="520"/>
              <w:spacing w:after="0"/>
              <w:rPr>
                <w:sz w:val="20"/>
                <w:szCs w:val="20"/>
                <w:color w:val="auto"/>
              </w:rPr>
            </w:pPr>
            <w:r>
              <w:rPr>
                <w:rFonts w:ascii="Arial" w:cs="Arial" w:eastAsia="Arial" w:hAnsi="Arial"/>
                <w:sz w:val="14"/>
                <w:szCs w:val="14"/>
                <w:b w:val="1"/>
                <w:bCs w:val="1"/>
                <w:color w:val="auto"/>
                <w:w w:val="94"/>
              </w:rPr>
              <w:t>Three Months Ended September 30,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ind w:left="120"/>
              <w:spacing w:after="0"/>
              <w:rPr>
                <w:sz w:val="20"/>
                <w:szCs w:val="20"/>
                <w:color w:val="auto"/>
              </w:rPr>
            </w:pPr>
            <w:r>
              <w:rPr>
                <w:rFonts w:ascii="Arial" w:cs="Arial" w:eastAsia="Arial" w:hAnsi="Arial"/>
                <w:sz w:val="14"/>
                <w:szCs w:val="14"/>
                <w:b w:val="1"/>
                <w:bCs w:val="1"/>
                <w:color w:val="auto"/>
              </w:rPr>
              <w:t>Dollar</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r>
      <w:tr>
        <w:trPr>
          <w:trHeight w:val="190"/>
        </w:trPr>
        <w:tc>
          <w:tcPr>
            <w:tcW w:w="4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r>
      <w:tr>
        <w:trPr>
          <w:trHeight w:val="242"/>
        </w:trPr>
        <w:tc>
          <w:tcPr>
            <w:tcW w:w="4220" w:type="dxa"/>
            <w:vAlign w:val="bottom"/>
            <w:shd w:val="clear" w:color="auto" w:fill="CCECFF"/>
          </w:tcPr>
          <w:p>
            <w:pPr>
              <w:spacing w:after="0"/>
              <w:rPr>
                <w:sz w:val="20"/>
                <w:szCs w:val="20"/>
                <w:color w:val="auto"/>
              </w:rPr>
            </w:pPr>
            <w:r>
              <w:rPr>
                <w:rFonts w:ascii="Arial" w:cs="Arial" w:eastAsia="Arial" w:hAnsi="Arial"/>
                <w:sz w:val="18"/>
                <w:szCs w:val="18"/>
                <w:color w:val="auto"/>
              </w:rPr>
              <w:t>Non-cash interest expense on liability related to the</w:t>
            </w:r>
          </w:p>
        </w:tc>
        <w:tc>
          <w:tcPr>
            <w:tcW w:w="220" w:type="dxa"/>
            <w:vAlign w:val="bottom"/>
            <w:tcBorders>
              <w:top w:val="single" w:sz="8" w:color="auto"/>
            </w:tcBorders>
            <w:shd w:val="clear" w:color="auto" w:fill="CCECFF"/>
          </w:tcPr>
          <w:p>
            <w:pPr>
              <w:spacing w:after="0"/>
              <w:rPr>
                <w:sz w:val="21"/>
                <w:szCs w:val="21"/>
                <w:color w:val="auto"/>
              </w:rPr>
            </w:pPr>
          </w:p>
        </w:tc>
        <w:tc>
          <w:tcPr>
            <w:tcW w:w="1140" w:type="dxa"/>
            <w:vAlign w:val="bottom"/>
            <w:tcBorders>
              <w:top w:val="single" w:sz="8" w:color="auto"/>
            </w:tcBorders>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20" w:type="dxa"/>
            <w:vAlign w:val="bottom"/>
            <w:tcBorders>
              <w:top w:val="single" w:sz="8" w:color="auto"/>
            </w:tcBorders>
            <w:shd w:val="clear" w:color="auto" w:fill="CCECFF"/>
          </w:tcPr>
          <w:p>
            <w:pPr>
              <w:spacing w:after="0"/>
              <w:rPr>
                <w:sz w:val="21"/>
                <w:szCs w:val="21"/>
                <w:color w:val="auto"/>
              </w:rPr>
            </w:pPr>
          </w:p>
        </w:tc>
        <w:tc>
          <w:tcPr>
            <w:tcW w:w="300" w:type="dxa"/>
            <w:vAlign w:val="bottom"/>
            <w:tcBorders>
              <w:top w:val="single" w:sz="8" w:color="auto"/>
            </w:tcBorders>
            <w:shd w:val="clear" w:color="auto" w:fill="CCECFF"/>
          </w:tcPr>
          <w:p>
            <w:pPr>
              <w:spacing w:after="0"/>
              <w:rPr>
                <w:sz w:val="21"/>
                <w:szCs w:val="21"/>
                <w:color w:val="auto"/>
              </w:rPr>
            </w:pPr>
          </w:p>
        </w:tc>
        <w:tc>
          <w:tcPr>
            <w:tcW w:w="1020" w:type="dxa"/>
            <w:vAlign w:val="bottom"/>
            <w:tcBorders>
              <w:top w:val="single" w:sz="8" w:color="auto"/>
            </w:tcBorders>
            <w:shd w:val="clear" w:color="auto" w:fill="CCECFF"/>
          </w:tcPr>
          <w:p>
            <w:pPr>
              <w:spacing w:after="0"/>
              <w:rPr>
                <w:sz w:val="21"/>
                <w:szCs w:val="21"/>
                <w:color w:val="auto"/>
              </w:rPr>
            </w:pPr>
          </w:p>
        </w:tc>
        <w:tc>
          <w:tcPr>
            <w:tcW w:w="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40" w:type="dxa"/>
            <w:vAlign w:val="bottom"/>
            <w:tcBorders>
              <w:top w:val="single" w:sz="8" w:color="auto"/>
            </w:tcBorders>
            <w:shd w:val="clear" w:color="auto" w:fill="CCECFF"/>
          </w:tcPr>
          <w:p>
            <w:pPr>
              <w:spacing w:after="0"/>
              <w:rPr>
                <w:sz w:val="21"/>
                <w:szCs w:val="21"/>
                <w:color w:val="auto"/>
              </w:rPr>
            </w:pPr>
          </w:p>
        </w:tc>
        <w:tc>
          <w:tcPr>
            <w:tcW w:w="180" w:type="dxa"/>
            <w:vAlign w:val="bottom"/>
            <w:tcBorders>
              <w:top w:val="single" w:sz="8" w:color="auto"/>
            </w:tcBorders>
            <w:shd w:val="clear" w:color="auto" w:fill="CCECFF"/>
          </w:tcPr>
          <w:p>
            <w:pPr>
              <w:spacing w:after="0"/>
              <w:rPr>
                <w:sz w:val="21"/>
                <w:szCs w:val="21"/>
                <w:color w:val="auto"/>
              </w:rPr>
            </w:pPr>
          </w:p>
        </w:tc>
        <w:tc>
          <w:tcPr>
            <w:tcW w:w="860" w:type="dxa"/>
            <w:vAlign w:val="bottom"/>
            <w:tcBorders>
              <w:top w:val="single" w:sz="8" w:color="auto"/>
            </w:tcBorders>
            <w:shd w:val="clear" w:color="auto" w:fill="CCECFF"/>
          </w:tcPr>
          <w:p>
            <w:pPr>
              <w:spacing w:after="0"/>
              <w:rPr>
                <w:sz w:val="21"/>
                <w:szCs w:val="21"/>
                <w:color w:val="auto"/>
              </w:rPr>
            </w:pPr>
          </w:p>
        </w:tc>
        <w:tc>
          <w:tcPr>
            <w:tcW w:w="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40" w:type="dxa"/>
            <w:vAlign w:val="bottom"/>
            <w:tcBorders>
              <w:top w:val="single" w:sz="8" w:color="auto"/>
            </w:tcBorders>
            <w:shd w:val="clear" w:color="auto" w:fill="CCECFF"/>
          </w:tcPr>
          <w:p>
            <w:pPr>
              <w:spacing w:after="0"/>
              <w:rPr>
                <w:sz w:val="21"/>
                <w:szCs w:val="21"/>
                <w:color w:val="auto"/>
              </w:rPr>
            </w:pPr>
          </w:p>
        </w:tc>
        <w:tc>
          <w:tcPr>
            <w:tcW w:w="1020" w:type="dxa"/>
            <w:vAlign w:val="bottom"/>
            <w:tcBorders>
              <w:top w:val="single" w:sz="8" w:color="auto"/>
            </w:tcBorders>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r>
      <w:tr>
        <w:trPr>
          <w:trHeight w:val="244"/>
        </w:trPr>
        <w:tc>
          <w:tcPr>
            <w:tcW w:w="4220" w:type="dxa"/>
            <w:vAlign w:val="bottom"/>
            <w:shd w:val="clear" w:color="auto" w:fill="CCECFF"/>
          </w:tcPr>
          <w:p>
            <w:pPr>
              <w:ind w:left="180"/>
              <w:spacing w:after="0"/>
              <w:rPr>
                <w:sz w:val="20"/>
                <w:szCs w:val="20"/>
                <w:color w:val="auto"/>
              </w:rPr>
            </w:pPr>
            <w:r>
              <w:rPr>
                <w:rFonts w:ascii="Arial" w:cs="Arial" w:eastAsia="Arial" w:hAnsi="Arial"/>
                <w:sz w:val="18"/>
                <w:szCs w:val="18"/>
                <w:color w:val="auto"/>
              </w:rPr>
              <w:t>sale of future royalties</w:t>
            </w: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(8,683 )</w:t>
            </w:r>
          </w:p>
        </w:tc>
        <w:tc>
          <w:tcPr>
            <w:tcW w:w="32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CFF"/>
          </w:tcPr>
          <w:p>
            <w:pPr>
              <w:jc w:val="right"/>
              <w:ind w:right="180"/>
              <w:spacing w:after="0"/>
              <w:rPr>
                <w:sz w:val="20"/>
                <w:szCs w:val="20"/>
                <w:color w:val="auto"/>
              </w:rPr>
            </w:pPr>
            <w:r>
              <w:rPr>
                <w:rFonts w:ascii="Arial" w:cs="Arial" w:eastAsia="Arial" w:hAnsi="Arial"/>
                <w:sz w:val="18"/>
                <w:szCs w:val="18"/>
                <w:color w:val="auto"/>
              </w:rPr>
              <w:t>(8,582 )</w:t>
            </w:r>
          </w:p>
        </w:tc>
        <w:tc>
          <w:tcPr>
            <w:tcW w:w="22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CFF"/>
          </w:tcPr>
          <w:p>
            <w:pPr>
              <w:ind w:left="520"/>
              <w:spacing w:after="0"/>
              <w:rPr>
                <w:sz w:val="20"/>
                <w:szCs w:val="20"/>
                <w:color w:val="auto"/>
              </w:rPr>
            </w:pPr>
            <w:r>
              <w:rPr>
                <w:rFonts w:ascii="Arial" w:cs="Arial" w:eastAsia="Arial" w:hAnsi="Arial"/>
                <w:sz w:val="18"/>
                <w:szCs w:val="18"/>
                <w:color w:val="auto"/>
              </w:rPr>
              <w:t>(101 )</w:t>
            </w:r>
          </w:p>
        </w:tc>
        <w:tc>
          <w:tcPr>
            <w:tcW w:w="1320" w:type="dxa"/>
            <w:vAlign w:val="bottom"/>
            <w:gridSpan w:val="3"/>
            <w:shd w:val="clear" w:color="auto" w:fill="CCECFF"/>
          </w:tcPr>
          <w:p>
            <w:pPr>
              <w:jc w:val="right"/>
              <w:ind w:right="100"/>
              <w:spacing w:after="0"/>
              <w:rPr>
                <w:sz w:val="20"/>
                <w:szCs w:val="20"/>
                <w:color w:val="auto"/>
              </w:rPr>
            </w:pPr>
            <w:r>
              <w:rPr>
                <w:rFonts w:ascii="Arial" w:cs="Arial" w:eastAsia="Arial" w:hAnsi="Arial"/>
                <w:sz w:val="18"/>
                <w:szCs w:val="18"/>
                <w:color w:val="auto"/>
              </w:rPr>
              <w:t>1 %</w:t>
            </w:r>
          </w:p>
        </w:tc>
      </w:tr>
      <w:tr>
        <w:trPr>
          <w:trHeight w:val="553"/>
        </w:trPr>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93"/>
              </w:rPr>
              <w:t>Nine Months Ended September 30,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b w:val="1"/>
                <w:bCs w:val="1"/>
                <w:color w:val="auto"/>
              </w:rPr>
              <w:t>Dollar</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4"/>
                <w:szCs w:val="24"/>
                <w:color w:val="auto"/>
              </w:rPr>
            </w:pPr>
          </w:p>
        </w:tc>
      </w:tr>
      <w:tr>
        <w:trPr>
          <w:trHeight w:val="190"/>
        </w:trPr>
        <w:tc>
          <w:tcPr>
            <w:tcW w:w="4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r>
      <w:tr>
        <w:trPr>
          <w:trHeight w:val="242"/>
        </w:trPr>
        <w:tc>
          <w:tcPr>
            <w:tcW w:w="4220" w:type="dxa"/>
            <w:vAlign w:val="bottom"/>
            <w:shd w:val="clear" w:color="auto" w:fill="CCECFF"/>
          </w:tcPr>
          <w:p>
            <w:pPr>
              <w:spacing w:after="0"/>
              <w:rPr>
                <w:sz w:val="20"/>
                <w:szCs w:val="20"/>
                <w:color w:val="auto"/>
              </w:rPr>
            </w:pPr>
            <w:r>
              <w:rPr>
                <w:rFonts w:ascii="Arial" w:cs="Arial" w:eastAsia="Arial" w:hAnsi="Arial"/>
                <w:sz w:val="18"/>
                <w:szCs w:val="18"/>
                <w:color w:val="auto"/>
              </w:rPr>
              <w:t>Non-cash interest expense on liability related to the</w:t>
            </w:r>
          </w:p>
        </w:tc>
        <w:tc>
          <w:tcPr>
            <w:tcW w:w="220" w:type="dxa"/>
            <w:vAlign w:val="bottom"/>
            <w:tcBorders>
              <w:top w:val="single" w:sz="8" w:color="auto"/>
            </w:tcBorders>
            <w:shd w:val="clear" w:color="auto" w:fill="CCECFF"/>
          </w:tcPr>
          <w:p>
            <w:pPr>
              <w:spacing w:after="0"/>
              <w:rPr>
                <w:sz w:val="21"/>
                <w:szCs w:val="21"/>
                <w:color w:val="auto"/>
              </w:rPr>
            </w:pPr>
          </w:p>
        </w:tc>
        <w:tc>
          <w:tcPr>
            <w:tcW w:w="1140" w:type="dxa"/>
            <w:vAlign w:val="bottom"/>
            <w:tcBorders>
              <w:top w:val="single" w:sz="8" w:color="auto"/>
            </w:tcBorders>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20" w:type="dxa"/>
            <w:vAlign w:val="bottom"/>
            <w:shd w:val="clear" w:color="auto" w:fill="CCECFF"/>
          </w:tcPr>
          <w:p>
            <w:pPr>
              <w:spacing w:after="0"/>
              <w:rPr>
                <w:sz w:val="21"/>
                <w:szCs w:val="21"/>
                <w:color w:val="auto"/>
              </w:rPr>
            </w:pPr>
          </w:p>
        </w:tc>
        <w:tc>
          <w:tcPr>
            <w:tcW w:w="300" w:type="dxa"/>
            <w:vAlign w:val="bottom"/>
            <w:tcBorders>
              <w:top w:val="single" w:sz="8" w:color="auto"/>
            </w:tcBorders>
            <w:shd w:val="clear" w:color="auto" w:fill="CCECFF"/>
          </w:tcPr>
          <w:p>
            <w:pPr>
              <w:spacing w:after="0"/>
              <w:rPr>
                <w:sz w:val="21"/>
                <w:szCs w:val="21"/>
                <w:color w:val="auto"/>
              </w:rPr>
            </w:pPr>
          </w:p>
        </w:tc>
        <w:tc>
          <w:tcPr>
            <w:tcW w:w="1020" w:type="dxa"/>
            <w:vAlign w:val="bottom"/>
            <w:tcBorders>
              <w:top w:val="single" w:sz="8" w:color="auto"/>
            </w:tcBorders>
            <w:shd w:val="clear" w:color="auto" w:fill="CCECFF"/>
          </w:tcPr>
          <w:p>
            <w:pPr>
              <w:spacing w:after="0"/>
              <w:rPr>
                <w:sz w:val="21"/>
                <w:szCs w:val="21"/>
                <w:color w:val="auto"/>
              </w:rPr>
            </w:pPr>
          </w:p>
        </w:tc>
        <w:tc>
          <w:tcPr>
            <w:tcW w:w="40" w:type="dxa"/>
            <w:vAlign w:val="bottom"/>
            <w:tcBorders>
              <w:top w:val="single" w:sz="8" w:color="auto"/>
            </w:tcBorders>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40" w:type="dxa"/>
            <w:vAlign w:val="bottom"/>
            <w:shd w:val="clear" w:color="auto" w:fill="CCECFF"/>
          </w:tcPr>
          <w:p>
            <w:pPr>
              <w:spacing w:after="0"/>
              <w:rPr>
                <w:sz w:val="21"/>
                <w:szCs w:val="21"/>
                <w:color w:val="auto"/>
              </w:rPr>
            </w:pPr>
          </w:p>
        </w:tc>
        <w:tc>
          <w:tcPr>
            <w:tcW w:w="180" w:type="dxa"/>
            <w:vAlign w:val="bottom"/>
            <w:tcBorders>
              <w:top w:val="single" w:sz="8" w:color="auto"/>
            </w:tcBorders>
            <w:shd w:val="clear" w:color="auto" w:fill="CCECFF"/>
          </w:tcPr>
          <w:p>
            <w:pPr>
              <w:spacing w:after="0"/>
              <w:rPr>
                <w:sz w:val="21"/>
                <w:szCs w:val="21"/>
                <w:color w:val="auto"/>
              </w:rPr>
            </w:pPr>
          </w:p>
        </w:tc>
        <w:tc>
          <w:tcPr>
            <w:tcW w:w="860" w:type="dxa"/>
            <w:vAlign w:val="bottom"/>
            <w:tcBorders>
              <w:top w:val="single" w:sz="8" w:color="auto"/>
            </w:tcBorders>
            <w:shd w:val="clear" w:color="auto" w:fill="CCECFF"/>
          </w:tcPr>
          <w:p>
            <w:pPr>
              <w:spacing w:after="0"/>
              <w:rPr>
                <w:sz w:val="21"/>
                <w:szCs w:val="21"/>
                <w:color w:val="auto"/>
              </w:rPr>
            </w:pPr>
          </w:p>
        </w:tc>
        <w:tc>
          <w:tcPr>
            <w:tcW w:w="60" w:type="dxa"/>
            <w:vAlign w:val="bottom"/>
            <w:tcBorders>
              <w:top w:val="single" w:sz="8" w:color="auto"/>
            </w:tcBorders>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40" w:type="dxa"/>
            <w:vAlign w:val="bottom"/>
            <w:shd w:val="clear" w:color="auto" w:fill="CCECFF"/>
          </w:tcPr>
          <w:p>
            <w:pPr>
              <w:spacing w:after="0"/>
              <w:rPr>
                <w:sz w:val="21"/>
                <w:szCs w:val="21"/>
                <w:color w:val="auto"/>
              </w:rPr>
            </w:pPr>
          </w:p>
        </w:tc>
        <w:tc>
          <w:tcPr>
            <w:tcW w:w="1020" w:type="dxa"/>
            <w:vAlign w:val="bottom"/>
            <w:tcBorders>
              <w:top w:val="single" w:sz="8" w:color="auto"/>
            </w:tcBorders>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r>
      <w:tr>
        <w:trPr>
          <w:trHeight w:val="244"/>
        </w:trPr>
        <w:tc>
          <w:tcPr>
            <w:tcW w:w="4220" w:type="dxa"/>
            <w:vAlign w:val="bottom"/>
            <w:shd w:val="clear" w:color="auto" w:fill="CCECFF"/>
          </w:tcPr>
          <w:p>
            <w:pPr>
              <w:ind w:left="180"/>
              <w:spacing w:after="0"/>
              <w:rPr>
                <w:sz w:val="20"/>
                <w:szCs w:val="20"/>
                <w:color w:val="auto"/>
              </w:rPr>
            </w:pPr>
            <w:r>
              <w:rPr>
                <w:rFonts w:ascii="Arial" w:cs="Arial" w:eastAsia="Arial" w:hAnsi="Arial"/>
                <w:sz w:val="18"/>
                <w:szCs w:val="18"/>
                <w:color w:val="auto"/>
              </w:rPr>
              <w:t>sale of future royalties</w:t>
            </w: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(25,618 )</w:t>
            </w:r>
          </w:p>
        </w:tc>
        <w:tc>
          <w:tcPr>
            <w:tcW w:w="32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CFF"/>
          </w:tcPr>
          <w:p>
            <w:pPr>
              <w:jc w:val="right"/>
              <w:ind w:right="140"/>
              <w:spacing w:after="0"/>
              <w:rPr>
                <w:sz w:val="20"/>
                <w:szCs w:val="20"/>
                <w:color w:val="auto"/>
              </w:rPr>
            </w:pPr>
            <w:r>
              <w:rPr>
                <w:rFonts w:ascii="Arial" w:cs="Arial" w:eastAsia="Arial" w:hAnsi="Arial"/>
                <w:sz w:val="18"/>
                <w:szCs w:val="18"/>
                <w:color w:val="auto"/>
              </w:rPr>
              <w:t>(25,093 )</w:t>
            </w:r>
          </w:p>
        </w:tc>
        <w:tc>
          <w:tcPr>
            <w:tcW w:w="22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CFF"/>
          </w:tcPr>
          <w:p>
            <w:pPr>
              <w:ind w:left="580"/>
              <w:spacing w:after="0"/>
              <w:rPr>
                <w:sz w:val="20"/>
                <w:szCs w:val="20"/>
                <w:color w:val="auto"/>
              </w:rPr>
            </w:pPr>
            <w:r>
              <w:rPr>
                <w:rFonts w:ascii="Arial" w:cs="Arial" w:eastAsia="Arial" w:hAnsi="Arial"/>
                <w:sz w:val="18"/>
                <w:szCs w:val="18"/>
                <w:color w:val="auto"/>
              </w:rPr>
              <w:t>(525 )</w:t>
            </w:r>
          </w:p>
        </w:tc>
        <w:tc>
          <w:tcPr>
            <w:tcW w:w="1320" w:type="dxa"/>
            <w:vAlign w:val="bottom"/>
            <w:gridSpan w:val="3"/>
            <w:shd w:val="clear" w:color="auto" w:fill="CCECFF"/>
          </w:tcPr>
          <w:p>
            <w:pPr>
              <w:jc w:val="right"/>
              <w:ind w:right="100"/>
              <w:spacing w:after="0"/>
              <w:rPr>
                <w:sz w:val="20"/>
                <w:szCs w:val="20"/>
                <w:color w:val="auto"/>
              </w:rPr>
            </w:pPr>
            <w:r>
              <w:rPr>
                <w:rFonts w:ascii="Arial" w:cs="Arial" w:eastAsia="Arial" w:hAnsi="Arial"/>
                <w:sz w:val="18"/>
                <w:szCs w:val="18"/>
                <w:color w:val="auto"/>
              </w:rPr>
              <w:t>2 %</w:t>
            </w:r>
          </w:p>
        </w:tc>
      </w:tr>
    </w:tbl>
    <w:p>
      <w:pPr>
        <w:spacing w:after="0" w:line="80" w:lineRule="exact"/>
        <w:rPr>
          <w:sz w:val="20"/>
          <w:szCs w:val="20"/>
          <w:color w:val="auto"/>
        </w:rPr>
      </w:pPr>
    </w:p>
    <w:p>
      <w:pPr>
        <w:ind w:right="120" w:firstLine="509"/>
        <w:spacing w:after="0" w:line="272" w:lineRule="auto"/>
        <w:rPr>
          <w:sz w:val="20"/>
          <w:szCs w:val="20"/>
          <w:color w:val="auto"/>
        </w:rPr>
      </w:pPr>
      <w:r>
        <w:rPr>
          <w:rFonts w:ascii="Arial" w:cs="Arial" w:eastAsia="Arial" w:hAnsi="Arial"/>
          <w:sz w:val="18"/>
          <w:szCs w:val="18"/>
          <w:color w:val="auto"/>
        </w:rPr>
        <w:t>The non-cash interest expense on liability related to the sale of future royalties increased by $0.1 million and $0.5 million for the three and nine months ended September 30, 2021, respectively, compared to the same periods in 2020 due to the increase in the liability related to the sale of future royalties for net sales of Crysvita in the European territory, slightly offset by a decrease in the effective interest rate compared to same periods in 2020. To the extent the royalty payments are greater or less than our initial estimates or the timing of such payments is materially different than our original estimates, we will prospectively adjust the effective interest rate.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 (dollars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98"/>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Dollar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r>
      <w:tr>
        <w:trPr>
          <w:trHeight w:val="190"/>
        </w:trPr>
        <w:tc>
          <w:tcPr>
            <w:tcW w:w="4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6"/>
                <w:szCs w:val="16"/>
                <w:color w:val="auto"/>
              </w:rPr>
            </w:pPr>
          </w:p>
        </w:tc>
      </w:tr>
      <w:tr>
        <w:trPr>
          <w:trHeight w:val="256"/>
        </w:trPr>
        <w:tc>
          <w:tcPr>
            <w:tcW w:w="4280" w:type="dxa"/>
            <w:vAlign w:val="bottom"/>
            <w:shd w:val="clear" w:color="auto" w:fill="CCECFF"/>
          </w:tcPr>
          <w:p>
            <w:pPr>
              <w:spacing w:after="0"/>
              <w:rPr>
                <w:sz w:val="20"/>
                <w:szCs w:val="20"/>
                <w:color w:val="auto"/>
              </w:rPr>
            </w:pPr>
            <w:r>
              <w:rPr>
                <w:rFonts w:ascii="Arial" w:cs="Arial" w:eastAsia="Arial" w:hAnsi="Arial"/>
                <w:sz w:val="18"/>
                <w:szCs w:val="18"/>
                <w:color w:val="auto"/>
              </w:rPr>
              <w:t>Other income (expense)</w:t>
            </w:r>
          </w:p>
        </w:tc>
        <w:tc>
          <w:tcPr>
            <w:tcW w:w="860" w:type="dxa"/>
            <w:vAlign w:val="bottom"/>
            <w:gridSpan w:val="2"/>
            <w:shd w:val="clear" w:color="auto" w:fill="CCECFF"/>
          </w:tcPr>
          <w:p>
            <w:pPr>
              <w:jc w:val="right"/>
              <w:ind w:right="668"/>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(415 )</w:t>
            </w:r>
          </w:p>
        </w:tc>
        <w:tc>
          <w:tcPr>
            <w:tcW w:w="980" w:type="dxa"/>
            <w:vAlign w:val="bottom"/>
            <w:gridSpan w:val="2"/>
            <w:shd w:val="clear" w:color="auto" w:fill="CCECFF"/>
          </w:tcPr>
          <w:p>
            <w:pPr>
              <w:jc w:val="right"/>
              <w:ind w:right="788"/>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w w:val="99"/>
              </w:rPr>
              <w:t>547</w:t>
            </w:r>
          </w:p>
        </w:tc>
        <w:tc>
          <w:tcPr>
            <w:tcW w:w="44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(962 )</w:t>
            </w:r>
          </w:p>
        </w:tc>
        <w:tc>
          <w:tcPr>
            <w:tcW w:w="128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-176 %</w:t>
            </w:r>
          </w:p>
        </w:tc>
      </w:tr>
      <w:tr>
        <w:trPr>
          <w:trHeight w:val="553"/>
        </w:trPr>
        <w:tc>
          <w:tcPr>
            <w:tcW w:w="4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Dollar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4"/>
                <w:szCs w:val="24"/>
                <w:color w:val="auto"/>
              </w:rPr>
            </w:pPr>
          </w:p>
        </w:tc>
      </w:tr>
      <w:tr>
        <w:trPr>
          <w:trHeight w:val="190"/>
        </w:trPr>
        <w:tc>
          <w:tcPr>
            <w:tcW w:w="4280" w:type="dxa"/>
            <w:vAlign w:val="bottom"/>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6"/>
                <w:szCs w:val="16"/>
                <w:color w:val="auto"/>
              </w:rPr>
            </w:pPr>
          </w:p>
        </w:tc>
      </w:tr>
      <w:tr>
        <w:trPr>
          <w:trHeight w:val="256"/>
        </w:trPr>
        <w:tc>
          <w:tcPr>
            <w:tcW w:w="4280" w:type="dxa"/>
            <w:vAlign w:val="bottom"/>
            <w:shd w:val="clear" w:color="auto" w:fill="CCECFF"/>
          </w:tcPr>
          <w:p>
            <w:pPr>
              <w:spacing w:after="0"/>
              <w:rPr>
                <w:sz w:val="20"/>
                <w:szCs w:val="20"/>
                <w:color w:val="auto"/>
              </w:rPr>
            </w:pPr>
            <w:r>
              <w:rPr>
                <w:rFonts w:ascii="Arial" w:cs="Arial" w:eastAsia="Arial" w:hAnsi="Arial"/>
                <w:sz w:val="18"/>
                <w:szCs w:val="18"/>
                <w:color w:val="auto"/>
              </w:rPr>
              <w:t>Other income (expense)</w:t>
            </w:r>
          </w:p>
        </w:tc>
        <w:tc>
          <w:tcPr>
            <w:tcW w:w="860" w:type="dxa"/>
            <w:vAlign w:val="bottom"/>
            <w:gridSpan w:val="2"/>
            <w:shd w:val="clear" w:color="auto" w:fill="CCECFF"/>
          </w:tcPr>
          <w:p>
            <w:pPr>
              <w:jc w:val="right"/>
              <w:ind w:right="688"/>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w w:val="90"/>
              </w:rPr>
              <w:t>(1,277 )</w:t>
            </w:r>
          </w:p>
        </w:tc>
        <w:tc>
          <w:tcPr>
            <w:tcW w:w="980" w:type="dxa"/>
            <w:vAlign w:val="bottom"/>
            <w:gridSpan w:val="2"/>
            <w:shd w:val="clear" w:color="auto" w:fill="CCECFF"/>
          </w:tcPr>
          <w:p>
            <w:pPr>
              <w:jc w:val="right"/>
              <w:ind w:right="788"/>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308</w:t>
            </w:r>
          </w:p>
        </w:tc>
        <w:tc>
          <w:tcPr>
            <w:tcW w:w="20" w:type="dxa"/>
            <w:vAlign w:val="bottom"/>
            <w:shd w:val="clear" w:color="auto" w:fill="CCECFF"/>
          </w:tcPr>
          <w:p>
            <w:pPr>
              <w:spacing w:after="0"/>
              <w:rPr>
                <w:sz w:val="22"/>
                <w:szCs w:val="22"/>
                <w:color w:val="auto"/>
              </w:rPr>
            </w:pPr>
          </w:p>
        </w:tc>
        <w:tc>
          <w:tcPr>
            <w:tcW w:w="4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(1,585 )</w:t>
            </w:r>
          </w:p>
        </w:tc>
        <w:tc>
          <w:tcPr>
            <w:tcW w:w="128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-515 %</w:t>
            </w:r>
          </w:p>
        </w:tc>
      </w:tr>
    </w:tbl>
    <w:p>
      <w:pPr>
        <w:spacing w:after="0" w:line="80"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Other expense increased by $1.0 million and $1.6 million for the three and nine months ended September 30, 2021, respectively, compared to the same periods in 2020. The increase was primarily due to fluctuations in foreign exchange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Provision for Income Taxes (dollars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98"/>
        </w:trPr>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0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w w:val="98"/>
              </w:rPr>
              <w:t>Three Months Ended September 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Dollar</w:t>
            </w:r>
          </w:p>
        </w:tc>
        <w:tc>
          <w:tcPr>
            <w:tcW w:w="114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0"/>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6"/>
                <w:szCs w:val="16"/>
                <w:color w:val="auto"/>
              </w:rPr>
            </w:pPr>
          </w:p>
        </w:tc>
      </w:tr>
      <w:tr>
        <w:trPr>
          <w:trHeight w:val="256"/>
        </w:trPr>
        <w:tc>
          <w:tcPr>
            <w:tcW w:w="4200" w:type="dxa"/>
            <w:vAlign w:val="bottom"/>
            <w:shd w:val="clear" w:color="auto" w:fill="CCECFF"/>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CFF"/>
          </w:tcPr>
          <w:p>
            <w:pPr>
              <w:jc w:val="right"/>
              <w:ind w:right="80"/>
              <w:spacing w:after="0"/>
              <w:rPr>
                <w:sz w:val="20"/>
                <w:szCs w:val="20"/>
                <w:color w:val="auto"/>
              </w:rPr>
            </w:pPr>
            <w:r>
              <w:rPr>
                <w:rFonts w:ascii="Arial" w:cs="Arial" w:eastAsia="Arial" w:hAnsi="Arial"/>
                <w:sz w:val="18"/>
                <w:szCs w:val="18"/>
                <w:color w:val="auto"/>
              </w:rPr>
              <w:t>(182 )</w:t>
            </w:r>
          </w:p>
        </w:tc>
        <w:tc>
          <w:tcPr>
            <w:tcW w:w="36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CFF"/>
          </w:tcPr>
          <w:p>
            <w:pPr>
              <w:jc w:val="right"/>
              <w:ind w:right="100"/>
              <w:spacing w:after="0"/>
              <w:rPr>
                <w:sz w:val="20"/>
                <w:szCs w:val="20"/>
                <w:color w:val="auto"/>
              </w:rPr>
            </w:pPr>
            <w:r>
              <w:rPr>
                <w:rFonts w:ascii="Arial" w:cs="Arial" w:eastAsia="Arial" w:hAnsi="Arial"/>
                <w:sz w:val="18"/>
                <w:szCs w:val="18"/>
                <w:color w:val="auto"/>
              </w:rPr>
              <w:t>(313 )</w:t>
            </w:r>
          </w:p>
        </w:tc>
        <w:tc>
          <w:tcPr>
            <w:tcW w:w="24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131</w:t>
            </w:r>
          </w:p>
        </w:tc>
        <w:tc>
          <w:tcPr>
            <w:tcW w:w="1520" w:type="dxa"/>
            <w:vAlign w:val="bottom"/>
            <w:gridSpan w:val="5"/>
            <w:shd w:val="clear" w:color="auto" w:fill="CCECFF"/>
          </w:tcPr>
          <w:p>
            <w:pPr>
              <w:jc w:val="right"/>
              <w:ind w:right="100"/>
              <w:spacing w:after="0"/>
              <w:rPr>
                <w:sz w:val="20"/>
                <w:szCs w:val="20"/>
                <w:color w:val="auto"/>
              </w:rPr>
            </w:pPr>
            <w:r>
              <w:rPr>
                <w:rFonts w:ascii="Arial" w:cs="Arial" w:eastAsia="Arial" w:hAnsi="Arial"/>
                <w:sz w:val="18"/>
                <w:szCs w:val="18"/>
                <w:color w:val="auto"/>
              </w:rPr>
              <w:t>-42 %</w:t>
            </w:r>
          </w:p>
        </w:tc>
      </w:tr>
      <w:tr>
        <w:trPr>
          <w:trHeight w:val="553"/>
        </w:trPr>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w w:val="95"/>
              </w:rPr>
              <w:t>Nine Months Ended 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Dollar</w:t>
            </w:r>
          </w:p>
        </w:tc>
        <w:tc>
          <w:tcPr>
            <w:tcW w:w="114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0"/>
        </w:trPr>
        <w:tc>
          <w:tcPr>
            <w:tcW w:w="42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gridSpan w:val="2"/>
          </w:tcPr>
          <w:p>
            <w:pPr>
              <w:spacing w:after="0"/>
              <w:rPr>
                <w:sz w:val="16"/>
                <w:szCs w:val="16"/>
                <w:color w:val="auto"/>
              </w:rPr>
            </w:pPr>
          </w:p>
        </w:tc>
      </w:tr>
      <w:tr>
        <w:trPr>
          <w:trHeight w:val="256"/>
        </w:trPr>
        <w:tc>
          <w:tcPr>
            <w:tcW w:w="4200" w:type="dxa"/>
            <w:vAlign w:val="bottom"/>
            <w:shd w:val="clear" w:color="auto" w:fill="CCECFF"/>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(1,024 )</w:t>
            </w:r>
          </w:p>
        </w:tc>
        <w:tc>
          <w:tcPr>
            <w:tcW w:w="160" w:type="dxa"/>
            <w:vAlign w:val="bottom"/>
            <w:shd w:val="clear" w:color="auto" w:fill="CCECFF"/>
          </w:tcPr>
          <w:p>
            <w:pPr>
              <w:spacing w:after="0"/>
              <w:rPr>
                <w:sz w:val="22"/>
                <w:szCs w:val="2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CFF"/>
          </w:tcPr>
          <w:p>
            <w:pPr>
              <w:spacing w:after="0"/>
              <w:rPr>
                <w:sz w:val="22"/>
                <w:szCs w:val="22"/>
                <w:color w:val="auto"/>
              </w:rPr>
            </w:pP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(1,137 )</w:t>
            </w:r>
          </w:p>
        </w:tc>
        <w:tc>
          <w:tcPr>
            <w:tcW w:w="180" w:type="dxa"/>
            <w:vAlign w:val="bottom"/>
            <w:shd w:val="clear" w:color="auto" w:fill="CCECFF"/>
          </w:tcPr>
          <w:p>
            <w:pPr>
              <w:spacing w:after="0"/>
              <w:rPr>
                <w:sz w:val="22"/>
                <w:szCs w:val="22"/>
                <w:color w:val="auto"/>
              </w:rPr>
            </w:pPr>
          </w:p>
        </w:tc>
        <w:tc>
          <w:tcPr>
            <w:tcW w:w="24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CFF"/>
          </w:tcPr>
          <w:p>
            <w:pPr>
              <w:spacing w:after="0"/>
              <w:rPr>
                <w:sz w:val="22"/>
                <w:szCs w:val="22"/>
                <w:color w:val="auto"/>
              </w:rPr>
            </w:pPr>
          </w:p>
        </w:tc>
        <w:tc>
          <w:tcPr>
            <w:tcW w:w="1520" w:type="dxa"/>
            <w:vAlign w:val="bottom"/>
            <w:gridSpan w:val="5"/>
            <w:shd w:val="clear" w:color="auto" w:fill="CCECFF"/>
          </w:tcPr>
          <w:p>
            <w:pPr>
              <w:jc w:val="right"/>
              <w:ind w:right="140"/>
              <w:spacing w:after="0"/>
              <w:rPr>
                <w:sz w:val="20"/>
                <w:szCs w:val="20"/>
                <w:color w:val="auto"/>
              </w:rPr>
            </w:pPr>
            <w:r>
              <w:rPr>
                <w:rFonts w:ascii="Arial" w:cs="Arial" w:eastAsia="Arial" w:hAnsi="Arial"/>
                <w:sz w:val="18"/>
                <w:szCs w:val="18"/>
                <w:color w:val="auto"/>
              </w:rPr>
              <w:t>(10 )%</w:t>
            </w:r>
          </w:p>
        </w:tc>
      </w:tr>
    </w:tbl>
    <w:p>
      <w:pPr>
        <w:spacing w:after="0" w:line="80"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The provision for incomes taxes decreased by a nominal amount for the three and nine months ended September 30, 2021, respectively, compared to the same periods in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140" w:firstLine="509"/>
        <w:spacing w:after="0" w:line="293" w:lineRule="auto"/>
        <w:rPr>
          <w:sz w:val="20"/>
          <w:szCs w:val="20"/>
          <w:color w:val="auto"/>
        </w:rPr>
      </w:pPr>
      <w:r>
        <w:rPr>
          <w:rFonts w:ascii="Arial" w:cs="Arial" w:eastAsia="Arial" w:hAnsi="Arial"/>
          <w:sz w:val="18"/>
          <w:szCs w:val="18"/>
          <w:color w:val="auto"/>
        </w:rPr>
        <w:t>To date, we have funded our operations primarily from the sale of our equity securities, revenues from our commercial products, the sale of certain future royalties, and strategic collaboration arrangements.</w:t>
      </w:r>
    </w:p>
    <w:p>
      <w:pPr>
        <w:spacing w:after="0" w:line="35"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As of September 30, 2021, we had $941.4 million in available cash, cash equivalents, and marketable debt securities. We believe that our existing capital resources will be sufficient to fund our projected operating requirements for at least the next twelve months. Our cash, cash equivalents, and marketable debt securities are held in a variety of deposit accounts, interest-bearing accounts, corporate bond securities, U.S government securities, asset-backed securities, and money market funds. Cash in excess of immediate requirements is invested with a view toward liquidity and capital preservation, and we seek to minimize the potential effects of concentration and credit risk.</w:t>
      </w:r>
    </w:p>
    <w:p>
      <w:pPr>
        <w:spacing w:after="0" w:line="56"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In May 2021, we entered into an Open Market Sale Agreement with Jefferies LLC, (Jefferies), pursuant to which we may offer and sell shares of our common stock having an aggregate offering proceeds up to $350.0 million, from time to time, in at-the-market (ATM) offerings through Jefferies. As of September 30, 2021, we had not sold any shares under the arrangement.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33" w:name="page34"/>
    <w:bookmarkEnd w:id="33"/>
    <w:p>
      <w:pPr>
        <w:ind w:right="160" w:firstLine="509"/>
        <w:spacing w:after="0" w:line="272" w:lineRule="auto"/>
        <w:rPr>
          <w:sz w:val="20"/>
          <w:szCs w:val="20"/>
          <w:color w:val="auto"/>
        </w:rPr>
      </w:pPr>
      <w:r>
        <w:rPr>
          <w:rFonts w:ascii="Arial" w:cs="Arial" w:eastAsia="Arial" w:hAnsi="Arial"/>
          <w:sz w:val="18"/>
          <w:szCs w:val="18"/>
          <w:color w:val="auto"/>
        </w:rPr>
        <w:t>In March 2020, we received $75.0 million in cash from the sale of 1,243,913 shares of our common stock to Daiichi Sankyo and in April 2020, we received $125.0 million from an upfront payment related to the Daiichi Sankyo License Agreement. In November 2020, we completed an underwritten public offering in which we sold 5,111,110 shares of common stock and received net proceeds of $435.6 million. In December 2020, we sold 800,000 shares of Arcturus common stock and received net proceeds of $79.8 million. In August 2021, we sold an additional 800,000 shares of Arcturus common stock and received net proceeds of $43.2 million.</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96"/>
        </w:trPr>
        <w:tc>
          <w:tcPr>
            <w:tcW w:w="69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5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(284,351 )</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(69,768 )</w:t>
            </w:r>
          </w:p>
        </w:tc>
      </w:tr>
      <w:tr>
        <w:trPr>
          <w:trHeight w:val="250"/>
        </w:trPr>
        <w:tc>
          <w:tcPr>
            <w:tcW w:w="69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(264,429 )</w:t>
            </w:r>
          </w:p>
        </w:tc>
        <w:tc>
          <w:tcPr>
            <w:tcW w:w="3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(277,022 )</w:t>
            </w:r>
          </w:p>
        </w:tc>
      </w:tr>
      <w:tr>
        <w:trPr>
          <w:trHeight w:val="26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32,827</w:t>
            </w:r>
          </w:p>
        </w:tc>
        <w:tc>
          <w:tcPr>
            <w:tcW w:w="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110,561</w:t>
            </w:r>
          </w:p>
        </w:tc>
        <w:tc>
          <w:tcPr>
            <w:tcW w:w="120" w:type="dxa"/>
            <w:vAlign w:val="bottom"/>
            <w:shd w:val="clear" w:color="auto" w:fill="CCEEFF"/>
          </w:tcPr>
          <w:p>
            <w:pPr>
              <w:spacing w:after="0"/>
              <w:rPr>
                <w:sz w:val="22"/>
                <w:szCs w:val="22"/>
                <w:color w:val="auto"/>
              </w:rPr>
            </w:pPr>
          </w:p>
        </w:tc>
      </w:tr>
      <w:tr>
        <w:trPr>
          <w:trHeight w:val="250"/>
        </w:trPr>
        <w:tc>
          <w:tcPr>
            <w:tcW w:w="69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(802 )</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r>
      <w:tr>
        <w:trPr>
          <w:trHeight w:val="20"/>
        </w:trPr>
        <w:tc>
          <w:tcPr>
            <w:tcW w:w="6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6920" w:type="dxa"/>
            <w:vAlign w:val="bottom"/>
            <w:shd w:val="clear" w:color="auto" w:fill="CCECFF"/>
          </w:tcPr>
          <w:p>
            <w:pPr>
              <w:ind w:left="180"/>
              <w:spacing w:after="0"/>
              <w:rPr>
                <w:sz w:val="20"/>
                <w:szCs w:val="20"/>
                <w:color w:val="auto"/>
              </w:rPr>
            </w:pPr>
            <w:r>
              <w:rPr>
                <w:rFonts w:ascii="Arial" w:cs="Arial" w:eastAsia="Arial" w:hAnsi="Arial"/>
                <w:sz w:val="18"/>
                <w:szCs w:val="18"/>
                <w:color w:val="auto"/>
              </w:rPr>
              <w:t>Net decrease in cash, cash equivalents and restricted cash</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(516,755 )</w:t>
            </w:r>
          </w:p>
        </w:tc>
        <w:tc>
          <w:tcPr>
            <w:tcW w:w="34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(235,990 )</w:t>
            </w:r>
          </w:p>
        </w:tc>
      </w:tr>
      <w:tr>
        <w:trPr>
          <w:trHeight w:val="20"/>
        </w:trPr>
        <w:tc>
          <w:tcPr>
            <w:tcW w:w="692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17970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17970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04" w:lineRule="exact"/>
        <w:rPr>
          <w:sz w:val="20"/>
          <w:szCs w:val="20"/>
          <w:color w:val="auto"/>
        </w:rPr>
      </w:pPr>
    </w:p>
    <w:p>
      <w:pPr>
        <w:ind w:right="200" w:firstLine="509"/>
        <w:spacing w:after="0" w:line="329" w:lineRule="auto"/>
        <w:rPr>
          <w:sz w:val="20"/>
          <w:szCs w:val="20"/>
          <w:color w:val="auto"/>
        </w:rPr>
      </w:pPr>
      <w:r>
        <w:rPr>
          <w:rFonts w:ascii="Arial" w:cs="Arial" w:eastAsia="Arial" w:hAnsi="Arial"/>
          <w:sz w:val="16"/>
          <w:szCs w:val="16"/>
          <w:color w:val="auto"/>
        </w:rPr>
        <w:t>Our primary use of cash is to fund operating expenses, which consist primarily of research and development and commercial expenditures. Due to our significant research and development expenditures, we have generated significant operating losses since our inception. Cash used to fund operating expenses is affected by the timing of when we pay these expenses, as reflected in the change in our outstanding accounts payable and accrued expenses.</w:t>
      </w:r>
    </w:p>
    <w:p>
      <w:pPr>
        <w:spacing w:after="0" w:line="13"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Cash used in operating activities for the nine months ended September 30, 2021 was $284.4 million and primarily reflected a net loss of $331.6 million and $13.2 million for non-cash collaboration royalty revenues related to the sale of future royalties to RPI Finance Trust (RPI), an affiliate of Royalty Pharma, offset by non-cash charges of $78.1 million for stock-based compensation, $4.5 million for the amortization of the premium paid on purchased marketable debt securities, $9.7 million for depreciation and amortization, $26.0 million for a change in fair value of equity investments in Arcturus and Solid, and $25.6 million for non-cash interest incurred on the liability related to the sale of future royalties to RPI. Cash used in operating activities also reflected a $2.4 million decrease due to an increase in accounts receivable primarily related to higher revenues, a $2.1 million decrease due to an increase in inventory for Dojolvi, a $7.0 million decrease due to an increase in prepaid expenses and other current assets primarily due to an increase in prepaid subscriptions, prepaid manufacturing and prepaid insurance, and a decrease of $74.4 million in contract liabilities, net, related to the revenue recognized from the license agreements with Daiichi Sankyo, offset by a $1.9 million increase in accounts payable, accrued liabilities, and other liabilities primarily due to an increase in accruals related to the construction of the gene therapy manufacturing plant, net of a decrease in accrued bonus due to the payout of the 2020 annual bonus.</w:t>
      </w:r>
    </w:p>
    <w:p>
      <w:pPr>
        <w:spacing w:after="0" w:line="43"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Cash used in operating activities for the nine months ended September 30, 2020 was $69.8 million and primarily reflected a net loss of $162.6 million, $91.3 million for a change in the fair value of equity investments in Arcturus, and $9.4 million for non-cash collaboration royalty revenues related to the sale of future royalties to RPI, offset by non-cash charges of $62.9 million for stock-based compensation, $0.2 million for the amortization of the premium paid on marketable debt securities, $9.1 million for depreciation and amortization, and $25.1 million for non-cash interest incurred on the liability related to the sale of future royalties to RPI. Cash used in operating activities also reflected a $2.6 million decrease due to an increase in inventory for Mepsevii and Dojolvi and a $12.5 million decrease due to an increase in prepaid expenses and other current assets primarily due to an increase in prepaid manufacturing, offset by $5.1 million increase due to a decrease in accounts receivable primarily related to change in the timing of billing to a collaboration partner, a $2.8 million increase in accounts payable, accrued liabilities, and other liabilities primarily due to the completion of laboratory construction amounts that were accrued at the beginning of the year, net of a decrease in accrued bonus due to the payout of the 2019 annual bonus, and an increase of $102.9 million in contract liabilities, net, related to the license agreements with Daiichi Sankyo.</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04"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Cash used in investing activities for the nine months ended September 30, 2021 was $264.4 million and was primarily related to purchases of property, plant, and equipment of $57.0 million and purchases of marketable debt securities of $917.4 million, offset by proceeds from the sale of marketable debt securities of $83.3 million, maturities of marketable debt securities of $584.0 million, and proceeds from the sale of equity investments of $43.2 million.</w:t>
      </w:r>
    </w:p>
    <w:p>
      <w:pPr>
        <w:spacing w:after="0" w:line="50" w:lineRule="exact"/>
        <w:rPr>
          <w:sz w:val="20"/>
          <w:szCs w:val="20"/>
          <w:color w:val="auto"/>
        </w:rPr>
      </w:pPr>
    </w:p>
    <w:p>
      <w:pPr>
        <w:ind w:right="20" w:firstLine="509"/>
        <w:spacing w:after="0" w:line="282" w:lineRule="auto"/>
        <w:rPr>
          <w:sz w:val="20"/>
          <w:szCs w:val="20"/>
          <w:color w:val="auto"/>
        </w:rPr>
      </w:pPr>
      <w:r>
        <w:rPr>
          <w:rFonts w:ascii="Arial" w:cs="Arial" w:eastAsia="Arial" w:hAnsi="Arial"/>
          <w:sz w:val="17"/>
          <w:szCs w:val="17"/>
          <w:color w:val="auto"/>
        </w:rPr>
        <w:t>Cash used in investing activities for the nine months ended September 30, 2020 was $277.0 million and was primarily related to purchases of property and equipment of $22.0 million, purchases of marketable debt securities of $648.5 million, and the purchase of equity investments of $10.2 million, including $9.6 million for the exercise of the option to purchase additional Arcturus shares and $0.6 million related to a warrant, offset by proceeds from the sale of marketable debt securities of $40.4 million and maturities of marketable debt securities of $367.4 million.</w:t>
      </w: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04" w:lineRule="exact"/>
        <w:rPr>
          <w:sz w:val="20"/>
          <w:szCs w:val="20"/>
          <w:color w:val="auto"/>
        </w:rPr>
      </w:pPr>
    </w:p>
    <w:p>
      <w:pPr>
        <w:ind w:right="500" w:firstLine="509"/>
        <w:spacing w:after="0" w:line="293" w:lineRule="auto"/>
        <w:rPr>
          <w:sz w:val="20"/>
          <w:szCs w:val="20"/>
          <w:color w:val="auto"/>
        </w:rPr>
      </w:pPr>
      <w:r>
        <w:rPr>
          <w:rFonts w:ascii="Arial" w:cs="Arial" w:eastAsia="Arial" w:hAnsi="Arial"/>
          <w:sz w:val="18"/>
          <w:szCs w:val="18"/>
          <w:color w:val="auto"/>
        </w:rPr>
        <w:t>Cash provided by financing activities for the nine months ended September 30, 2021 was $32.8 million and was primarily comprised of $33.2 million in net proceeds from the issuance of common stock pursuant to equity plan awards.</w:t>
      </w:r>
    </w:p>
    <w:p>
      <w:pPr>
        <w:spacing w:after="0" w:line="35" w:lineRule="exact"/>
        <w:rPr>
          <w:sz w:val="20"/>
          <w:szCs w:val="20"/>
          <w:color w:val="auto"/>
        </w:rPr>
      </w:pPr>
    </w:p>
    <w:p>
      <w:pPr>
        <w:ind w:right="160" w:firstLine="509"/>
        <w:spacing w:after="0" w:line="275" w:lineRule="auto"/>
        <w:rPr>
          <w:sz w:val="20"/>
          <w:szCs w:val="20"/>
          <w:color w:val="auto"/>
        </w:rPr>
      </w:pPr>
      <w:r>
        <w:rPr>
          <w:rFonts w:ascii="Arial" w:cs="Arial" w:eastAsia="Arial" w:hAnsi="Arial"/>
          <w:sz w:val="18"/>
          <w:szCs w:val="18"/>
          <w:color w:val="auto"/>
        </w:rPr>
        <w:t>Cash provided by financing activities for the nine months ended September 30, 2020 was $110.6 million and was primarily comprised of $55.3 million from the sale of common stock in connection with the license agreement with Daiichi Sankyo in March 2020, $20.4 million in net proceeds from the sale of common stock in our ATM offering, and $35.1 million in net proceeds from the issuance of common stock pursuant to the exercise of warrants and equity plan awards.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08"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We anticipate that, excluding non-recurring items, we will continue to generate annual losses for the foreseeable future as we continue the development of, and seek regulatory approvals for, our product candidates, and continue with commercialization of approved products. We will require additional capital to fund our operations, to complete our ongoing and planned clinical studies, to commercialize our products, to continue investing in early-stage research capabilities to promote our pipeline growth, to continue to acquire or invest in businesses or products that complement or expand our business, and to further develop our general infrastructure, including construction of our GMP gene therapy manufacturing facility, and such funding may not be available to us on acceptable terms or at all.</w:t>
      </w:r>
    </w:p>
    <w:p>
      <w:pPr>
        <w:spacing w:after="0" w:line="56"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If we are unable to raise additional capital in sufficient amounts or on terms acceptable to us, we may be required to delay, limit, reduce the scope of, or terminate one or more of our clinical studies, research and development programs, future commercialization efforts, or grant rights to develop and market product candidates that we would otherwise prefer to develop and market ourselves.</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scope, rate of progress, results and cost of our clinical studies, nonclinical testing, and other related activities;</w:t>
      </w:r>
    </w:p>
    <w:p>
      <w:pPr>
        <w:spacing w:after="0" w:line="104" w:lineRule="exact"/>
        <w:rPr>
          <w:sz w:val="20"/>
          <w:szCs w:val="20"/>
          <w:color w:val="auto"/>
        </w:rPr>
      </w:pPr>
    </w:p>
    <w:p>
      <w:pPr>
        <w:jc w:val="both"/>
        <w:ind w:left="840" w:right="260"/>
        <w:spacing w:after="0" w:line="279" w:lineRule="auto"/>
        <w:rPr>
          <w:sz w:val="20"/>
          <w:szCs w:val="20"/>
          <w:color w:val="auto"/>
        </w:rPr>
      </w:pPr>
      <w:r>
        <w:rPr>
          <w:rFonts w:ascii="Arial" w:cs="Arial" w:eastAsia="Arial" w:hAnsi="Arial"/>
          <w:sz w:val="18"/>
          <w:szCs w:val="18"/>
          <w:color w:val="auto"/>
        </w:rPr>
        <w:t>the cost of manufacturing clinical supplies, and establishing commercial supplies, of our product candidates, products that we have begun to commercialize, and any products that we may develop in the future, including the construction of our own GMP gene therapy manufacturing plant;</w:t>
      </w:r>
    </w:p>
    <w:p>
      <w:pPr>
        <w:spacing w:after="0" w:line="4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number and characteristics of product candidates that we pursue;</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cost, timing, and outcomes of regulatory approvals;</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cost and timing of establishing our commercial infrastructure, and distribution capabilities;</w:t>
      </w:r>
    </w:p>
    <w:p>
      <w:pPr>
        <w:spacing w:after="0" w:line="104" w:lineRule="exact"/>
        <w:rPr>
          <w:sz w:val="20"/>
          <w:szCs w:val="20"/>
          <w:color w:val="auto"/>
        </w:rPr>
      </w:pPr>
    </w:p>
    <w:p>
      <w:pPr>
        <w:ind w:left="840" w:right="80"/>
        <w:spacing w:after="0" w:line="279" w:lineRule="auto"/>
        <w:rPr>
          <w:sz w:val="20"/>
          <w:szCs w:val="20"/>
          <w:color w:val="auto"/>
        </w:rPr>
      </w:pPr>
      <w:r>
        <w:rPr>
          <w:rFonts w:ascii="Arial" w:cs="Arial" w:eastAsia="Arial" w:hAnsi="Arial"/>
          <w:sz w:val="18"/>
          <w:szCs w:val="18"/>
          <w:color w:val="auto"/>
        </w:rPr>
        <w:t>the magnitude and extent to which the COVID-19 pandemic impacts our business operations and operating results, as described in “Management’s Discussion and Analysis of Financial Condition and Results of Operations” and “Risk Factors – Risks Related to Our Business Operations;” and</w:t>
      </w:r>
    </w:p>
    <w:p>
      <w:pPr>
        <w:spacing w:after="0" w:line="48" w:lineRule="exact"/>
        <w:rPr>
          <w:sz w:val="20"/>
          <w:szCs w:val="20"/>
          <w:color w:val="auto"/>
        </w:rPr>
      </w:pPr>
    </w:p>
    <w:p>
      <w:pPr>
        <w:ind w:left="840" w:right="220"/>
        <w:spacing w:after="0" w:line="279" w:lineRule="auto"/>
        <w:rPr>
          <w:sz w:val="20"/>
          <w:szCs w:val="20"/>
          <w:color w:val="auto"/>
        </w:rPr>
      </w:pPr>
      <w:r>
        <w:rPr>
          <w:rFonts w:ascii="Arial" w:cs="Arial" w:eastAsia="Arial" w:hAnsi="Arial"/>
          <w:sz w:val="18"/>
          <w:szCs w:val="18"/>
          <w:color w:val="auto"/>
        </w:rPr>
        <w:t>the terms and timing of any collaborative, licensing, marketing, distribution, acquisition (including whether we exercise our option to acquire GeneTx pursuant to the terms of our Unitholder Option Agreement with them) and other arrangements that we may establish, including any required upfront milestone, royalty, reimbursements or other payments thereunder.</w:t>
      </w:r>
    </w:p>
    <w:p>
      <w:pPr>
        <w:spacing w:after="0" w:line="48" w:lineRule="exact"/>
        <w:rPr>
          <w:sz w:val="20"/>
          <w:szCs w:val="20"/>
          <w:color w:val="auto"/>
        </w:rPr>
      </w:pPr>
    </w:p>
    <w:p>
      <w:pPr>
        <w:ind w:right="160" w:firstLine="509"/>
        <w:spacing w:after="0" w:line="279" w:lineRule="auto"/>
        <w:rPr>
          <w:sz w:val="20"/>
          <w:szCs w:val="20"/>
          <w:color w:val="auto"/>
        </w:rPr>
      </w:pPr>
      <w:r>
        <w:rPr>
          <w:rFonts w:ascii="Arial" w:cs="Arial" w:eastAsia="Arial" w:hAnsi="Arial"/>
          <w:sz w:val="18"/>
          <w:szCs w:val="18"/>
          <w:color w:val="auto"/>
        </w:rPr>
        <w:t>We expect to satisfy future cash needs through existing capital balances, revenue from our commercial products, and through some combination of public or private equity offerings, debt financings, collaborations, strategic alliances, licensing arrangements, and other marketing and distribution arrangements. Please see “Risk Factors—Risks Related to Our Financial Condition and Capital Requirements.”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8"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We have contractual obligations from our operating and finance leases, manufacturing and service contracts, licenses, royalties, development and collaboration arrangements, and other research and development activities. The following table summarizes our significant binding contractual obligations as of September 30, 2021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b w:val="1"/>
                <w:bCs w:val="1"/>
                <w:color w:val="auto"/>
                <w:w w:val="97"/>
              </w:rPr>
              <w:t>Payments due by period</w:t>
            </w: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79"/>
        </w:trPr>
        <w:tc>
          <w:tcPr>
            <w:tcW w:w="5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Less than 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More than 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2"/>
        </w:trPr>
        <w:tc>
          <w:tcPr>
            <w:tcW w:w="5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7"/>
              </w:rPr>
              <w:t>year</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8"/>
              </w:rPr>
              <w:t>1 to 3 years</w:t>
            </w:r>
          </w:p>
        </w:tc>
        <w:tc>
          <w:tcPr>
            <w:tcW w:w="220" w:type="dxa"/>
            <w:vAlign w:val="bottom"/>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 to 5 years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56"/>
        </w:trPr>
        <w:tc>
          <w:tcPr>
            <w:tcW w:w="58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and finance leases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25,208</w:t>
            </w:r>
          </w:p>
        </w:tc>
        <w:tc>
          <w:tcPr>
            <w:tcW w:w="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11,468</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51,075</w:t>
            </w:r>
          </w:p>
        </w:tc>
        <w:tc>
          <w:tcPr>
            <w:tcW w:w="80" w:type="dxa"/>
            <w:vAlign w:val="bottom"/>
            <w:shd w:val="clear" w:color="auto" w:fill="CCEEFF"/>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Manufacturing and service contracts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13,302</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14,169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62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Building construction agreement</w:t>
            </w:r>
          </w:p>
        </w:tc>
        <w:tc>
          <w:tcPr>
            <w:tcW w:w="220" w:type="dxa"/>
            <w:vAlign w:val="bottom"/>
            <w:tcBorders>
              <w:bottom w:val="single" w:sz="8" w:color="auto"/>
            </w:tcBorders>
            <w:shd w:val="clear" w:color="auto" w:fill="CCECFF"/>
          </w:tcPr>
          <w:p>
            <w:pPr>
              <w:spacing w:after="0"/>
              <w:rPr>
                <w:sz w:val="22"/>
                <w:szCs w:val="2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925</w:t>
            </w:r>
          </w:p>
        </w:tc>
        <w:tc>
          <w:tcPr>
            <w:tcW w:w="260" w:type="dxa"/>
            <w:vAlign w:val="bottom"/>
            <w:tcBorders>
              <w:bottom w:val="single" w:sz="8" w:color="CCECFF"/>
            </w:tcBorders>
            <w:shd w:val="clear" w:color="auto" w:fill="CCECFF"/>
          </w:tcPr>
          <w:p>
            <w:pPr>
              <w:spacing w:after="0"/>
              <w:rPr>
                <w:sz w:val="22"/>
                <w:szCs w:val="22"/>
                <w:color w:val="auto"/>
              </w:rPr>
            </w:pPr>
          </w:p>
        </w:tc>
        <w:tc>
          <w:tcPr>
            <w:tcW w:w="100" w:type="dxa"/>
            <w:vAlign w:val="bottom"/>
            <w:tcBorders>
              <w:bottom w:val="single" w:sz="8" w:color="auto"/>
            </w:tcBorders>
            <w:shd w:val="clear" w:color="auto" w:fill="CCECFF"/>
          </w:tcPr>
          <w:p>
            <w:pPr>
              <w:spacing w:after="0"/>
              <w:rPr>
                <w:sz w:val="22"/>
                <w:szCs w:val="22"/>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CFF"/>
            </w:tcBorders>
            <w:shd w:val="clear" w:color="auto" w:fill="CCECFF"/>
          </w:tcPr>
          <w:p>
            <w:pPr>
              <w:spacing w:after="0"/>
              <w:rPr>
                <w:sz w:val="22"/>
                <w:szCs w:val="22"/>
                <w:color w:val="auto"/>
              </w:rPr>
            </w:pPr>
          </w:p>
        </w:tc>
        <w:tc>
          <w:tcPr>
            <w:tcW w:w="240" w:type="dxa"/>
            <w:vAlign w:val="bottom"/>
            <w:tcBorders>
              <w:bottom w:val="single" w:sz="8" w:color="auto"/>
            </w:tcBorders>
            <w:shd w:val="clear" w:color="auto" w:fill="CCECFF"/>
          </w:tcPr>
          <w:p>
            <w:pPr>
              <w:spacing w:after="0"/>
              <w:rPr>
                <w:sz w:val="22"/>
                <w:szCs w:val="2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CFF"/>
            </w:tcBorders>
            <w:shd w:val="clear" w:color="auto" w:fill="CCECFF"/>
          </w:tcPr>
          <w:p>
            <w:pPr>
              <w:spacing w:after="0"/>
              <w:rPr>
                <w:sz w:val="22"/>
                <w:szCs w:val="22"/>
                <w:color w:val="auto"/>
              </w:rPr>
            </w:pPr>
          </w:p>
        </w:tc>
        <w:tc>
          <w:tcPr>
            <w:tcW w:w="180" w:type="dxa"/>
            <w:vAlign w:val="bottom"/>
            <w:tcBorders>
              <w:bottom w:val="single" w:sz="8" w:color="auto"/>
            </w:tcBorders>
            <w:shd w:val="clear" w:color="auto" w:fill="CCECFF"/>
          </w:tcPr>
          <w:p>
            <w:pPr>
              <w:spacing w:after="0"/>
              <w:rPr>
                <w:sz w:val="22"/>
                <w:szCs w:val="2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CFF"/>
            </w:tcBorders>
            <w:shd w:val="clear" w:color="auto" w:fill="CCECFF"/>
          </w:tcPr>
          <w:p>
            <w:pPr>
              <w:spacing w:after="0"/>
              <w:rPr>
                <w:sz w:val="22"/>
                <w:szCs w:val="22"/>
                <w:color w:val="auto"/>
              </w:rPr>
            </w:pPr>
          </w:p>
        </w:tc>
        <w:tc>
          <w:tcPr>
            <w:tcW w:w="220" w:type="dxa"/>
            <w:vAlign w:val="bottom"/>
            <w:tcBorders>
              <w:bottom w:val="single" w:sz="8" w:color="auto"/>
            </w:tcBorders>
            <w:shd w:val="clear" w:color="auto" w:fill="CCECFF"/>
          </w:tcPr>
          <w:p>
            <w:pPr>
              <w:spacing w:after="0"/>
              <w:rPr>
                <w:sz w:val="22"/>
                <w:szCs w:val="22"/>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925</w:t>
            </w:r>
          </w:p>
        </w:tc>
        <w:tc>
          <w:tcPr>
            <w:tcW w:w="80" w:type="dxa"/>
            <w:vAlign w:val="bottom"/>
            <w:tcBorders>
              <w:bottom w:val="single" w:sz="8" w:color="CCECFF"/>
            </w:tcBorders>
            <w:shd w:val="clear" w:color="auto" w:fill="CCECFF"/>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27,656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26,075</w:t>
            </w:r>
          </w:p>
        </w:tc>
        <w:tc>
          <w:tcPr>
            <w:tcW w:w="4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11,468</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66,169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40"/>
        </w:trPr>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center"/>
              <w:ind w:right="173"/>
              <w:spacing w:after="0"/>
              <w:rPr>
                <w:sz w:val="20"/>
                <w:szCs w:val="20"/>
                <w:color w:val="auto"/>
              </w:rPr>
            </w:pPr>
            <w:r>
              <w:rPr>
                <w:rFonts w:ascii="Arial" w:cs="Arial" w:eastAsia="Arial" w:hAnsi="Arial"/>
                <w:sz w:val="18"/>
                <w:szCs w:val="18"/>
                <w:color w:val="auto"/>
                <w:w w:val="89"/>
              </w:rPr>
              <w:t>33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-570865</wp:posOffset>
            </wp:positionV>
            <wp:extent cx="15430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-570865</wp:posOffset>
            </wp:positionV>
            <wp:extent cx="14541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-570865</wp:posOffset>
            </wp:positionV>
            <wp:extent cx="13716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-570865</wp:posOffset>
            </wp:positionV>
            <wp:extent cx="13716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-570865</wp:posOffset>
            </wp:positionV>
            <wp:extent cx="5143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5" w:name="page36"/>
    <w:bookmarkEnd w:id="35"/>
    <w:p>
      <w:pPr>
        <w:ind w:right="80" w:firstLine="509"/>
        <w:spacing w:after="0" w:line="279" w:lineRule="auto"/>
        <w:rPr>
          <w:sz w:val="20"/>
          <w:szCs w:val="20"/>
          <w:color w:val="auto"/>
        </w:rPr>
      </w:pPr>
      <w:r>
        <w:rPr>
          <w:rFonts w:ascii="Arial" w:cs="Arial" w:eastAsia="Arial" w:hAnsi="Arial"/>
          <w:sz w:val="18"/>
          <w:szCs w:val="18"/>
          <w:color w:val="auto"/>
        </w:rPr>
        <w:t>The terms of certain of our licenses, royalties, development and collaboration agreements, as well as other research and development activities, require us to pay potential future milestone payments based on product development success. The above table excludes such obligations as the amount and timing of such obligations are unknown or uncertain.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engaged in any off-balance sheet arrangements, as defined in the rules and regulations of the SEC.</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Risk</w:t>
      </w:r>
    </w:p>
    <w:p>
      <w:pPr>
        <w:spacing w:after="0" w:line="108" w:lineRule="exact"/>
        <w:rPr>
          <w:sz w:val="20"/>
          <w:szCs w:val="20"/>
          <w:color w:val="auto"/>
        </w:rPr>
      </w:pPr>
    </w:p>
    <w:p>
      <w:pPr>
        <w:ind w:firstLine="469"/>
        <w:spacing w:after="0" w:line="311" w:lineRule="auto"/>
        <w:rPr>
          <w:sz w:val="20"/>
          <w:szCs w:val="20"/>
          <w:color w:val="auto"/>
        </w:rPr>
      </w:pPr>
      <w:r>
        <w:rPr>
          <w:rFonts w:ascii="Arial" w:cs="Arial" w:eastAsia="Arial" w:hAnsi="Arial"/>
          <w:sz w:val="16"/>
          <w:szCs w:val="16"/>
          <w:color w:val="auto"/>
        </w:rPr>
        <w:t>We have exposure to equity risk with respect to the equity investments that we hold in Arcturus and Solid. The carrying value of our equity investment held in Arcturus was $66.9 million and $95.4 million as of September 30, 2021 and December 31, 2020, respectively, and the carrying value of our equity investment held in Solid was $18.7 million and $59.3 million as of September 30, 2021 and December 31, 2020, respectively. A hypothetical 10 percent decrease in the market price for our equity investments in Arcturus and Solid as of September 30, 2021 and December 31, 2020 would decrease the fair value by $8.6 million and $15.5 million, respectively. Given the historic volatility of the publicly traded stock price of Arcturus and Solid, the fair value of our investments in Arcturus and Solid is subject to wide fluctuations which may have a significant impact on our net income (loss) in future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8"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Our exposure to market risk for changes in interest rates relates primarily to interest earned on our cash equivalents and marketable debt securities. The primary objective of our investment activities is to preserve our capital to fund operations. A secondary objective is to maximize income from our investments without assuming significant risk. Our investment policy provides for investments in low-risk, investment-grade debt instruments. As of September 30, 2021, we had cash, cash equivalents, and marketable debt securities totaling $941.4 million, compared to $1,212.0 million as of December 31, 2020, which include bank deposits, money market funds, U.S. government treasury and agency securities, and investment-grade corporate bond securities which are subject to default, changes in credit rating, and changes in market value. The securities in our investment portfolio are classified as available for sale and are subject to interest rate risk and will decrease in value if market interest rates increase. A hypothetical 100 basis point change in interest rates during any of the periods presented would not have had a material impact on the fair market value of our cash equivalents and marketable debt securities as of September 30, 2021 or December 31, 2020. To date, we have not experienced a loss of principal on any of these investments and as of September 30, 2021, we did not record any allowance for credit loss from our investments.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08" w:lineRule="exact"/>
        <w:rPr>
          <w:sz w:val="20"/>
          <w:szCs w:val="20"/>
          <w:color w:val="auto"/>
        </w:rPr>
      </w:pPr>
    </w:p>
    <w:p>
      <w:pPr>
        <w:ind w:right="40" w:firstLine="509"/>
        <w:spacing w:after="0" w:line="281" w:lineRule="auto"/>
        <w:rPr>
          <w:sz w:val="20"/>
          <w:szCs w:val="20"/>
          <w:color w:val="auto"/>
        </w:rPr>
      </w:pPr>
      <w:r>
        <w:rPr>
          <w:rFonts w:ascii="Arial" w:cs="Arial" w:eastAsia="Arial" w:hAnsi="Arial"/>
          <w:sz w:val="17"/>
          <w:szCs w:val="17"/>
          <w:color w:val="auto"/>
        </w:rPr>
        <w:t>We face foreign exchange risk as a result of entering into transactions denominated in currencies other than U.S. dollars. Due to the uncertain timing of expected payments in foreign currencies, we do not utilize any forward exchange contracts. All foreign transactions settle on the applicable spot exchange basis at the time such payments are made. Volatile market conditions arising from the COVID-19 pandemic may result in significant changes in exchange rates, and in particular a weakening of foreign currencies relative to the U.S. dollar may negatively affect our revenue and operating income as expressed in U.S. dollars. An adverse movement in foreign exchange rates could have a material effect on payments made to foreign suppliers and for license agreements. For the three months ended September 30, 2021, a majority of our revenue and expense activities and capital expenditures were denominated in U.S. dollars. A hypothetical 10% change in foreign exchange rates during any of the periods presented would not have had a material impact on our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 xml:space="preserve">Item </w:t>
      </w:r>
      <w:r>
        <w:rPr>
          <w:rFonts w:ascii="Arial" w:cs="Arial" w:eastAsia="Arial" w:hAnsi="Arial"/>
          <w:sz w:val="18"/>
          <w:szCs w:val="18"/>
          <w:b w:val="1"/>
          <w:bCs w:val="1"/>
          <w:color w:val="auto"/>
        </w:rPr>
        <w:t>4.</w:t>
      </w:r>
      <w:r>
        <w:rPr>
          <w:rFonts w:ascii="Arial" w:cs="Arial" w:eastAsia="Arial" w:hAnsi="Arial"/>
          <w:sz w:val="18"/>
          <w:szCs w:val="18"/>
          <w:b w:val="1"/>
          <w:bCs w:val="1"/>
          <w:i w:val="1"/>
          <w:iCs w:val="1"/>
          <w:color w:val="auto"/>
        </w:rPr>
        <w:t xml:space="preserve">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Management carried out an evaluation, under the supervision and with the participation of our Chief Executive Officer and our Chief Financial Officer, of the effectiveness of our “disclosure controls and procedures” as of the end of the period covered by this Quarterly Report, pursuant to Rules 13a-15(b) and 15d-15(b) under the Securities Exchange Act of 1934, or the Exchange Act. 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 rules and forms as of September 30, 2021. For the purpose of this review,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and principal financial officer, as appropriate to allow timely decisions regarding required disclosure. In designing and evaluating the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240" w:firstLine="509"/>
        <w:spacing w:after="0" w:line="279"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our quarter ended September 30, 2021, that has materially affected, or is reasonably likely to materially affect our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40" w:firstLine="509"/>
        <w:spacing w:after="0" w:line="309" w:lineRule="auto"/>
        <w:rPr>
          <w:sz w:val="20"/>
          <w:szCs w:val="20"/>
          <w:color w:val="auto"/>
        </w:rPr>
      </w:pPr>
      <w:r>
        <w:rPr>
          <w:rFonts w:ascii="Arial" w:cs="Arial" w:eastAsia="Arial" w:hAnsi="Arial"/>
          <w:sz w:val="16"/>
          <w:szCs w:val="16"/>
          <w:color w:val="auto"/>
        </w:rPr>
        <w:t>We are not currently a party to any material legal proceedings. We may, however, in the ordinary course of business face various claims brought by third parties or government regulators and we may, from time to time, make claims or take legal actions to assert our rights, including claims relating to our directors, officers, stockholders, intellectual property rights, employment matters and the safety or efficacy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0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material risks, together with all the other information in this Quarterly Report, including our financial statements and notes thereto, before deciding to invest in our common stock. The risks and uncertainties described below are not the only ones we face. Additional risk and uncertainties not presently known to us or that we presently deem less significant may also impair our business operations. If any of the following risks actually materialize, our operating results, financial condition, and liquidity could be materially adversely affected. As a result, the trading price of our common stock could decline and you could lose part or all of your investment. Our company’s business, financial condition and operating results can be affected by a number of factors, whether currently known or unknown, including but not limited to those described below,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prospects, financial condition, operating results and stock price.</w:t>
      </w:r>
    </w:p>
    <w:p>
      <w:pPr>
        <w:spacing w:after="0" w:line="35" w:lineRule="exact"/>
        <w:rPr>
          <w:sz w:val="20"/>
          <w:szCs w:val="20"/>
          <w:color w:val="auto"/>
        </w:rPr>
      </w:pPr>
    </w:p>
    <w:p>
      <w:pPr>
        <w:jc w:val="both"/>
        <w:ind w:right="140"/>
        <w:spacing w:after="0" w:line="352" w:lineRule="auto"/>
        <w:rPr>
          <w:sz w:val="20"/>
          <w:szCs w:val="20"/>
          <w:color w:val="auto"/>
        </w:rPr>
      </w:pPr>
      <w:r>
        <w:rPr>
          <w:rFonts w:ascii="Arial" w:cs="Arial" w:eastAsia="Arial" w:hAnsi="Arial"/>
          <w:sz w:val="16"/>
          <w:szCs w:val="16"/>
          <w:i w:val="1"/>
          <w:iCs w:val="1"/>
          <w:color w:val="auto"/>
        </w:rPr>
        <w:t>Because of the following factors, as well as other factors affecting our financial condition and operating results, past financial performance should not be considered to be a reliable indicator of future performance, and investors should not use historical trends to anticipate results or trends in future periods.</w:t>
      </w:r>
    </w:p>
    <w:p>
      <w:pPr>
        <w:ind w:right="500"/>
        <w:spacing w:after="0" w:line="293" w:lineRule="auto"/>
        <w:rPr>
          <w:sz w:val="20"/>
          <w:szCs w:val="20"/>
          <w:color w:val="auto"/>
        </w:rPr>
      </w:pPr>
      <w:r>
        <w:rPr>
          <w:rFonts w:ascii="Arial" w:cs="Arial" w:eastAsia="Arial" w:hAnsi="Arial"/>
          <w:sz w:val="18"/>
          <w:szCs w:val="18"/>
          <w:i w:val="1"/>
          <w:iCs w:val="1"/>
          <w:color w:val="auto"/>
        </w:rPr>
        <w:t>The following description of the risk factors associated with our business includes any material changes to and supersedes the description of the risk factors associated with our business previously disclosed in Part I, Item 1A of the Annual Report.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Risk Factor Summary</w:t>
      </w:r>
    </w:p>
    <w:p>
      <w:pPr>
        <w:spacing w:after="0" w:line="1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a history of operating losses and anticipate that we will continue to incur losses for the foreseeable future.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limited experience in generating revenue from product sales.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expect we will need to raise additional capital to fund our activities.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Clinical drug development is a lengthy and expensive process with uncertain outcomes.</w:t>
      </w:r>
    </w:p>
    <w:p>
      <w:pPr>
        <w:spacing w:after="0" w:line="131" w:lineRule="exact"/>
        <w:rPr>
          <w:sz w:val="20"/>
          <w:szCs w:val="20"/>
          <w:color w:val="auto"/>
        </w:rPr>
      </w:pPr>
    </w:p>
    <w:p>
      <w:pPr>
        <w:ind w:left="700" w:right="1200"/>
        <w:spacing w:after="0" w:line="324" w:lineRule="auto"/>
        <w:rPr>
          <w:sz w:val="20"/>
          <w:szCs w:val="20"/>
          <w:color w:val="auto"/>
        </w:rPr>
      </w:pPr>
      <w:r>
        <w:rPr>
          <w:rFonts w:ascii="Arial" w:cs="Arial" w:eastAsia="Arial" w:hAnsi="Arial"/>
          <w:sz w:val="17"/>
          <w:szCs w:val="17"/>
          <w:color w:val="auto"/>
        </w:rPr>
        <w:t>If we do not achieve our projected development goals in the time frames we announce and expect, we may experience delays in commercialization of our products and the reputation of our management may be adversely affected.</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may experience difficulty in enrolling patients, which could delay or prevent clinical studies of our product candidates.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regulatory approval processes of the FDA and comparable foreign authorities are lengthy and inherently unpredictable.</w:t>
      </w:r>
    </w:p>
    <w:p>
      <w:pPr>
        <w:spacing w:after="0" w:line="131" w:lineRule="exact"/>
        <w:rPr>
          <w:sz w:val="20"/>
          <w:szCs w:val="20"/>
          <w:color w:val="auto"/>
        </w:rPr>
      </w:pPr>
    </w:p>
    <w:p>
      <w:pPr>
        <w:ind w:left="700"/>
        <w:spacing w:after="0" w:line="279" w:lineRule="auto"/>
        <w:rPr>
          <w:sz w:val="20"/>
          <w:szCs w:val="20"/>
          <w:color w:val="auto"/>
        </w:rPr>
      </w:pPr>
      <w:r>
        <w:rPr>
          <w:rFonts w:ascii="Arial" w:cs="Arial" w:eastAsia="Arial" w:hAnsi="Arial"/>
          <w:sz w:val="18"/>
          <w:szCs w:val="18"/>
          <w:color w:val="auto"/>
        </w:rPr>
        <w:t>Our product candidates, including our gene therapy product candidates, may cause undesirable or serious side effects that could delay or prevent their regulatory approval, limit the commercial profile of an approved label, or result in other negative consequences following marketing approval, if any.</w:t>
      </w:r>
    </w:p>
    <w:p>
      <w:pPr>
        <w:spacing w:after="0" w:line="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products will remain subject to regulatory scrutiny even if we obtain regulatory approval.</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may not realize the full commercial potential of our product candidates if we are unable to source and develop effective biomarkers.</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rely on third parties to conduct our nonclinical and clinical studies and perform other tasks for us.</w:t>
      </w:r>
    </w:p>
    <w:p>
      <w:pPr>
        <w:spacing w:after="0" w:line="131" w:lineRule="exact"/>
        <w:rPr>
          <w:sz w:val="20"/>
          <w:szCs w:val="20"/>
          <w:color w:val="auto"/>
        </w:rPr>
      </w:pPr>
    </w:p>
    <w:p>
      <w:pPr>
        <w:ind w:left="700" w:right="1120"/>
        <w:spacing w:after="0" w:line="293" w:lineRule="auto"/>
        <w:rPr>
          <w:sz w:val="20"/>
          <w:szCs w:val="20"/>
          <w:color w:val="auto"/>
        </w:rPr>
      </w:pPr>
      <w:r>
        <w:rPr>
          <w:rFonts w:ascii="Arial" w:cs="Arial" w:eastAsia="Arial" w:hAnsi="Arial"/>
          <w:sz w:val="18"/>
          <w:szCs w:val="18"/>
          <w:color w:val="auto"/>
        </w:rPr>
        <w:t>We are dependent on KKC for the clinical and commercial supply of Crysvita for all major markets and for the development and commercialization of Crysvita in certain major markets.</w:t>
      </w:r>
    </w:p>
    <w:p>
      <w:pPr>
        <w:spacing w:after="0" w:line="62" w:lineRule="exact"/>
        <w:rPr>
          <w:sz w:val="20"/>
          <w:szCs w:val="20"/>
          <w:color w:val="auto"/>
        </w:rPr>
      </w:pPr>
    </w:p>
    <w:p>
      <w:pPr>
        <w:jc w:val="center"/>
        <w:ind w:left="760" w:right="260"/>
        <w:spacing w:after="0" w:line="293" w:lineRule="auto"/>
        <w:rPr>
          <w:sz w:val="20"/>
          <w:szCs w:val="20"/>
          <w:color w:val="auto"/>
        </w:rPr>
      </w:pPr>
      <w:r>
        <w:rPr>
          <w:rFonts w:ascii="Arial" w:cs="Arial" w:eastAsia="Arial" w:hAnsi="Arial"/>
          <w:sz w:val="18"/>
          <w:szCs w:val="18"/>
          <w:color w:val="auto"/>
        </w:rPr>
        <w:t>We have no experience as a company developing a manufacturing facility, such as our gene therapy manufacturing facility in Massachusetts.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4" w:right="47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We rely on third parties to manufacture our products and product candidates and face a multitude of manufacturing risks.</w:t>
      </w:r>
    </w:p>
    <w:p>
      <w:pPr>
        <w:spacing w:after="0" w:line="131"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The loss of, or failure to supply by, any of any of our single-source suppliers for our drug substance and drug product could adversely affect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actions of distributors and specialty pharmacies could affect our ability to sell or market products profitably.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 competitor could misappropriate or disclose our trade secrets.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Our revenue may be adversely affected if the market opportunities for our products and product candidates are smaller than expected.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Our competitors may develop therapies that are similar, more advanced, or more effective than ours.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may not successfully manage expansion of our company, including building an integrated commercial organization.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exclusive right to promote Crysvita in the United States and Canada expires in 2023.</w:t>
      </w:r>
    </w:p>
    <w:p>
      <w:pPr>
        <w:spacing w:after="0" w:line="131"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color w:val="auto"/>
        </w:rPr>
        <w:t>Commercial success of our products depends on the degree of market acceptance by physicians, patients, third-party payors, and others in the medical community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face uncertainty related to insurance coverage and reimbursement status of our newly approved products.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may be adversely affected by the United Kingdom’s withdrawal from the EU.</w:t>
      </w:r>
    </w:p>
    <w:p>
      <w:pPr>
        <w:spacing w:after="0" w:line="131"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If we, or our third-party partners, are unable to maintain effective proprietary rights for our products, product candidates, or any future product candidates, we may not be able to compete effectively in our markets.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Claims of intellectual property infringement may prevent or delay our development and commercialization efforts.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We may not be successful in obtaining or maintaining necessary rights to our product candidates through acquisitions and in-licenses.</w:t>
      </w:r>
    </w:p>
    <w:p>
      <w:pPr>
        <w:spacing w:after="0" w:line="142"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We may face competition from biosimilars or from generic versions of Dojolvi or our small-molecule product candidates, which may result in a material decline in sales of affected products.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We could lose license rights that are important to our business if we fail to comply with our obligations in the agreements under which we license intellectual property and other rights from third parties.</w:t>
      </w:r>
    </w:p>
    <w:p>
      <w:pPr>
        <w:spacing w:after="0" w:line="62"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We may become involved in lawsuits to protect or enforce our patents or the patents of our licensors, or be subject to claims that challenge the inventorship or ownership of our patents.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Changes in U.S. patent law could diminish the value of patents in general, thereby impairing our ability to protect our products.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may not be able to protect our intellectual property rights throughout the world.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ongoing COVID-19 pandemic has impacted our operations and could materially and adversely affect our business and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success depends in part on our ability to retain our President and Chief Executive Officer and other qualified personnel.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revenue may be impacted if we fail to obtain or maintain orphan drug exclusivity for our products.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be adversely impacted if our intangible assets become impaired.</w:t>
      </w:r>
    </w:p>
    <w:p>
      <w:pPr>
        <w:spacing w:after="0" w:line="131"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 xml:space="preserve">We may not be successful in identifying, licensing, discovering, developing, or commercializing additional product candidates or we may fail </w:t>
      </w:r>
      <w:r>
        <w:rPr>
          <w:rFonts w:ascii="Arial" w:cs="Arial" w:eastAsia="Arial" w:hAnsi="Arial"/>
          <w:sz w:val="18"/>
          <w:szCs w:val="18"/>
          <w:color w:val="212529"/>
        </w:rPr>
        <w:t>to</w:t>
      </w:r>
      <w:r>
        <w:rPr>
          <w:rFonts w:ascii="Arial" w:cs="Arial" w:eastAsia="Arial" w:hAnsi="Arial"/>
          <w:sz w:val="18"/>
          <w:szCs w:val="18"/>
          <w:color w:val="auto"/>
        </w:rPr>
        <w:t xml:space="preserve"> </w:t>
      </w:r>
      <w:r>
        <w:rPr>
          <w:rFonts w:ascii="Arial" w:cs="Arial" w:eastAsia="Arial" w:hAnsi="Arial"/>
          <w:sz w:val="18"/>
          <w:szCs w:val="18"/>
          <w:color w:val="212529"/>
        </w:rPr>
        <w:t>capitalize on opportunities that may be more profitable or for which there is a greater likelihood of success.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may fail to comply with laws and regulations or changes in laws and regulations could adversely affect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risks related to international expansion of our business outside of the United States.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business may be adversely affected in the event of computer system failures or security breaches.</w:t>
      </w:r>
    </w:p>
    <w:p>
      <w:pPr>
        <w:spacing w:after="0" w:line="131"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color w:val="auto"/>
        </w:rPr>
        <w:t>We or our third-party partners may be adversely affected by earthquakes or other serious natural disasters that are not adequately protected by business continuity and disaster recovery plans.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may incur various costs and expenses and risks related to acquisition of companies or products or strategic transactions.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is highly volatile.</w:t>
      </w:r>
    </w:p>
    <w:p>
      <w:pPr>
        <w:spacing w:after="0" w:line="13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20" w:top="368" w:right="399" w:bottom="1440" w:gutter="0" w:footer="0" w:header="0"/>
        </w:sectPr>
      </w:pPr>
    </w:p>
    <w:bookmarkStart w:id="39" w:name="page40"/>
    <w:bookmarkEnd w:id="39"/>
    <w:p>
      <w:pPr>
        <w:spacing w:after="0" w:line="293" w:lineRule="auto"/>
        <w:rPr>
          <w:sz w:val="20"/>
          <w:szCs w:val="20"/>
          <w:color w:val="auto"/>
        </w:rPr>
      </w:pPr>
      <w:r>
        <w:rPr>
          <w:rFonts w:ascii="Arial" w:cs="Arial" w:eastAsia="Arial" w:hAnsi="Arial"/>
          <w:sz w:val="18"/>
          <w:szCs w:val="18"/>
          <w:color w:val="auto"/>
        </w:rPr>
        <w:t>Future sales and issuances of our common stock could dilute the percentage ownership of our current stockholders and result in a decline in stock price.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do not intend to pay dividends on our common stock so any returns will be limited to the value of our stock.</w:t>
      </w:r>
    </w:p>
    <w:p>
      <w:pPr>
        <w:spacing w:after="0" w:line="131" w:lineRule="exact"/>
        <w:rPr>
          <w:sz w:val="20"/>
          <w:szCs w:val="20"/>
          <w:color w:val="auto"/>
        </w:rPr>
      </w:pPr>
    </w:p>
    <w:p>
      <w:pPr>
        <w:ind w:right="240"/>
        <w:spacing w:after="0" w:line="279" w:lineRule="auto"/>
        <w:rPr>
          <w:sz w:val="20"/>
          <w:szCs w:val="20"/>
          <w:color w:val="auto"/>
        </w:rPr>
      </w:pPr>
      <w:r>
        <w:rPr>
          <w:rFonts w:ascii="Arial" w:cs="Arial" w:eastAsia="Arial" w:hAnsi="Arial"/>
          <w:sz w:val="18"/>
          <w:szCs w:val="18"/>
          <w:color w:val="auto"/>
        </w:rPr>
        <w:t>Provisions in our amended and restated certificate of incorporation and by-laws, as well as provisions of Delaware law, could make it more difficult for a third-party to acquire us or increase the cost of acquiring us or could limit our stockholders’ ability to obtain a favorable judicial forum for disputes with us or our directors, officers or employees.</w:t>
      </w:r>
    </w:p>
    <w:p>
      <w:pPr>
        <w:spacing w:after="0" w:line="75"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We face general risks related to our ability to maintain effective internal controls over financial reporting, additional tax liabilities related to our operations, our ability to use our net operating loss carryforwards and costs of litigation</w:t>
      </w:r>
    </w:p>
    <w:p>
      <w:pPr>
        <w:spacing w:after="0" w:line="29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20" w:top="368" w:right="3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continue to incur losses for the foreseeable future.</w:t>
      </w:r>
    </w:p>
    <w:p>
      <w:pPr>
        <w:spacing w:after="0" w:line="104"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We are a biopharmaceutical company with a history of operating losses, and anticipate continuing to incur operating losses for the foreseeable future. Biopharmaceutical product development is a highly speculative undertaking and involves a substantial degree of risk. We have devoted substantially all of our financial resources to identifying, acquiring, and developing our products and product candidates, including conducting clinical studies, developing manufacturing processes, manufacturing product candidates for clinical studies, and providing selling, general and administrative support for these operations. The amount of our future net losses will depend, in part, on non-recurring events, the success of our commercialization efforts, and the rate of our future expenditures. We anticipate that our expenses will increase substantially if and as we:</w:t>
      </w:r>
    </w:p>
    <w:p>
      <w:pPr>
        <w:spacing w:after="0" w:line="41" w:lineRule="exact"/>
        <w:rPr>
          <w:sz w:val="20"/>
          <w:szCs w:val="20"/>
          <w:color w:val="auto"/>
        </w:rPr>
      </w:pPr>
    </w:p>
    <w:p>
      <w:pPr>
        <w:ind w:left="840" w:right="3900"/>
        <w:spacing w:after="0" w:line="360" w:lineRule="auto"/>
        <w:rPr>
          <w:sz w:val="20"/>
          <w:szCs w:val="20"/>
          <w:color w:val="auto"/>
        </w:rPr>
      </w:pPr>
      <w:r>
        <w:rPr>
          <w:rFonts w:ascii="Arial" w:cs="Arial" w:eastAsia="Arial" w:hAnsi="Arial"/>
          <w:sz w:val="18"/>
          <w:szCs w:val="18"/>
          <w:color w:val="auto"/>
        </w:rPr>
        <w:t>continue our research and nonclinical and clinical development of our product candidates; expand the scope of our current clinical studies for our product candidates; advance our programs into more expensive clinical studies;</w:t>
      </w:r>
    </w:p>
    <w:p>
      <w:pPr>
        <w:ind w:left="840"/>
        <w:spacing w:after="0"/>
        <w:rPr>
          <w:sz w:val="20"/>
          <w:szCs w:val="20"/>
          <w:color w:val="auto"/>
        </w:rPr>
      </w:pPr>
      <w:r>
        <w:rPr>
          <w:rFonts w:ascii="Arial" w:cs="Arial" w:eastAsia="Arial" w:hAnsi="Arial"/>
          <w:sz w:val="18"/>
          <w:szCs w:val="18"/>
          <w:color w:val="auto"/>
        </w:rPr>
        <w:t>initiate additional nonclinical, clinical, or other studies for our product candidates;</w:t>
      </w:r>
    </w:p>
    <w:p>
      <w:pPr>
        <w:spacing w:after="0" w:line="104" w:lineRule="exact"/>
        <w:rPr>
          <w:sz w:val="20"/>
          <w:szCs w:val="20"/>
          <w:color w:val="auto"/>
        </w:rPr>
      </w:pPr>
    </w:p>
    <w:p>
      <w:pPr>
        <w:ind w:left="840" w:right="2100"/>
        <w:spacing w:after="0" w:line="360" w:lineRule="auto"/>
        <w:rPr>
          <w:sz w:val="20"/>
          <w:szCs w:val="20"/>
          <w:color w:val="auto"/>
        </w:rPr>
      </w:pPr>
      <w:r>
        <w:rPr>
          <w:rFonts w:ascii="Arial" w:cs="Arial" w:eastAsia="Arial" w:hAnsi="Arial"/>
          <w:sz w:val="18"/>
          <w:szCs w:val="18"/>
          <w:color w:val="auto"/>
        </w:rPr>
        <w:t>pursue preclinical and clinical development for additional indications for existing products and product candidates; change or add additional manufacturers or suppliers;</w:t>
      </w:r>
    </w:p>
    <w:p>
      <w:pPr>
        <w:ind w:left="840" w:right="780"/>
        <w:spacing w:after="0" w:line="293" w:lineRule="auto"/>
        <w:rPr>
          <w:sz w:val="20"/>
          <w:szCs w:val="20"/>
          <w:color w:val="auto"/>
        </w:rPr>
      </w:pPr>
      <w:r>
        <w:rPr>
          <w:rFonts w:ascii="Arial" w:cs="Arial" w:eastAsia="Arial" w:hAnsi="Arial"/>
          <w:sz w:val="18"/>
          <w:szCs w:val="18"/>
          <w:color w:val="auto"/>
        </w:rPr>
        <w:t>expand upon or build our own manufacturing-related facilities and capabilities, including construction of our own GMP gene therapy manufacturing plant;</w:t>
      </w:r>
    </w:p>
    <w:p>
      <w:pPr>
        <w:spacing w:after="0" w:line="35" w:lineRule="exact"/>
        <w:rPr>
          <w:sz w:val="20"/>
          <w:szCs w:val="20"/>
          <w:color w:val="auto"/>
        </w:rPr>
      </w:pPr>
    </w:p>
    <w:p>
      <w:pPr>
        <w:ind w:left="840" w:right="2400"/>
        <w:spacing w:after="0" w:line="381" w:lineRule="auto"/>
        <w:rPr>
          <w:sz w:val="20"/>
          <w:szCs w:val="20"/>
          <w:color w:val="auto"/>
        </w:rPr>
      </w:pPr>
      <w:r>
        <w:rPr>
          <w:rFonts w:ascii="Arial" w:cs="Arial" w:eastAsia="Arial" w:hAnsi="Arial"/>
          <w:sz w:val="17"/>
          <w:szCs w:val="17"/>
          <w:color w:val="auto"/>
        </w:rPr>
        <w:t>seek regulatory and marketing approvals for our product candidates that successfully complete clinical studies; continue to establish Medical Affairs field teams to initiate relevant disease education;</w:t>
      </w:r>
    </w:p>
    <w:p>
      <w:pPr>
        <w:ind w:left="840" w:right="220"/>
        <w:spacing w:after="0" w:line="293" w:lineRule="auto"/>
        <w:rPr>
          <w:sz w:val="20"/>
          <w:szCs w:val="20"/>
          <w:color w:val="auto"/>
        </w:rPr>
      </w:pPr>
      <w:r>
        <w:rPr>
          <w:rFonts w:ascii="Arial" w:cs="Arial" w:eastAsia="Arial" w:hAnsi="Arial"/>
          <w:sz w:val="18"/>
          <w:szCs w:val="18"/>
          <w:color w:val="auto"/>
        </w:rPr>
        <w:t>continue to establish a marketing and distribution infrastructure and field force to commercialize our products and any product candidates for which we may obtain marketing approval;</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continue to manage our international subsidiaries and establish new ones;</w:t>
      </w:r>
    </w:p>
    <w:p>
      <w:pPr>
        <w:spacing w:after="0" w:line="104" w:lineRule="exact"/>
        <w:rPr>
          <w:sz w:val="20"/>
          <w:szCs w:val="20"/>
          <w:color w:val="auto"/>
        </w:rPr>
      </w:pPr>
    </w:p>
    <w:p>
      <w:pPr>
        <w:ind w:left="840" w:right="2160"/>
        <w:spacing w:after="0" w:line="360" w:lineRule="auto"/>
        <w:rPr>
          <w:sz w:val="20"/>
          <w:szCs w:val="20"/>
          <w:color w:val="auto"/>
        </w:rPr>
      </w:pPr>
      <w:r>
        <w:rPr>
          <w:rFonts w:ascii="Arial" w:cs="Arial" w:eastAsia="Arial" w:hAnsi="Arial"/>
          <w:sz w:val="18"/>
          <w:szCs w:val="18"/>
          <w:color w:val="auto"/>
        </w:rPr>
        <w:t>continue to operate as a public company and comply with legal, accounting and other regulatory requirements; seek to identify, assess, license, acquire, and/or develop other product candidates, technologies, and/or businesses; make milestone or other payments under any license or other agreements; seek to maintain, protect, and expand our intellectual property portfolio;</w:t>
      </w:r>
    </w:p>
    <w:p>
      <w:pPr>
        <w:ind w:left="840"/>
        <w:spacing w:after="0"/>
        <w:rPr>
          <w:sz w:val="20"/>
          <w:szCs w:val="20"/>
          <w:color w:val="auto"/>
        </w:rPr>
      </w:pPr>
      <w:r>
        <w:rPr>
          <w:rFonts w:ascii="Arial" w:cs="Arial" w:eastAsia="Arial" w:hAnsi="Arial"/>
          <w:sz w:val="18"/>
          <w:szCs w:val="18"/>
          <w:color w:val="auto"/>
        </w:rPr>
        <w:t>seek to attract and retain skilled personnel;</w:t>
      </w:r>
    </w:p>
    <w:p>
      <w:pPr>
        <w:spacing w:after="0" w:line="104" w:lineRule="exact"/>
        <w:rPr>
          <w:sz w:val="20"/>
          <w:szCs w:val="20"/>
          <w:color w:val="auto"/>
        </w:rPr>
      </w:pPr>
    </w:p>
    <w:p>
      <w:pPr>
        <w:ind w:left="840" w:right="380"/>
        <w:spacing w:after="0" w:line="293" w:lineRule="auto"/>
        <w:rPr>
          <w:sz w:val="20"/>
          <w:szCs w:val="20"/>
          <w:color w:val="auto"/>
        </w:rPr>
      </w:pPr>
      <w:r>
        <w:rPr>
          <w:rFonts w:ascii="Arial" w:cs="Arial" w:eastAsia="Arial" w:hAnsi="Arial"/>
          <w:sz w:val="18"/>
          <w:szCs w:val="18"/>
          <w:color w:val="auto"/>
        </w:rPr>
        <w:t>create additional infrastructure, including facilities and systems, to support the growth of our operations, our product development, and our commercialization efforts; and</w:t>
      </w:r>
    </w:p>
    <w:p>
      <w:pPr>
        <w:spacing w:after="0" w:line="35" w:lineRule="exact"/>
        <w:rPr>
          <w:sz w:val="20"/>
          <w:szCs w:val="20"/>
          <w:color w:val="auto"/>
        </w:rPr>
      </w:pPr>
    </w:p>
    <w:p>
      <w:pPr>
        <w:jc w:val="both"/>
        <w:ind w:left="840" w:right="360"/>
        <w:spacing w:after="0" w:line="279" w:lineRule="auto"/>
        <w:rPr>
          <w:sz w:val="20"/>
          <w:szCs w:val="20"/>
          <w:color w:val="auto"/>
        </w:rPr>
      </w:pPr>
      <w:r>
        <w:rPr>
          <w:rFonts w:ascii="Arial" w:cs="Arial" w:eastAsia="Arial" w:hAnsi="Arial"/>
          <w:sz w:val="18"/>
          <w:szCs w:val="18"/>
          <w:color w:val="auto"/>
        </w:rPr>
        <w:t>experience any delays or encounter issues with any of the above, including, but not limited to, failed studies, complex results, safety issues, inspection outcomes, or other regulatory challenges that require longer follow-up of existing studies, additional major studies, or additional supportive studies in order to pursue marketing approval.</w:t>
      </w:r>
    </w:p>
    <w:p>
      <w:pPr>
        <w:spacing w:after="0" w:line="48"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The net losses we incur may fluctuate significantly from quarter to quarter and year to year, such that a period-to-period comparison of our results of operations may not be a good indication of our future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experience in generating revenue from product sales.</w:t>
      </w:r>
    </w:p>
    <w:p>
      <w:pPr>
        <w:spacing w:after="0" w:line="104"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Our ability to generate significant revenue from product sales depends on our ability, alone or with strategic collaboration partners, to successfully commercialize our products and to complete the development of, and obtain the regulatory and marketing approvals necessary to commercialize, our product candidates. Our ability to generate substantial future revenue from product sales, including named patient sales, depends heavily on our success in many areas, including, but not limited to:</w:t>
      </w:r>
    </w:p>
    <w:p>
      <w:pPr>
        <w:spacing w:after="0" w:line="5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obtaining regulatory and marketing approvals with broad indications for product candidates for which we complete clinical studies;</w:t>
      </w:r>
    </w:p>
    <w:p>
      <w:pPr>
        <w:spacing w:after="0" w:line="104" w:lineRule="exact"/>
        <w:rPr>
          <w:sz w:val="20"/>
          <w:szCs w:val="20"/>
          <w:color w:val="auto"/>
        </w:rPr>
      </w:pPr>
    </w:p>
    <w:p>
      <w:pPr>
        <w:ind w:left="840" w:right="420"/>
        <w:spacing w:after="0" w:line="303" w:lineRule="auto"/>
        <w:rPr>
          <w:sz w:val="20"/>
          <w:szCs w:val="20"/>
          <w:color w:val="auto"/>
        </w:rPr>
      </w:pPr>
      <w:r>
        <w:rPr>
          <w:rFonts w:ascii="Arial" w:cs="Arial" w:eastAsia="Arial" w:hAnsi="Arial"/>
          <w:sz w:val="17"/>
          <w:szCs w:val="17"/>
          <w:color w:val="auto"/>
        </w:rPr>
        <w:t>developing a sustainable and scalable manufacturing process for our products and any approved product candidates and establishing and maintaining supply and manufacturing relationships with third parties that can conduct the processes and provide adequate (in amount and quality) product supply to support market demand for our products and product candidates, if approved;</w:t>
      </w:r>
    </w:p>
    <w:p>
      <w:pPr>
        <w:spacing w:after="0" w:line="29" w:lineRule="exact"/>
        <w:rPr>
          <w:sz w:val="20"/>
          <w:szCs w:val="20"/>
          <w:color w:val="auto"/>
        </w:rPr>
      </w:pPr>
    </w:p>
    <w:p>
      <w:pPr>
        <w:ind w:left="840" w:right="140"/>
        <w:spacing w:after="0" w:line="266" w:lineRule="auto"/>
        <w:rPr>
          <w:sz w:val="20"/>
          <w:szCs w:val="20"/>
          <w:color w:val="auto"/>
        </w:rPr>
      </w:pPr>
      <w:r>
        <w:rPr>
          <w:rFonts w:ascii="Arial" w:cs="Arial" w:eastAsia="Arial" w:hAnsi="Arial"/>
          <w:sz w:val="18"/>
          <w:szCs w:val="18"/>
          <w:color w:val="auto"/>
        </w:rPr>
        <w:t>launching and commercializing our products and product candidates for which we obtain regulatory and marketing approval, either directly or with a collaborator or distributor;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1" w:name="page42"/>
    <w:bookmarkEnd w:id="41"/>
    <w:p>
      <w:pPr>
        <w:ind w:left="840" w:right="3080"/>
        <w:spacing w:after="0" w:line="405" w:lineRule="auto"/>
        <w:rPr>
          <w:sz w:val="20"/>
          <w:szCs w:val="20"/>
          <w:color w:val="auto"/>
        </w:rPr>
      </w:pPr>
      <w:r>
        <w:rPr>
          <w:rFonts w:ascii="Arial" w:cs="Arial" w:eastAsia="Arial" w:hAnsi="Arial"/>
          <w:sz w:val="16"/>
          <w:szCs w:val="16"/>
          <w:color w:val="auto"/>
        </w:rPr>
        <w:t>obtaining market acceptance of our products and product candidates as viable treatment options; obtaining adequate market share, reimbursement and pricing for our products and product candidates;</w:t>
      </w:r>
    </w:p>
    <w:p>
      <w:pPr>
        <w:ind w:left="840" w:right="80"/>
        <w:spacing w:after="0" w:line="293" w:lineRule="auto"/>
        <w:rPr>
          <w:sz w:val="20"/>
          <w:szCs w:val="20"/>
          <w:color w:val="auto"/>
        </w:rPr>
      </w:pPr>
      <w:r>
        <w:rPr>
          <w:rFonts w:ascii="Arial" w:cs="Arial" w:eastAsia="Arial" w:hAnsi="Arial"/>
          <w:sz w:val="18"/>
          <w:szCs w:val="18"/>
          <w:color w:val="auto"/>
        </w:rPr>
        <w:t>our ability to sell our products and product candidates on a named patient basis or through an equivalent mechanism and the amount of revenue generated from such sales;</w:t>
      </w:r>
    </w:p>
    <w:p>
      <w:pPr>
        <w:spacing w:after="0" w:line="35" w:lineRule="exact"/>
        <w:rPr>
          <w:sz w:val="20"/>
          <w:szCs w:val="20"/>
          <w:color w:val="auto"/>
        </w:rPr>
      </w:pPr>
    </w:p>
    <w:p>
      <w:pPr>
        <w:ind w:left="840" w:right="4440"/>
        <w:spacing w:after="0" w:line="381" w:lineRule="auto"/>
        <w:rPr>
          <w:sz w:val="20"/>
          <w:szCs w:val="20"/>
          <w:color w:val="auto"/>
        </w:rPr>
      </w:pPr>
      <w:r>
        <w:rPr>
          <w:rFonts w:ascii="Arial" w:cs="Arial" w:eastAsia="Arial" w:hAnsi="Arial"/>
          <w:sz w:val="17"/>
          <w:szCs w:val="17"/>
          <w:color w:val="auto"/>
        </w:rPr>
        <w:t>our ability to find patients so they can be diagnosed and begin receiving treatment; addressing any competing technological and market developments;</w:t>
      </w:r>
    </w:p>
    <w:p>
      <w:pPr>
        <w:ind w:left="840" w:right="200"/>
        <w:spacing w:after="0" w:line="293" w:lineRule="auto"/>
        <w:rPr>
          <w:sz w:val="20"/>
          <w:szCs w:val="20"/>
          <w:color w:val="auto"/>
        </w:rPr>
      </w:pPr>
      <w:r>
        <w:rPr>
          <w:rFonts w:ascii="Arial" w:cs="Arial" w:eastAsia="Arial" w:hAnsi="Arial"/>
          <w:sz w:val="18"/>
          <w:szCs w:val="18"/>
          <w:color w:val="auto"/>
        </w:rPr>
        <w:t>negotiating favorable terms, including commercial rights, in any collaboration, licensing, or other arrangements into which we may enter, any amendments thereto or extensions thereof;</w:t>
      </w:r>
    </w:p>
    <w:p>
      <w:pPr>
        <w:spacing w:after="0" w:line="35" w:lineRule="exact"/>
        <w:rPr>
          <w:sz w:val="20"/>
          <w:szCs w:val="20"/>
          <w:color w:val="auto"/>
        </w:rPr>
      </w:pPr>
    </w:p>
    <w:p>
      <w:pPr>
        <w:ind w:left="840" w:right="640"/>
        <w:spacing w:after="0" w:line="360" w:lineRule="auto"/>
        <w:rPr>
          <w:sz w:val="20"/>
          <w:szCs w:val="20"/>
          <w:color w:val="auto"/>
        </w:rPr>
      </w:pPr>
      <w:r>
        <w:rPr>
          <w:rFonts w:ascii="Arial" w:cs="Arial" w:eastAsia="Arial" w:hAnsi="Arial"/>
          <w:sz w:val="18"/>
          <w:szCs w:val="18"/>
          <w:color w:val="auto"/>
        </w:rPr>
        <w:t>maintaining, protecting, and expanding our portfolio of intellectual property rights, including patents, trade secrets, and know-how; and attracting, hiring, and retaining qualified personnel.</w:t>
      </w:r>
    </w:p>
    <w:p>
      <w:pPr>
        <w:ind w:right="300" w:firstLine="509"/>
        <w:spacing w:after="0" w:line="279" w:lineRule="auto"/>
        <w:rPr>
          <w:sz w:val="20"/>
          <w:szCs w:val="20"/>
          <w:color w:val="auto"/>
        </w:rPr>
      </w:pPr>
      <w:r>
        <w:rPr>
          <w:rFonts w:ascii="Arial" w:cs="Arial" w:eastAsia="Arial" w:hAnsi="Arial"/>
          <w:sz w:val="18"/>
          <w:szCs w:val="18"/>
          <w:color w:val="auto"/>
        </w:rPr>
        <w:t>If the number of our addressable rare disease patients is not as significant as we estimate, the indication approved by regulatory authorities is narrower than we expect, or the reasonably accepted population for treatment is narrowed by competition, physician choice, or treatment guidelines, we may not generate significant revenue from sales of our products, even if they receive regulatory approval.</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we will need to raise additional capital to fund our activities. This additional financing may not be available on acceptable terms, if at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obtain this necessary capital when needed may force us to delay, limit, or terminate our product development efforts or other activities.</w:t>
      </w:r>
    </w:p>
    <w:p>
      <w:pPr>
        <w:spacing w:after="0" w:line="126" w:lineRule="exact"/>
        <w:rPr>
          <w:sz w:val="20"/>
          <w:szCs w:val="20"/>
          <w:color w:val="auto"/>
        </w:rPr>
      </w:pPr>
    </w:p>
    <w:p>
      <w:pPr>
        <w:ind w:right="260" w:firstLine="509"/>
        <w:spacing w:after="0" w:line="296" w:lineRule="auto"/>
        <w:rPr>
          <w:sz w:val="20"/>
          <w:szCs w:val="20"/>
          <w:color w:val="auto"/>
        </w:rPr>
      </w:pPr>
      <w:r>
        <w:rPr>
          <w:rFonts w:ascii="Arial" w:cs="Arial" w:eastAsia="Arial" w:hAnsi="Arial"/>
          <w:sz w:val="17"/>
          <w:szCs w:val="17"/>
          <w:color w:val="auto"/>
        </w:rPr>
        <w:t>As of September 30, 2021, our available cash, cash equivalents, and marketable debt securities were $941.4 million. We expect we will need additional capital to continue to commercialize our products, and to develop and obtain regulatory approval for, and to commercialize, all of our product candidates. In addition, our operating plans may change as a result of many factors that may currently be unknown to us, and we may need to seek additional funds sooner than planned. Our future funding requirements will depend on many factors, including but not limited to:</w:t>
      </w:r>
    </w:p>
    <w:p>
      <w:pPr>
        <w:spacing w:after="0" w:line="35" w:lineRule="exact"/>
        <w:rPr>
          <w:sz w:val="20"/>
          <w:szCs w:val="20"/>
          <w:color w:val="auto"/>
        </w:rPr>
      </w:pPr>
    </w:p>
    <w:p>
      <w:pPr>
        <w:ind w:left="840" w:right="2220"/>
        <w:spacing w:after="0" w:line="381" w:lineRule="auto"/>
        <w:rPr>
          <w:sz w:val="20"/>
          <w:szCs w:val="20"/>
          <w:color w:val="auto"/>
        </w:rPr>
      </w:pPr>
      <w:r>
        <w:rPr>
          <w:rFonts w:ascii="Arial" w:cs="Arial" w:eastAsia="Arial" w:hAnsi="Arial"/>
          <w:sz w:val="17"/>
          <w:szCs w:val="17"/>
          <w:color w:val="auto"/>
        </w:rPr>
        <w:t>the scope, rate of progress, results, and cost of our clinical studies, nonclinical testing, and other related activities; the cost of manufacturing clinical and commercial supplies of our products and product candidates;</w:t>
      </w:r>
    </w:p>
    <w:p>
      <w:pPr>
        <w:ind w:left="840" w:right="1040"/>
        <w:spacing w:after="0" w:line="360" w:lineRule="auto"/>
        <w:rPr>
          <w:sz w:val="20"/>
          <w:szCs w:val="20"/>
          <w:color w:val="auto"/>
        </w:rPr>
      </w:pPr>
      <w:r>
        <w:rPr>
          <w:rFonts w:ascii="Arial" w:cs="Arial" w:eastAsia="Arial" w:hAnsi="Arial"/>
          <w:sz w:val="18"/>
          <w:szCs w:val="18"/>
          <w:color w:val="auto"/>
        </w:rPr>
        <w:t>the cost of creating additional infrastructure, including facilities and systems, such as our GMP gene therapy manufacturing plant; the number and characteristics of the product candidates that we pursue; the cost, timing, and outcomes of regulatory approvals;</w:t>
      </w:r>
    </w:p>
    <w:p>
      <w:pPr>
        <w:ind w:left="840"/>
        <w:spacing w:after="0"/>
        <w:rPr>
          <w:sz w:val="20"/>
          <w:szCs w:val="20"/>
          <w:color w:val="auto"/>
        </w:rPr>
      </w:pPr>
      <w:r>
        <w:rPr>
          <w:rFonts w:ascii="Arial" w:cs="Arial" w:eastAsia="Arial" w:hAnsi="Arial"/>
          <w:sz w:val="18"/>
          <w:szCs w:val="18"/>
          <w:color w:val="auto"/>
        </w:rPr>
        <w:t>the cost and timing of establishing and operating our international subsidiaries;</w:t>
      </w:r>
    </w:p>
    <w:p>
      <w:pPr>
        <w:spacing w:after="0" w:line="104" w:lineRule="exact"/>
        <w:rPr>
          <w:sz w:val="20"/>
          <w:szCs w:val="20"/>
          <w:color w:val="auto"/>
        </w:rPr>
      </w:pPr>
    </w:p>
    <w:p>
      <w:pPr>
        <w:ind w:left="840" w:right="3080"/>
        <w:spacing w:after="0" w:line="381" w:lineRule="auto"/>
        <w:rPr>
          <w:sz w:val="20"/>
          <w:szCs w:val="20"/>
          <w:color w:val="auto"/>
        </w:rPr>
      </w:pPr>
      <w:r>
        <w:rPr>
          <w:rFonts w:ascii="Arial" w:cs="Arial" w:eastAsia="Arial" w:hAnsi="Arial"/>
          <w:sz w:val="17"/>
          <w:szCs w:val="17"/>
          <w:color w:val="auto"/>
        </w:rPr>
        <w:t>the cost and timing of establishing and operating field forces, marketing, and distribution capabilities; the cost and timing of other activities needed to commercialize our products; and</w:t>
      </w:r>
    </w:p>
    <w:p>
      <w:pPr>
        <w:ind w:left="840"/>
        <w:spacing w:after="0" w:line="279" w:lineRule="auto"/>
        <w:rPr>
          <w:sz w:val="20"/>
          <w:szCs w:val="20"/>
          <w:color w:val="auto"/>
        </w:rPr>
      </w:pPr>
      <w:r>
        <w:rPr>
          <w:rFonts w:ascii="Arial" w:cs="Arial" w:eastAsia="Arial" w:hAnsi="Arial"/>
          <w:sz w:val="18"/>
          <w:szCs w:val="18"/>
          <w:color w:val="auto"/>
        </w:rPr>
        <w:t>the terms and timing of any collaborative, licensing, acquisition (including whether we exercise our option to acquire GeneTx pursuant to the terms of our Unitholder Option Agreement with them), and other arrangements that we may establish, including any required milestone, royalty, and reimbursements or other payments thereunder.</w:t>
      </w:r>
    </w:p>
    <w:p>
      <w:pPr>
        <w:spacing w:after="0" w:line="48" w:lineRule="exact"/>
        <w:rPr>
          <w:sz w:val="20"/>
          <w:szCs w:val="20"/>
          <w:color w:val="auto"/>
        </w:rPr>
      </w:pPr>
    </w:p>
    <w:p>
      <w:pPr>
        <w:ind w:right="20" w:firstLine="509"/>
        <w:spacing w:after="0" w:line="281" w:lineRule="auto"/>
        <w:rPr>
          <w:sz w:val="20"/>
          <w:szCs w:val="20"/>
          <w:color w:val="auto"/>
        </w:rPr>
      </w:pPr>
      <w:r>
        <w:rPr>
          <w:rFonts w:ascii="Arial" w:cs="Arial" w:eastAsia="Arial" w:hAnsi="Arial"/>
          <w:sz w:val="17"/>
          <w:szCs w:val="17"/>
          <w:color w:val="auto"/>
        </w:rPr>
        <w:t>Any additional fundraising efforts may divert our management’s attention from their day-to-day activities, which may adversely affect our ability to develop our product candidates and commercialize our products. In addition, we cannot guarantee that future financing will be available in sufficient amounts or on terms acceptable to us, if at all.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If we incur debt, it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have in the past sought and may in the future seek funds through a sale of future royalty payments similar to our transaction with Royalty Pharma or through collaborative partnerships, strategic alliances, and licensing or other arrangements, such as our transaction with Daiichi Sankyo, and we may be required to relinquish rights to some of our technologies or product candidates, future revenue streams, research programs, and other product candidates or otherwise agree to terms unfavorable to us, any of which may have a material adverse effect on our business, operating results, and prospects. Even if we believe we have sufficient funds for our current or future operating plans, we may seek additional capital if market conditions are favorable or if we have specific strategic considerations.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60" w:firstLine="509"/>
        <w:spacing w:after="0" w:line="329" w:lineRule="auto"/>
        <w:rPr>
          <w:sz w:val="20"/>
          <w:szCs w:val="20"/>
          <w:color w:val="auto"/>
        </w:rPr>
      </w:pPr>
      <w:r>
        <w:rPr>
          <w:rFonts w:ascii="Arial" w:cs="Arial" w:eastAsia="Arial" w:hAnsi="Arial"/>
          <w:sz w:val="16"/>
          <w:szCs w:val="16"/>
          <w:color w:val="auto"/>
        </w:rPr>
        <w:t>If we are unable to obtain funding on a timely basis or at all, we may be required to significantly curtail, delay, or discontinue one or more of our research or development programs or the commercialization of our products and any approved product candidates or be unable to expand our operations or otherwise capitalize on our business opportunities, as desired, which could materially affect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08"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outcomes and the potential for substantial delays, and the results of earlier studies may not be predictive of future study results.</w:t>
      </w:r>
    </w:p>
    <w:p>
      <w:pPr>
        <w:spacing w:after="0" w:line="35"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 consuming, and uncertain as to outcome. We cannot guarantee that any clinical studies will be conducted as planned or completed on schedule, if at all. A failure of one or more clinical studies can occur at any stage of testing, and our future clinical studies may not be successful. Product candidates that have shown promising results in early-stage clinical studies may still suffer significant setbacks or fail in subsequent clinical studies. The safety or efficacy results generated to date in clinical studies do not ensure that later clinical studies will demonstrate similar results. For example, our Phase 3 studies that evaluated Ace-ER in patients with GNE myopathy and UX007 in patients with Glut1 DS experiencing disabling paroxysmal movement disorders did not achieve their primary or secondary endpoints. Results from investigator-sponsored studies or compassionate-use studies may not be confirmed in company-sponsored studies or may negatively impact the prospects for our programs. Additionally, given the nature of the rare diseases we are seeking to treat, we often have to devise newly-defined endpoints to be tested in our studies, which can lead to some subjectivity in interpreting study results and could result in regulatory agencies not agreeing with the validity of our endpoints, or our interpretation of the clinical data, and therefore delaying or denying approval. Given the illness of the patients in our studies and the nature of their rare diseases, we may also be required or choose to conduct certain studies on an open-label basis. We have in the past, and may in the future elect to review interim clinical data at multiple time points during the studies, which could introduce bias into the study results and potentially result in denial of approval.</w:t>
      </w:r>
    </w:p>
    <w:p>
      <w:pPr>
        <w:spacing w:after="0" w:line="44"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In the biopharmaceutical industry, there is a high failure rate for drugs and biologics proceeding through clinical studies, and product candidates in later stages of clinical studies may fail to show the desired safety and efficacy despite having progressed through nonclinical studies and initial clinical studies. A number of companies in the biopharmaceutical industry have suffered significant setbacks in advanced clinical studies due to lack of efficacy or adverse safety profiles, notwithstanding promising results in earlier studies.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Scenarios that may prevent successful or timely completion of clinical development include but are not limited to:</w:t>
      </w:r>
    </w:p>
    <w:p>
      <w:pPr>
        <w:spacing w:after="0" w:line="104" w:lineRule="exact"/>
        <w:rPr>
          <w:sz w:val="20"/>
          <w:szCs w:val="20"/>
          <w:color w:val="auto"/>
        </w:rPr>
      </w:pPr>
    </w:p>
    <w:p>
      <w:pPr>
        <w:ind w:left="840" w:right="420"/>
        <w:spacing w:after="0" w:line="293" w:lineRule="auto"/>
        <w:rPr>
          <w:sz w:val="20"/>
          <w:szCs w:val="20"/>
          <w:color w:val="auto"/>
        </w:rPr>
      </w:pPr>
      <w:r>
        <w:rPr>
          <w:rFonts w:ascii="Arial" w:cs="Arial" w:eastAsia="Arial" w:hAnsi="Arial"/>
          <w:sz w:val="18"/>
          <w:szCs w:val="18"/>
          <w:color w:val="auto"/>
        </w:rPr>
        <w:t xml:space="preserve">delays or failures in generating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or continuation of human clinical studies or filings for regulatory approval;</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failure to demonstrate a starting dose for our product candidates in the clinic that might be reasonably expected to result in a clinical benefit;</w:t>
      </w:r>
    </w:p>
    <w:p>
      <w:pPr>
        <w:spacing w:after="0" w:line="127" w:lineRule="exact"/>
        <w:rPr>
          <w:sz w:val="20"/>
          <w:szCs w:val="20"/>
          <w:color w:val="auto"/>
        </w:rPr>
      </w:pPr>
    </w:p>
    <w:p>
      <w:pPr>
        <w:ind w:left="840" w:right="320"/>
        <w:spacing w:after="0" w:line="293" w:lineRule="auto"/>
        <w:rPr>
          <w:sz w:val="20"/>
          <w:szCs w:val="20"/>
          <w:color w:val="auto"/>
        </w:rPr>
      </w:pPr>
      <w:r>
        <w:rPr>
          <w:rFonts w:ascii="Arial" w:cs="Arial" w:eastAsia="Arial" w:hAnsi="Arial"/>
          <w:sz w:val="18"/>
          <w:szCs w:val="18"/>
          <w:color w:val="auto"/>
        </w:rPr>
        <w:t>delays or failures in developing gene therapy, messenger RNA (mRNA), DNA, small interfering RNA (siRNA) or other novel and complex product candidates, which are expensive and difficult to develop and manufacture;</w:t>
      </w:r>
    </w:p>
    <w:p>
      <w:pPr>
        <w:spacing w:after="0" w:line="35" w:lineRule="exact"/>
        <w:rPr>
          <w:sz w:val="20"/>
          <w:szCs w:val="20"/>
          <w:color w:val="auto"/>
        </w:rPr>
      </w:pPr>
    </w:p>
    <w:p>
      <w:pPr>
        <w:ind w:left="840" w:right="260"/>
        <w:spacing w:after="0" w:line="360" w:lineRule="auto"/>
        <w:rPr>
          <w:sz w:val="20"/>
          <w:szCs w:val="20"/>
          <w:color w:val="auto"/>
        </w:rPr>
      </w:pPr>
      <w:r>
        <w:rPr>
          <w:rFonts w:ascii="Arial" w:cs="Arial" w:eastAsia="Arial" w:hAnsi="Arial"/>
          <w:sz w:val="18"/>
          <w:szCs w:val="18"/>
          <w:color w:val="auto"/>
        </w:rPr>
        <w:t>delays resulting from a shutdown, or uncertainty surrounding the potential for future shutdowns of the U.S. government, including the FDA; delays or failures in reaching a consensus with regulatory agencies on study design;</w:t>
      </w:r>
    </w:p>
    <w:p>
      <w:pPr>
        <w:ind w:left="840" w:right="280"/>
        <w:spacing w:after="0" w:line="293" w:lineRule="auto"/>
        <w:rPr>
          <w:sz w:val="20"/>
          <w:szCs w:val="20"/>
          <w:color w:val="auto"/>
        </w:rPr>
      </w:pPr>
      <w:r>
        <w:rPr>
          <w:rFonts w:ascii="Arial" w:cs="Arial" w:eastAsia="Arial" w:hAnsi="Arial"/>
          <w:sz w:val="18"/>
          <w:szCs w:val="18"/>
          <w:color w:val="auto"/>
        </w:rPr>
        <w:t>delays in reaching agreement on acceptable terms with contract research organizations, or CROs, clinical study sites, and other clinical trial-related vendors;</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failure or delays in obtaining required regulatory agency approval and/or IRB or EC approval at each clinical study site or in certain countries;</w:t>
      </w:r>
    </w:p>
    <w:p>
      <w:pPr>
        <w:spacing w:after="0" w:line="127" w:lineRule="exact"/>
        <w:rPr>
          <w:sz w:val="20"/>
          <w:szCs w:val="20"/>
          <w:color w:val="auto"/>
        </w:rPr>
      </w:pPr>
    </w:p>
    <w:p>
      <w:pPr>
        <w:ind w:left="840" w:right="380"/>
        <w:spacing w:after="0" w:line="293" w:lineRule="auto"/>
        <w:rPr>
          <w:sz w:val="20"/>
          <w:szCs w:val="20"/>
          <w:color w:val="auto"/>
        </w:rPr>
      </w:pPr>
      <w:r>
        <w:rPr>
          <w:rFonts w:ascii="Arial" w:cs="Arial" w:eastAsia="Arial" w:hAnsi="Arial"/>
          <w:sz w:val="18"/>
          <w:szCs w:val="18"/>
          <w:color w:val="auto"/>
        </w:rPr>
        <w:t>failure to correctly design clinical studies which may result in those studies failing to meet their endpoints or the expectations of regulatory agencies;</w:t>
      </w:r>
    </w:p>
    <w:p>
      <w:pPr>
        <w:spacing w:after="0" w:line="35" w:lineRule="exact"/>
        <w:rPr>
          <w:sz w:val="20"/>
          <w:szCs w:val="20"/>
          <w:color w:val="auto"/>
        </w:rPr>
      </w:pPr>
    </w:p>
    <w:p>
      <w:pPr>
        <w:ind w:left="840" w:right="120"/>
        <w:spacing w:after="0" w:line="293" w:lineRule="auto"/>
        <w:rPr>
          <w:sz w:val="20"/>
          <w:szCs w:val="20"/>
          <w:color w:val="auto"/>
        </w:rPr>
      </w:pPr>
      <w:r>
        <w:rPr>
          <w:rFonts w:ascii="Arial" w:cs="Arial" w:eastAsia="Arial" w:hAnsi="Arial"/>
          <w:sz w:val="18"/>
          <w:szCs w:val="18"/>
          <w:color w:val="auto"/>
        </w:rPr>
        <w:t>changes in clinical study design or development strategy resulting in delays related to obtaining approvals from IRBs or ECs and/or regulatory agencies to proceed with clinical studies;</w:t>
      </w:r>
    </w:p>
    <w:p>
      <w:pPr>
        <w:spacing w:after="0" w:line="35" w:lineRule="exact"/>
        <w:rPr>
          <w:sz w:val="20"/>
          <w:szCs w:val="20"/>
          <w:color w:val="auto"/>
        </w:rPr>
      </w:pPr>
    </w:p>
    <w:p>
      <w:pPr>
        <w:ind w:left="840" w:right="600"/>
        <w:spacing w:after="0" w:line="293" w:lineRule="auto"/>
        <w:rPr>
          <w:sz w:val="20"/>
          <w:szCs w:val="20"/>
          <w:color w:val="auto"/>
        </w:rPr>
      </w:pPr>
      <w:r>
        <w:rPr>
          <w:rFonts w:ascii="Arial" w:cs="Arial" w:eastAsia="Arial" w:hAnsi="Arial"/>
          <w:sz w:val="18"/>
          <w:szCs w:val="18"/>
          <w:color w:val="auto"/>
        </w:rPr>
        <w:t>imposition of a clinical hold by regulatory agencies after review of an IND application or amendment, another equivalent application or amendment, or an inspection of our clinical study operations or study sites;</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delays in recruiting suitable patients to participate in our clinical studies;</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difficulty collaborating with patient groups and investigators;</w:t>
      </w:r>
    </w:p>
    <w:p>
      <w:pPr>
        <w:spacing w:after="0" w:line="104" w:lineRule="exact"/>
        <w:rPr>
          <w:sz w:val="20"/>
          <w:szCs w:val="20"/>
          <w:color w:val="auto"/>
        </w:rPr>
      </w:pPr>
    </w:p>
    <w:p>
      <w:pPr>
        <w:ind w:left="5540" w:right="4160" w:hanging="4692"/>
        <w:spacing w:after="0" w:line="293" w:lineRule="auto"/>
        <w:rPr>
          <w:sz w:val="20"/>
          <w:szCs w:val="20"/>
          <w:color w:val="auto"/>
        </w:rPr>
      </w:pPr>
      <w:r>
        <w:rPr>
          <w:rFonts w:ascii="Arial" w:cs="Arial" w:eastAsia="Arial" w:hAnsi="Arial"/>
          <w:sz w:val="18"/>
          <w:szCs w:val="18"/>
          <w:color w:val="auto"/>
        </w:rPr>
        <w:t>failure by our CROs, other third parties, or us to adhere to clinical study requirements;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3" w:name="page44"/>
    <w:bookmarkEnd w:id="43"/>
    <w:p>
      <w:pPr>
        <w:ind w:left="840" w:right="140"/>
        <w:spacing w:after="0" w:line="293" w:lineRule="auto"/>
        <w:rPr>
          <w:sz w:val="20"/>
          <w:szCs w:val="20"/>
          <w:color w:val="auto"/>
        </w:rPr>
      </w:pPr>
      <w:r>
        <w:rPr>
          <w:rFonts w:ascii="Arial" w:cs="Arial" w:eastAsia="Arial" w:hAnsi="Arial"/>
          <w:sz w:val="18"/>
          <w:szCs w:val="18"/>
          <w:color w:val="auto"/>
        </w:rPr>
        <w:t>failure to perform in accordance with the FDA’s and/or ICH’s good clinical practices requirements or applicable regulatory guidelines in other countries;</w:t>
      </w:r>
    </w:p>
    <w:p>
      <w:pPr>
        <w:spacing w:after="0" w:line="35" w:lineRule="exact"/>
        <w:rPr>
          <w:sz w:val="20"/>
          <w:szCs w:val="20"/>
          <w:color w:val="auto"/>
        </w:rPr>
      </w:pPr>
    </w:p>
    <w:p>
      <w:pPr>
        <w:ind w:left="840" w:right="4200"/>
        <w:spacing w:after="0" w:line="360" w:lineRule="auto"/>
        <w:rPr>
          <w:sz w:val="20"/>
          <w:szCs w:val="20"/>
          <w:color w:val="auto"/>
        </w:rPr>
      </w:pPr>
      <w:r>
        <w:rPr>
          <w:rFonts w:ascii="Arial" w:cs="Arial" w:eastAsia="Arial" w:hAnsi="Arial"/>
          <w:sz w:val="18"/>
          <w:szCs w:val="18"/>
          <w:color w:val="auto"/>
        </w:rPr>
        <w:t>delays in patients’ completion of studies or their returns for post-treatment follow-up; patients dropping out of a study;</w:t>
      </w:r>
    </w:p>
    <w:p>
      <w:pPr>
        <w:ind w:left="840" w:right="2220"/>
        <w:spacing w:after="0" w:line="405" w:lineRule="auto"/>
        <w:rPr>
          <w:sz w:val="20"/>
          <w:szCs w:val="20"/>
          <w:color w:val="auto"/>
        </w:rPr>
      </w:pPr>
      <w:r>
        <w:rPr>
          <w:rFonts w:ascii="Arial" w:cs="Arial" w:eastAsia="Arial" w:hAnsi="Arial"/>
          <w:sz w:val="16"/>
          <w:szCs w:val="16"/>
          <w:color w:val="auto"/>
        </w:rPr>
        <w:t>adverse events associated with the product candidate occurring that are viewed to outweigh its potential benefits; changes in regulatory requirements and guidance that require amending or submitting new clinical protocols;</w:t>
      </w:r>
    </w:p>
    <w:p>
      <w:pPr>
        <w:ind w:left="840"/>
        <w:spacing w:after="0"/>
        <w:rPr>
          <w:sz w:val="20"/>
          <w:szCs w:val="20"/>
          <w:color w:val="auto"/>
        </w:rPr>
      </w:pPr>
      <w:r>
        <w:rPr>
          <w:rFonts w:ascii="Arial" w:cs="Arial" w:eastAsia="Arial" w:hAnsi="Arial"/>
          <w:sz w:val="18"/>
          <w:szCs w:val="18"/>
          <w:color w:val="auto"/>
        </w:rPr>
        <w:t>greater than anticipated costs associated with clinical studies of our drug candidates, including as a result of hyperinflation;</w:t>
      </w:r>
    </w:p>
    <w:p>
      <w:pPr>
        <w:spacing w:after="0" w:line="104" w:lineRule="exact"/>
        <w:rPr>
          <w:sz w:val="20"/>
          <w:szCs w:val="20"/>
          <w:color w:val="auto"/>
        </w:rPr>
      </w:pPr>
    </w:p>
    <w:p>
      <w:pPr>
        <w:ind w:left="840"/>
        <w:spacing w:after="0" w:line="293" w:lineRule="auto"/>
        <w:rPr>
          <w:sz w:val="20"/>
          <w:szCs w:val="20"/>
          <w:color w:val="auto"/>
        </w:rPr>
      </w:pPr>
      <w:r>
        <w:rPr>
          <w:rFonts w:ascii="Arial" w:cs="Arial" w:eastAsia="Arial" w:hAnsi="Arial"/>
          <w:sz w:val="18"/>
          <w:szCs w:val="18"/>
          <w:color w:val="auto"/>
        </w:rPr>
        <w:t>clinical studies of our drug candidates producing negative or inconclusive results, which may result in us deciding, or regulators requiring us, to conduct additional clinical or nonclinical studies or to abandon drug development programs;</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competing clinical studies of potential alternative product candidates or investigator-sponsored studies of our product candidates; and</w:t>
      </w:r>
    </w:p>
    <w:p>
      <w:pPr>
        <w:spacing w:after="0" w:line="115" w:lineRule="exact"/>
        <w:rPr>
          <w:sz w:val="20"/>
          <w:szCs w:val="20"/>
          <w:color w:val="auto"/>
        </w:rPr>
      </w:pPr>
    </w:p>
    <w:p>
      <w:pPr>
        <w:ind w:left="840" w:right="240"/>
        <w:spacing w:after="0" w:line="293" w:lineRule="auto"/>
        <w:rPr>
          <w:sz w:val="20"/>
          <w:szCs w:val="20"/>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studies or the inability to do any of the foregoing.</w:t>
      </w:r>
    </w:p>
    <w:p>
      <w:pPr>
        <w:spacing w:after="0" w:line="35" w:lineRule="exact"/>
        <w:rPr>
          <w:sz w:val="20"/>
          <w:szCs w:val="20"/>
          <w:color w:val="auto"/>
        </w:rPr>
      </w:pPr>
    </w:p>
    <w:p>
      <w:pPr>
        <w:ind w:right="80" w:firstLine="509"/>
        <w:spacing w:after="0" w:line="314" w:lineRule="auto"/>
        <w:rPr>
          <w:sz w:val="20"/>
          <w:szCs w:val="20"/>
          <w:color w:val="auto"/>
        </w:rPr>
      </w:pPr>
      <w:r>
        <w:rPr>
          <w:rFonts w:ascii="Arial" w:cs="Arial" w:eastAsia="Arial" w:hAnsi="Arial"/>
          <w:sz w:val="16"/>
          <w:szCs w:val="16"/>
          <w:color w:val="auto"/>
        </w:rPr>
        <w:t>Any inability to successfully complete nonclinical and clinical development could result in additional costs to us or negatively impact our ability to generate revenue. In addition, if we make manufacturing or formulation changes to our product candidates, we may need to conduct additional toxicology, comparability or other studies to bridge our modified product candidates to earlier versions. Clinical study delays could also shorten any periods during which our products have commercial exclusivity and may allow our competitors to bring products to market before we do, which could negatively impact our ability to obtain orphan exclusivity and to successfully commercialize our product candidates and may harm our business and results of operations.</w:t>
      </w:r>
    </w:p>
    <w:p>
      <w:pPr>
        <w:spacing w:after="0" w:line="187" w:lineRule="exact"/>
        <w:rPr>
          <w:sz w:val="20"/>
          <w:szCs w:val="20"/>
          <w:color w:val="auto"/>
        </w:rPr>
      </w:pPr>
    </w:p>
    <w:p>
      <w:pPr>
        <w:ind w:right="520"/>
        <w:spacing w:after="0" w:line="352" w:lineRule="auto"/>
        <w:rPr>
          <w:sz w:val="20"/>
          <w:szCs w:val="20"/>
          <w:color w:val="auto"/>
        </w:rPr>
      </w:pPr>
      <w:r>
        <w:rPr>
          <w:rFonts w:ascii="Arial" w:cs="Arial" w:eastAsia="Arial" w:hAnsi="Arial"/>
          <w:sz w:val="16"/>
          <w:szCs w:val="16"/>
          <w:b w:val="1"/>
          <w:bCs w:val="1"/>
          <w:i w:val="1"/>
          <w:iCs w:val="1"/>
          <w:color w:val="auto"/>
        </w:rPr>
        <w:t>If we do not achieve our projected development goals in the time frames we announce and expect, the commercialization of our products may be delayed and the credibility of our management may be adversely affected and, as a result, our stock price may decline.</w:t>
      </w:r>
    </w:p>
    <w:p>
      <w:pPr>
        <w:ind w:right="40" w:firstLine="509"/>
        <w:spacing w:after="0" w:line="311" w:lineRule="auto"/>
        <w:rPr>
          <w:sz w:val="20"/>
          <w:szCs w:val="20"/>
          <w:color w:val="auto"/>
        </w:rPr>
      </w:pPr>
      <w:r>
        <w:rPr>
          <w:rFonts w:ascii="Arial" w:cs="Arial" w:eastAsia="Arial" w:hAnsi="Arial"/>
          <w:sz w:val="16"/>
          <w:szCs w:val="16"/>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the timing of patient dosing, the submission or acceptance of regulatory filings, and the potential approval of such regulatory filings. We periodically make public announcements about the expected timing of some of these milestones. All of these milestones are based on a variety of assumptions, but the actual timing of these milestones can vary dramatically from our estimates. If we do not meet these publicly announced milestones, the commercialization of our products may be delayed and the credibility of our management may be adversely affected and, as a result, our stock price may decline.</w:t>
      </w:r>
    </w:p>
    <w:p>
      <w:pPr>
        <w:spacing w:after="0" w:line="190" w:lineRule="exact"/>
        <w:rPr>
          <w:sz w:val="20"/>
          <w:szCs w:val="20"/>
          <w:color w:val="auto"/>
        </w:rPr>
      </w:pPr>
    </w:p>
    <w:p>
      <w:pPr>
        <w:ind w:right="160"/>
        <w:spacing w:after="0" w:line="352" w:lineRule="auto"/>
        <w:rPr>
          <w:sz w:val="20"/>
          <w:szCs w:val="20"/>
          <w:color w:val="auto"/>
        </w:rPr>
      </w:pPr>
      <w:r>
        <w:rPr>
          <w:rFonts w:ascii="Arial" w:cs="Arial" w:eastAsia="Arial" w:hAnsi="Arial"/>
          <w:sz w:val="16"/>
          <w:szCs w:val="16"/>
          <w:b w:val="1"/>
          <w:bCs w:val="1"/>
          <w:i w:val="1"/>
          <w:iCs w:val="1"/>
          <w:color w:val="auto"/>
        </w:rPr>
        <w:t>We may find it difficult to identify and enroll patients in our clinical studies given the limited number of patients who have the diseases for which our product candidates are being studied. Difficulty in enrolling patients could delay or prevent clinical studies of our product candidates.</w:t>
      </w:r>
    </w:p>
    <w:p>
      <w:pPr>
        <w:ind w:right="140" w:firstLine="509"/>
        <w:spacing w:after="0" w:line="279" w:lineRule="auto"/>
        <w:rPr>
          <w:sz w:val="20"/>
          <w:szCs w:val="20"/>
          <w:color w:val="auto"/>
        </w:rPr>
      </w:pPr>
      <w:r>
        <w:rPr>
          <w:rFonts w:ascii="Arial" w:cs="Arial" w:eastAsia="Arial" w:hAnsi="Arial"/>
          <w:sz w:val="18"/>
          <w:szCs w:val="18"/>
          <w:color w:val="auto"/>
        </w:rPr>
        <w:t>Identifying and qualifying patients to participate in clinical studies of our product candidates is critical to our success. The timing of our clinical studies depends in part on the speed at which we can recruit patients to participate in testing our product candidates, and we may experience delays in our clinical studies if we encounter difficulties in enrollment.</w:t>
      </w:r>
    </w:p>
    <w:p>
      <w:pPr>
        <w:spacing w:after="0" w:line="48" w:lineRule="exact"/>
        <w:rPr>
          <w:sz w:val="20"/>
          <w:szCs w:val="20"/>
          <w:color w:val="auto"/>
        </w:rPr>
      </w:pPr>
    </w:p>
    <w:p>
      <w:pPr>
        <w:ind w:right="120" w:firstLine="509"/>
        <w:spacing w:after="0" w:line="293" w:lineRule="auto"/>
        <w:rPr>
          <w:sz w:val="20"/>
          <w:szCs w:val="20"/>
          <w:color w:val="auto"/>
        </w:rPr>
      </w:pPr>
      <w:r>
        <w:rPr>
          <w:rFonts w:ascii="Arial" w:cs="Arial" w:eastAsia="Arial" w:hAnsi="Arial"/>
          <w:sz w:val="18"/>
          <w:szCs w:val="18"/>
          <w:color w:val="auto"/>
        </w:rPr>
        <w:t>Each of the conditions for which we plan to evaluate our current product candidates is a rare genetic disease. Accordingly, there are limited patient pools from which to draw for clinical studies. For example,</w:t>
      </w:r>
    </w:p>
    <w:p>
      <w:pPr>
        <w:spacing w:after="0" w:line="35" w:lineRule="exact"/>
        <w:rPr>
          <w:sz w:val="20"/>
          <w:szCs w:val="20"/>
          <w:color w:val="auto"/>
        </w:rPr>
      </w:pPr>
    </w:p>
    <w:p>
      <w:pPr>
        <w:ind w:left="840" w:right="200"/>
        <w:spacing w:after="0" w:line="293" w:lineRule="auto"/>
        <w:rPr>
          <w:sz w:val="20"/>
          <w:szCs w:val="20"/>
          <w:color w:val="auto"/>
        </w:rPr>
      </w:pPr>
      <w:r>
        <w:rPr>
          <w:rFonts w:ascii="Arial" w:cs="Arial" w:eastAsia="Arial" w:hAnsi="Arial"/>
          <w:sz w:val="18"/>
          <w:szCs w:val="18"/>
          <w:color w:val="auto"/>
        </w:rPr>
        <w:t>we estimate that approximately 10,000 patients in the developed world suffer from OTC deficiency, of which 80% are classified as late-onset for which DTX301 is being studied, and these all may not be treatable if they are immune to the AAV viral vector;</w:t>
      </w:r>
    </w:p>
    <w:p>
      <w:pPr>
        <w:spacing w:after="0" w:line="35" w:lineRule="exact"/>
        <w:rPr>
          <w:sz w:val="20"/>
          <w:szCs w:val="20"/>
          <w:color w:val="auto"/>
        </w:rPr>
      </w:pPr>
    </w:p>
    <w:p>
      <w:pPr>
        <w:ind w:left="840" w:right="360"/>
        <w:spacing w:after="0" w:line="293" w:lineRule="auto"/>
        <w:rPr>
          <w:sz w:val="20"/>
          <w:szCs w:val="20"/>
          <w:color w:val="auto"/>
        </w:rPr>
      </w:pPr>
      <w:r>
        <w:rPr>
          <w:rFonts w:ascii="Arial" w:cs="Arial" w:eastAsia="Arial" w:hAnsi="Arial"/>
          <w:sz w:val="18"/>
          <w:szCs w:val="18"/>
          <w:color w:val="auto"/>
        </w:rPr>
        <w:t>we estimate that approximately 6,000 patients worldwide suffer from GSDIa, for which DTX401 is being studied, and these all may not be treatable if they are immune to the AAV viral vector; and</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estimate that approximately 10,000 patients worldwide suffer from GSDIII, for which UX053 is being studied.</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4" w:name="page45"/>
    <w:bookmarkEnd w:id="44"/>
    <w:p>
      <w:pPr>
        <w:ind w:firstLine="509"/>
        <w:spacing w:after="0" w:line="285" w:lineRule="auto"/>
        <w:rPr>
          <w:sz w:val="20"/>
          <w:szCs w:val="20"/>
          <w:color w:val="auto"/>
        </w:rPr>
      </w:pPr>
      <w:r>
        <w:rPr>
          <w:rFonts w:ascii="Arial" w:cs="Arial" w:eastAsia="Arial" w:hAnsi="Arial"/>
          <w:sz w:val="17"/>
          <w:szCs w:val="17"/>
          <w:color w:val="auto"/>
        </w:rPr>
        <w:t>In addition to the rarity of these diseases, the eligibility criteria of our clinical studies will further limit the pool of available study participants as we will require patients to have specific characteristics that we can measure or to assure their disease is either severe enough or not too advanced to include them in a study. The process of finding and diagnosing patients is costly, especially since the rare diseases we are studying are commonly underdiagnosed. We also may not be able to identify, recruit, and enroll a sufficient number of appropriate patients to complete our clinical studies because of demographic criteria for prospective patients, the perceived risks and benefits of the product candidate under study, the proximity and availability of clinical study sites for prospective patients, and the patient referral practices of physicians. The availability and efficacy of competing therapies and clinical studies can also adversely impact enrollment. If patients are unwilling to participate in our studies for any reason, the timeline for recruiting patients, conducting studies, and obtaining regulatory approval of potential products may be delayed, the commercial prospects of our product candidates will be harmed, and our ability to generate product revenue from any of these product candidates could be delayed or prevented. Furthermore, many of the factors that cause, or lead to, a delay in the commencement or completion of clinical studies may also ultimately lead to the denial of regulatory approval of our product candidates. Delays in completing our clinical studies will increase our costs, slow down our product candidate development and approval process, and jeopardize our ability to commence product sales and generate revenue.</w:t>
      </w:r>
    </w:p>
    <w:p>
      <w:pPr>
        <w:spacing w:after="0" w:line="212"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Even if we achieve positive results in our pre-clinical and clinical studies, if we are ultimately unable to obtain timely regulatory approval for our product candidates, our business will be substantially harmed.</w:t>
      </w:r>
    </w:p>
    <w:p>
      <w:pPr>
        <w:spacing w:after="0" w:line="48" w:lineRule="exact"/>
        <w:rPr>
          <w:sz w:val="20"/>
          <w:szCs w:val="20"/>
          <w:color w:val="auto"/>
        </w:rPr>
      </w:pPr>
    </w:p>
    <w:p>
      <w:pPr>
        <w:ind w:right="140" w:firstLine="636"/>
        <w:spacing w:after="0" w:line="308" w:lineRule="auto"/>
        <w:rPr>
          <w:sz w:val="20"/>
          <w:szCs w:val="20"/>
          <w:color w:val="auto"/>
        </w:rPr>
      </w:pPr>
      <w:r>
        <w:rPr>
          <w:rFonts w:ascii="Arial" w:cs="Arial" w:eastAsia="Arial" w:hAnsi="Arial"/>
          <w:sz w:val="16"/>
          <w:szCs w:val="16"/>
          <w:color w:val="auto"/>
        </w:rPr>
        <w:t>Our future success is dependent on our ability to successfully commercialize our products and develop, obtain regulatory approval for, and then successfully commercialize one or more product candidates. We are not permitted to market or promote any of our product candidates before we receive regulatory approval from the FDA or comparable foreign regulatory authorities. We have only obtained regulatory approval for three products, and it is possible that none of our existing product candidates or any product candidates we may seek to develop in the future will ever obtain regulatory approval. Further, as the clinical trial requirements of regulatory authorities and the criteria these regulators use to determine the safety and efficacy of a product candidate vary substantially according to the type, complexity, novelty and intended use and market of the product candidates, the regulatory approval process for novel product candidates, such as our gene therapy product candidates, can be more expensive and take longer than for other product candidates, leading to fewer product approvals. To date, very few gene therapy products have received regulatory approval in the United States or Europe.</w:t>
      </w:r>
    </w:p>
    <w:p>
      <w:pPr>
        <w:spacing w:after="0" w:line="28" w:lineRule="exact"/>
        <w:rPr>
          <w:sz w:val="20"/>
          <w:szCs w:val="20"/>
          <w:color w:val="auto"/>
        </w:rPr>
      </w:pPr>
    </w:p>
    <w:p>
      <w:pPr>
        <w:ind w:right="20" w:firstLine="636"/>
        <w:spacing w:after="0" w:line="306" w:lineRule="auto"/>
        <w:rPr>
          <w:sz w:val="20"/>
          <w:szCs w:val="20"/>
          <w:color w:val="auto"/>
        </w:rPr>
      </w:pPr>
      <w:r>
        <w:rPr>
          <w:rFonts w:ascii="Arial" w:cs="Arial" w:eastAsia="Arial" w:hAnsi="Arial"/>
          <w:sz w:val="16"/>
          <w:szCs w:val="16"/>
          <w:color w:val="auto"/>
        </w:rPr>
        <w:t>To obtain regulatory approval in the United States and other jurisdictions, we must comply with numerous and varying requirements regarding safety, efficacy, chemistry, manufacturing and controls, clinical studies (including good clinical practices), commercial sales, pricing, and distribution of our product candidates, as described in “Item 1. Business – Government Regulation” of our Annual Report. Even if we are successful in obtaining approval in one jurisdiction, we cannot ensure that we will obtain approval in any other jurisdictions. In addition, approval policies, regulations, positions of the regulatory agencies on study design and/or endpoints, or the type and amount of clinical data necessary to gain approval may change during the course of a product candidate’s clinical development, which may cause delays in the approval or the decision not to approve an application. Communications with the regulatory agencies during the approval process are also unpredictable; favorable communications early in the process do not ensure that approval will be obtained and unfavorable communications early on do not guarantee that approval will be denied. Applications for our product candidates could fail to receive regulatory approval, or could be delayed in receiving regulatory approval, for many reasons, including but not limited to the following:</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regulatory authorities may disagree with the design, implementation, or conduct of our clinical studies;</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regulatory authorities may change their guidance or requirements for a development program for a product candidate;</w:t>
      </w:r>
    </w:p>
    <w:p>
      <w:pPr>
        <w:spacing w:after="0" w:line="104" w:lineRule="exact"/>
        <w:rPr>
          <w:sz w:val="20"/>
          <w:szCs w:val="20"/>
          <w:color w:val="auto"/>
        </w:rPr>
      </w:pPr>
    </w:p>
    <w:p>
      <w:pPr>
        <w:ind w:left="840" w:right="80"/>
        <w:spacing w:after="0" w:line="293" w:lineRule="auto"/>
        <w:rPr>
          <w:sz w:val="20"/>
          <w:szCs w:val="20"/>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regulatory authorities may disagree with our interpretation of data from nonclinical studies or clinical studies;</w:t>
      </w:r>
    </w:p>
    <w:p>
      <w:pPr>
        <w:spacing w:after="0" w:line="104" w:lineRule="exact"/>
        <w:rPr>
          <w:sz w:val="20"/>
          <w:szCs w:val="20"/>
          <w:color w:val="auto"/>
        </w:rPr>
      </w:pPr>
    </w:p>
    <w:p>
      <w:pPr>
        <w:ind w:left="840" w:right="500"/>
        <w:spacing w:after="0" w:line="293" w:lineRule="auto"/>
        <w:rPr>
          <w:sz w:val="20"/>
          <w:szCs w:val="20"/>
          <w:color w:val="auto"/>
        </w:rPr>
      </w:pPr>
      <w:r>
        <w:rPr>
          <w:rFonts w:ascii="Arial" w:cs="Arial" w:eastAsia="Arial" w:hAnsi="Arial"/>
          <w:sz w:val="18"/>
          <w:szCs w:val="18"/>
          <w:color w:val="auto"/>
        </w:rPr>
        <w:t>the data collected from clinical studies of our product candidates may not be sufficient to support the submission of an NDA, or biologics license application, or BLA, or other submission or to obtain regulatory approval;</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we may be unable to demonstrate to regulatory authorities that a product candidate’s risk-benefit ratio for its proposed indication is acceptable;</w:t>
      </w:r>
    </w:p>
    <w:p>
      <w:pPr>
        <w:spacing w:after="0" w:line="127" w:lineRule="exact"/>
        <w:rPr>
          <w:sz w:val="20"/>
          <w:szCs w:val="20"/>
          <w:color w:val="auto"/>
        </w:rPr>
      </w:pPr>
    </w:p>
    <w:p>
      <w:pPr>
        <w:ind w:left="840" w:right="100"/>
        <w:spacing w:after="0" w:line="293" w:lineRule="auto"/>
        <w:rPr>
          <w:sz w:val="20"/>
          <w:szCs w:val="20"/>
          <w:color w:val="auto"/>
        </w:rPr>
      </w:pPr>
      <w:r>
        <w:rPr>
          <w:rFonts w:ascii="Arial" w:cs="Arial" w:eastAsia="Arial" w:hAnsi="Arial"/>
          <w:sz w:val="18"/>
          <w:szCs w:val="18"/>
          <w:color w:val="auto"/>
        </w:rPr>
        <w:t>regulatory authorities may fail to approve the manufacturing processes, test procedures and specifications, or facilities used to manufacture our clinical and commercial supplies;</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U.S. government may be shut down, which could delay the FDA;</w:t>
      </w:r>
    </w:p>
    <w:p>
      <w:pPr>
        <w:spacing w:after="0" w:line="104" w:lineRule="exact"/>
        <w:rPr>
          <w:sz w:val="20"/>
          <w:szCs w:val="20"/>
          <w:color w:val="auto"/>
        </w:rPr>
      </w:pPr>
    </w:p>
    <w:p>
      <w:pPr>
        <w:ind w:left="840" w:right="60"/>
        <w:spacing w:after="0" w:line="266" w:lineRule="auto"/>
        <w:rPr>
          <w:sz w:val="20"/>
          <w:szCs w:val="20"/>
          <w:color w:val="auto"/>
        </w:rPr>
      </w:pPr>
      <w:r>
        <w:rPr>
          <w:rFonts w:ascii="Arial" w:cs="Arial" w:eastAsia="Arial" w:hAnsi="Arial"/>
          <w:sz w:val="18"/>
          <w:szCs w:val="18"/>
          <w:color w:val="auto"/>
        </w:rPr>
        <w:t>the FDA may be delayed in responding to our applications or submissions due to competing priorities or limited resources, including as a result of the COVID-19 pandemic;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left="840" w:right="100"/>
        <w:spacing w:after="0" w:line="324" w:lineRule="auto"/>
        <w:rPr>
          <w:sz w:val="20"/>
          <w:szCs w:val="20"/>
          <w:color w:val="auto"/>
        </w:rPr>
      </w:pPr>
      <w:r>
        <w:rPr>
          <w:rFonts w:ascii="Arial" w:cs="Arial" w:eastAsia="Arial" w:hAnsi="Arial"/>
          <w:sz w:val="17"/>
          <w:szCs w:val="17"/>
          <w:color w:val="auto"/>
        </w:rPr>
        <w:t>failure of our nonclinical or clinical development to comply with an agreed upon Pediatric Investigational Plan (PIP), which details the designs and completion timelines for nonclinical and clinical studies and is a condition of marketing authorization in the EU; and</w:t>
      </w:r>
    </w:p>
    <w:p>
      <w:pPr>
        <w:spacing w:after="0" w:line="12" w:lineRule="exact"/>
        <w:rPr>
          <w:sz w:val="20"/>
          <w:szCs w:val="20"/>
          <w:color w:val="auto"/>
        </w:rPr>
      </w:pPr>
    </w:p>
    <w:p>
      <w:pPr>
        <w:ind w:left="840" w:right="280"/>
        <w:spacing w:after="0" w:line="293" w:lineRule="auto"/>
        <w:rPr>
          <w:sz w:val="20"/>
          <w:szCs w:val="20"/>
          <w:color w:val="auto"/>
        </w:rPr>
      </w:pPr>
      <w:r>
        <w:rPr>
          <w:rFonts w:ascii="Arial" w:cs="Arial" w:eastAsia="Arial" w:hAnsi="Arial"/>
          <w:sz w:val="18"/>
          <w:szCs w:val="18"/>
          <w:color w:val="auto"/>
        </w:rPr>
        <w:t>the approval policies or regulations of regulatory authorities may significantly change in a manner rendering our clinical data insufficient for approval.</w:t>
      </w:r>
    </w:p>
    <w:p>
      <w:pPr>
        <w:spacing w:after="0" w:line="35"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Furthermore, the disease states we are evaluating often will not have clear regulatory paths for approval and/or do not have validated outcome measures. In these circumstances, we work closely with the regulatory authorities to define the approval path and may have to qualify outcome measures as part of our development programs. Additionally, many of the disease states we are targeting are highly heterogeneous in nature, which may impact our ability to determine the treatment benefit of our potential therapies.</w:t>
      </w:r>
    </w:p>
    <w:p>
      <w:pPr>
        <w:spacing w:after="0" w:line="50"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This lengthy and uncertain approval process, as well as the unpredictability of the clinical and nonclinical studies, may result in our failure to obtain regulatory approval to market any of our product candidates, or delayed regulatory approval, which would significantly harm our business, results of operations, and prospects.</w:t>
      </w:r>
    </w:p>
    <w:p>
      <w:pPr>
        <w:spacing w:after="0" w:line="210" w:lineRule="exact"/>
        <w:rPr>
          <w:sz w:val="20"/>
          <w:szCs w:val="20"/>
          <w:color w:val="auto"/>
        </w:rPr>
      </w:pPr>
    </w:p>
    <w:p>
      <w:pPr>
        <w:ind w:right="440"/>
        <w:spacing w:after="0" w:line="35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ind w:firstLine="509"/>
        <w:spacing w:after="0" w:line="302"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studies or further development, and could result in a more restrictive label, the delay or denial of regulatory approval by the FDA or other comparable foreign authorities, or a Risk Evaluation and Mitigation Strategy, or REMS, plan, which could include a medication guide outlining the risks of such side effects for distribution to patients, restricted distribution, a communication plan for healthcare providers, and/or other elements to assure safe use. Our product candidates are in development and the safety profile has not been established. Further, as one of the goals of Phase 1 and/or 2 clinical trials is to identify the highest dose of treatment that can be safely provided to study participants, adverse side effects, including serious adverse effects, have occurred in certain studies as a result of changes to the dosing regimen during such studies. For instance, patients in our Phase 1/2 study of GTX-102 experienced a serious adverse event of lower extremity weakness believed to be related to local inflammation due to GTX-102 at the highest doses of the product. Gene therapy product candidates using AAV vectors, like DTX301, have been associated with immunologic reaction to the capsid protein or gene at early time points after administration. For example, in our discontinued Phase 1/2 clinical trial of DTX101 in hemophilia B, we observed elevated laboratory alanine transaminase levels, or ALTs. In previous clinical trials involving AAV viral vectors for gene therapy, some subjects experienced adverse events, including the development of a T-cell mediated immune response against the vector capsid proteins. In addition, theoretical side effects of AAV vectors include replication and spread of the virus to other parts of the body and insertional oncogenesis, which is the process whereby the insertion of a gene near a gene that is important in cell growth or division results in uncontrolled cell division, which could potentially enhance the risk of malignant transformation or cancer. Potential procedure-related events are similar to those associated with standard coronary diagnostic procedures, and may include vascular injury (e.g., damage to the femoral, radial or brachial arteries at the site of vascular access, or damage to the coronary arteries) or myocardial injury. Future product candidates may also cause these or similar side effects as development proceeds. Results of our studies or investigator-sponsored trials could reveal a high and unacceptable severity and prevalence of these or other side effects. In such an event, our studies could be suspended or terminated, and the FDA or comparable foreign regulatory authorities could order us to cease further development of or deny or withdraw approval of our product candidates for any or all targeted indications.</w:t>
      </w:r>
    </w:p>
    <w:p>
      <w:pPr>
        <w:spacing w:after="0" w:line="272" w:lineRule="exact"/>
        <w:rPr>
          <w:sz w:val="20"/>
          <w:szCs w:val="20"/>
          <w:color w:val="auto"/>
        </w:rPr>
      </w:pPr>
    </w:p>
    <w:p>
      <w:pPr>
        <w:ind w:right="40" w:firstLine="509"/>
        <w:spacing w:after="0" w:line="306" w:lineRule="auto"/>
        <w:rPr>
          <w:sz w:val="20"/>
          <w:szCs w:val="20"/>
          <w:color w:val="auto"/>
        </w:rPr>
      </w:pPr>
      <w:r>
        <w:rPr>
          <w:rFonts w:ascii="Arial" w:cs="Arial" w:eastAsia="Arial" w:hAnsi="Arial"/>
          <w:sz w:val="16"/>
          <w:szCs w:val="16"/>
          <w:color w:val="auto"/>
        </w:rPr>
        <w:t>Drug-related side effects could affect patient recruitment and the ability of enrolled patients to complete a study. Such side effects could also result in potential product liability claims. There can be no assurance that our product liability insurance, which provides coverage in the amount of $15.0 million per incident and $15.0 million in the aggregate, will be sufficient in light of our current or planned clinical programs. We may not be able to maintain insurance coverage at a reasonable cost or in sufficient amounts to protect us against losses due to liability, or losses may exceed the amount of insurance that we carry. A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study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35"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Additionally, even though we received regulatory approval for Crysvita, Mepsevii, and Dojolvi and even if our product candidates receive marketing approval in the future, if we or others later identify undesirable side effects caused by such products, a number of potentially significant negative consequences could result, including but not limited to:</w:t>
      </w:r>
    </w:p>
    <w:p>
      <w:pPr>
        <w:spacing w:after="0" w:line="4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regulatory authorities may withdraw approvals of such product;</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regulatory authorities may require additional warnings on the product’s label or restrict the product’s approved use;</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may be required to create a REMS plan;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left="840" w:right="1120"/>
        <w:spacing w:after="0" w:line="360" w:lineRule="auto"/>
        <w:rPr>
          <w:sz w:val="20"/>
          <w:szCs w:val="20"/>
          <w:color w:val="auto"/>
        </w:rPr>
      </w:pPr>
      <w:r>
        <w:rPr>
          <w:rFonts w:ascii="Arial" w:cs="Arial" w:eastAsia="Arial" w:hAnsi="Arial"/>
          <w:sz w:val="18"/>
          <w:szCs w:val="18"/>
          <w:color w:val="auto"/>
        </w:rPr>
        <w:t>patients and physicians may elect not to use our products, or reimbursement authorities may elect not to reimburse for them; and our reputation may suffer.</w:t>
      </w:r>
    </w:p>
    <w:p>
      <w:pPr>
        <w:ind w:right="200" w:firstLine="509"/>
        <w:spacing w:after="0" w:line="293"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97"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b w:val="1"/>
          <w:bCs w:val="1"/>
          <w:i w:val="1"/>
          <w:iCs w:val="1"/>
          <w:color w:val="auto"/>
        </w:rPr>
        <w:t>Serious adverse events in clinical trials involving gene therapy product candidates may damage public perception of the safety of our product candidates, increase government regulation, and adversely affect our ability to obtain regulatory approvals for our product candidates or conduct our business.</w:t>
      </w:r>
    </w:p>
    <w:p>
      <w:pPr>
        <w:spacing w:after="0" w:line="75" w:lineRule="exact"/>
        <w:rPr>
          <w:sz w:val="20"/>
          <w:szCs w:val="20"/>
          <w:color w:val="auto"/>
        </w:rPr>
      </w:pPr>
    </w:p>
    <w:p>
      <w:pPr>
        <w:ind w:firstLine="469"/>
        <w:spacing w:after="0" w:line="305" w:lineRule="auto"/>
        <w:rPr>
          <w:sz w:val="20"/>
          <w:szCs w:val="20"/>
          <w:color w:val="auto"/>
        </w:rPr>
      </w:pPr>
      <w:r>
        <w:rPr>
          <w:rFonts w:ascii="Arial" w:cs="Arial" w:eastAsia="Arial" w:hAnsi="Arial"/>
          <w:sz w:val="16"/>
          <w:szCs w:val="16"/>
          <w:color w:val="auto"/>
        </w:rPr>
        <w:t>Gene therapy remains a novel technology. Public perception may be influenced by claims that gene therapy is unsafe, and gene therapy may not gain the acceptance of the public or the medical community. For example, certain gene therapy trials using AAV8 vectors (although at significantly higher doses than those used in our gene therapy product candidates) and other vectors led to several well-publicized adverse events, including cases of leukemia and death. The risk of cancer or death remains a concern for gene therapy and we cannot assure you that it will not occur in any of our planned or future clinical studies. In addition, there is the potential risk of delayed adverse events following exposure to gene therapy products due to persistent biological activity of the genetic material or other components of products used to carry the genetic material. Serious adverse events in our clinical trials, or other clinical trials involving gene therapy products, particularly AAV gene therapy products such as candidates based on the same capsid serotypes as our product candidates, or occurring during use of our competitors’ products, even if not ultimately attributable to the relevant product candidates, and the resulting publicity, could result in increased government regulation, unfavorable public perception, potential regulatory delays in the testing or approval of our gene therapy product candidates, stricter labeling requirements for those gene therapy product candidates that are approved and a decrease in demand for any such gene therapy product candidates, all of which would have an adverse effect on our business, financial condition, results of operations and prospects.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our product candidates, our products will remain subject to regulatory scrutiny.</w:t>
      </w:r>
    </w:p>
    <w:p>
      <w:pPr>
        <w:spacing w:after="0" w:line="104" w:lineRule="exact"/>
        <w:rPr>
          <w:sz w:val="20"/>
          <w:szCs w:val="20"/>
          <w:color w:val="auto"/>
        </w:rPr>
      </w:pPr>
    </w:p>
    <w:p>
      <w:pPr>
        <w:ind w:right="80" w:firstLine="509"/>
        <w:spacing w:after="0" w:line="296" w:lineRule="auto"/>
        <w:rPr>
          <w:sz w:val="20"/>
          <w:szCs w:val="20"/>
          <w:color w:val="auto"/>
        </w:rPr>
      </w:pPr>
      <w:r>
        <w:rPr>
          <w:rFonts w:ascii="Arial" w:cs="Arial" w:eastAsia="Arial" w:hAnsi="Arial"/>
          <w:sz w:val="17"/>
          <w:szCs w:val="17"/>
          <w:color w:val="auto"/>
        </w:rPr>
        <w:t>Our products and any product candidates that are approved are subject to ongoing regulatory requirements for manufacturing, labeling, packaging, storage, distribution, advertising, promotion, sampling, record-keeping, conduct of post-marketing studies, and submission of safety, efficacy, and other post-market information, including both federal and state requirements in the United States and requirements of comparable foreign regulatory authorities, as described in “Item 1. Business – Government Regulation” in our Annual Report.</w:t>
      </w:r>
    </w:p>
    <w:p>
      <w:pPr>
        <w:spacing w:after="0" w:line="35" w:lineRule="exact"/>
        <w:rPr>
          <w:sz w:val="20"/>
          <w:szCs w:val="20"/>
          <w:color w:val="auto"/>
        </w:rPr>
      </w:pPr>
    </w:p>
    <w:p>
      <w:pPr>
        <w:ind w:right="40" w:firstLine="509"/>
        <w:spacing w:after="0" w:line="304" w:lineRule="auto"/>
        <w:rPr>
          <w:sz w:val="20"/>
          <w:szCs w:val="20"/>
          <w:color w:val="auto"/>
        </w:rPr>
      </w:pPr>
      <w:r>
        <w:rPr>
          <w:rFonts w:ascii="Arial" w:cs="Arial" w:eastAsia="Arial" w:hAnsi="Arial"/>
          <w:sz w:val="16"/>
          <w:szCs w:val="16"/>
          <w:color w:val="auto"/>
        </w:rPr>
        <w:t>Manufacturers and manufacturers’ facilities are required to comply with extensive FDA, and comparable foreign regulatory authority, requirements, including ensuring that quality control and manufacturing procedures conform to Good Manufacturing Practices (GMP) regulations. As such, we and our contract manufacturers are subject to continual review and inspection to assess compliance with GMP and adherence to commitments made in any NDA, BLA, MAA, or other comparable application for approval in another jurisdiction. Regulatory authorities may, at any time, audit or inspect a manufacturing facility involved with the preparation of our products, product candidates or the associated quality systems for compliance with the regulations applicable to the activities being conducted. If we, our collaborators, such as KKC, or any of our third-party manufacturers fail to maintain regulatory compliance, the FDA or other applicable regulatory authority can impose regulatory sanctions including, among other things, the temporary or permanent suspension of a clinical study or commercial sales, recalls or seizures of product or the temporary or permanent closure of a facility or withdrawal of product approval. If supply from one approved manufacturer is interrupted due to failure to maintain regulatory compliance, an alternative manufacturer would need to be qualified through an NDA or BLA supplement or MAA variation, or equivalent foreign regulatory filing, which could result in delays in product supply. The regulatory agencies may also require additional studies if a new manufacturer, material, testing method or standard is relied upon for commercial production. Switching manufacturers, materials, test methods or standards may involve substantial costs and may result in a delay in our desired clinical and commercial timelines. Accordingly, we and others with whom we work are required continue to expend time, money, and effort in all areas of regulatory compliance, including manufacturing, production, and quality control.</w:t>
      </w:r>
    </w:p>
    <w:p>
      <w:pPr>
        <w:spacing w:after="0" w:line="31" w:lineRule="exact"/>
        <w:rPr>
          <w:sz w:val="20"/>
          <w:szCs w:val="20"/>
          <w:color w:val="auto"/>
        </w:rPr>
      </w:pPr>
    </w:p>
    <w:p>
      <w:pPr>
        <w:ind w:right="160" w:firstLine="509"/>
        <w:spacing w:after="0" w:line="281"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other conditions of approval, or contain requirements for potentially costly post-marketing testing, including Phase 4 clinical studies, and surveillance to monitor the safety and efficacy of the product candidate. We could also be asked to conduct post-marketing clinical studies to verify the safety and efficacy of our products in general or in specific patient subsets. If original marketing approval was obtained via the accelerated approval or conditional marketing authorization pathways, we would be required to conduct a successful post-marketing clinical study to confirm clinical benefit for our products. An unsuccessful post-marketing study or failure to complete such a study could result in the withdrawal of marketing approval. We will be required to report certain adverse events and manufacturing problems, if any, to the FDA and comparable foreign regulatory authorities. The holder of an approved NDA, BLA, MAA, or other comparable application must submit new or supplemental applications and obtain approval for certain changes to the approved product, product labeling, or manufacturing process.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7" w:name="page48"/>
    <w:bookmarkEnd w:id="47"/>
    <w:p>
      <w:pPr>
        <w:ind w:right="680" w:firstLine="509"/>
        <w:spacing w:after="0" w:line="293" w:lineRule="auto"/>
        <w:rPr>
          <w:sz w:val="20"/>
          <w:szCs w:val="20"/>
          <w:color w:val="auto"/>
        </w:rPr>
      </w:pPr>
      <w:r>
        <w:rPr>
          <w:rFonts w:ascii="Arial" w:cs="Arial" w:eastAsia="Arial" w:hAnsi="Arial"/>
          <w:sz w:val="18"/>
          <w:szCs w:val="18"/>
          <w:color w:val="auto"/>
        </w:rPr>
        <w:t>If we fail to comply with applicable regulatory requirements, or there are safety or efficacy problems with a product, a regulatory agency or enforcement authority may, among other things:</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issue warning or notice of violation letters;</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impose civil or criminal penalties;</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suspend or withdraw regulatory approval;</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suspend any of our ongoing clinical studies;</w:t>
      </w:r>
    </w:p>
    <w:p>
      <w:pPr>
        <w:spacing w:after="0" w:line="104" w:lineRule="exact"/>
        <w:rPr>
          <w:sz w:val="20"/>
          <w:szCs w:val="20"/>
          <w:color w:val="auto"/>
        </w:rPr>
      </w:pPr>
    </w:p>
    <w:p>
      <w:pPr>
        <w:ind w:left="840" w:right="3420"/>
        <w:spacing w:after="0" w:line="360" w:lineRule="auto"/>
        <w:rPr>
          <w:sz w:val="20"/>
          <w:szCs w:val="20"/>
          <w:color w:val="auto"/>
        </w:rPr>
      </w:pPr>
      <w:r>
        <w:rPr>
          <w:rFonts w:ascii="Arial" w:cs="Arial" w:eastAsia="Arial" w:hAnsi="Arial"/>
          <w:sz w:val="18"/>
          <w:szCs w:val="18"/>
          <w:color w:val="auto"/>
        </w:rPr>
        <w:t>refuse to approve pending applications or supplements to approved applications submitted by us; impose restrictions on our operations, including closing our contract manufacturers’ facilities; seize or detain products, or require a product recall; or require entry into a consent decree.</w:t>
      </w:r>
    </w:p>
    <w:p>
      <w:pPr>
        <w:ind w:right="60" w:firstLine="509"/>
        <w:spacing w:after="0" w:line="275"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212"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b w:val="1"/>
          <w:bCs w:val="1"/>
          <w:i w:val="1"/>
          <w:iCs w:val="1"/>
          <w:color w:val="auto"/>
        </w:rPr>
        <w:t>If we are unable to identify, source, and develop effective biomarkers, or our collaborators are unable to successfully develop and commercialize companion diagnostics for our product candidates, or experience significant delays in doing so, we may not realize the full commercial potential of our product candidates.</w:t>
      </w:r>
    </w:p>
    <w:p>
      <w:pPr>
        <w:spacing w:after="0" w:line="75" w:lineRule="exact"/>
        <w:rPr>
          <w:sz w:val="20"/>
          <w:szCs w:val="20"/>
          <w:color w:val="auto"/>
        </w:rPr>
      </w:pPr>
    </w:p>
    <w:p>
      <w:pPr>
        <w:ind w:right="20" w:firstLine="562"/>
        <w:spacing w:after="0" w:line="299" w:lineRule="auto"/>
        <w:rPr>
          <w:sz w:val="20"/>
          <w:szCs w:val="20"/>
          <w:color w:val="auto"/>
        </w:rPr>
      </w:pPr>
      <w:r>
        <w:rPr>
          <w:rFonts w:ascii="Arial" w:cs="Arial" w:eastAsia="Arial" w:hAnsi="Arial"/>
          <w:sz w:val="16"/>
          <w:szCs w:val="16"/>
          <w:color w:val="auto"/>
        </w:rPr>
        <w:t xml:space="preserve">We are developing companion diagnostic tests to identify the right patients for certain of our product candidates and to monitor response to treatment. In certain cases, diagnostic tests may need to be developed as companion diagnostics and regulatory approval obtained in order to commercialize some product candidates. We currently use and expect to continue to use biomarkers to identify the right patients for certain of our product candidates. We may also need to develop predictive biomarkers in the future. For example, to evaluate therapeutic response of DTX301, we are measuring ammonia levels and other biomarkers, including </w:t>
      </w:r>
      <w:r>
        <w:rPr>
          <w:rFonts w:ascii="Arial" w:cs="Arial" w:eastAsia="Arial" w:hAnsi="Arial"/>
          <w:sz w:val="19"/>
          <w:szCs w:val="19"/>
          <w:color w:val="auto"/>
          <w:vertAlign w:val="superscript"/>
        </w:rPr>
        <w:t>13</w:t>
      </w:r>
      <w:r>
        <w:rPr>
          <w:rFonts w:ascii="Arial" w:cs="Arial" w:eastAsia="Arial" w:hAnsi="Arial"/>
          <w:sz w:val="16"/>
          <w:szCs w:val="16"/>
          <w:color w:val="auto"/>
        </w:rPr>
        <w:t xml:space="preserve">C-acetate, which are established measures of OTC deficiency disease status and ureagenesis. We offer no assurances that </w:t>
      </w:r>
      <w:r>
        <w:rPr>
          <w:rFonts w:ascii="Arial" w:cs="Arial" w:eastAsia="Arial" w:hAnsi="Arial"/>
          <w:sz w:val="19"/>
          <w:szCs w:val="19"/>
          <w:color w:val="auto"/>
          <w:vertAlign w:val="superscript"/>
        </w:rPr>
        <w:t>13</w:t>
      </w:r>
      <w:r>
        <w:rPr>
          <w:rFonts w:ascii="Arial" w:cs="Arial" w:eastAsia="Arial" w:hAnsi="Arial"/>
          <w:sz w:val="16"/>
          <w:szCs w:val="16"/>
          <w:color w:val="auto"/>
        </w:rPr>
        <w:t>C-acetate or any other future potential biomarker will in fact prove predictive, be reliably measured, or be accepted as a measure of efficacy by the FDA or other regulatory authorities. In addition, our success may depend, in part, on the development and commercialization of companion diagnostics. We also expect the FDA will require the development and regulatory approval of a companion diagnostic assay as a condition to approval of our gene therapy product candidates. There has been limited success to date industrywide in developing and commercializing these types of companion diagnostics. Development and manufacturing of companion diagnostics is complex and there are limited manufacturers with the necessary expertise and capability. Even if we are able to successfully develop companion diagnostics, we may not be able to manufacture the companion diagnostics at a cost or in quantities or on timelines necessary for use with our product candidates. To be successful, we need to address a number of scientific, technical and logistical challenges. We are currently working with a third party to develop companion diagnostics, however, we have little experience in the development and commercialization of diagnostics and may not ultimately be successful in developing and commercializing appropriate diagnostics to pair with any of our product candidates that receive marketing approval. The University of Pennsylvania School of Medicine currently conducts some of our clinical assays pursuant to a sponsored research agreement, one of which is required for our ongoing Phase 1/2 clinical trial. We also use third parties for the automation, characterization and validation, of our bioanalytical assays, companion diagnostics and the manufacture of its critical reagents.</w:t>
      </w:r>
    </w:p>
    <w:p>
      <w:pPr>
        <w:spacing w:after="0" w:line="70" w:lineRule="exact"/>
        <w:rPr>
          <w:sz w:val="20"/>
          <w:szCs w:val="20"/>
          <w:color w:val="auto"/>
        </w:rPr>
      </w:pPr>
    </w:p>
    <w:p>
      <w:pPr>
        <w:ind w:firstLine="562"/>
        <w:spacing w:after="0" w:line="299" w:lineRule="auto"/>
        <w:rPr>
          <w:sz w:val="20"/>
          <w:szCs w:val="20"/>
          <w:color w:val="auto"/>
        </w:rPr>
      </w:pPr>
      <w:r>
        <w:rPr>
          <w:rFonts w:ascii="Arial" w:cs="Arial" w:eastAsia="Arial" w:hAnsi="Arial"/>
          <w:sz w:val="16"/>
          <w:szCs w:val="16"/>
          <w:color w:val="auto"/>
        </w:rPr>
        <w:t>Companion diagnostics are subject to regulation by FDA and similar regulatory authorities outside the United States as medical devices and require regulatory clearance or approval prior to commercialization. In the United States, companion diagnostics are cleared or approved through FDA’s 510(k) premarket notification or premarket approval, or PMA, process. Changes in marketing approval policies during the development period, changes in or the enactment of additional statutes or regulations, or changes in regulatory review for each submitted 510(k) premarket notification, PMA or equivalent application types in jurisdictions outside the United States, may cause delays in the approval, clearance or rejection of an application. Given our limited experience in developing and commercializing diagnostics, we expect to rely in part or in whole on third parties for companion diagnostic design and commercialization. We and our collaborators may encounter difficulties in developing and obtaining approval or clearance for the companion diagnostics, including issues relating to selectivity/specificity, analytical validation, reproducibility, or clinical validation. Any delay or failure by us or our collaborators to develop or obtain regulatory approval of the companion diagnostics could delay or prevent approval of our product candidates.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08"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be exposed to sub-optimal quality and reputational harm, we may not be able to obtain regulatory approval for or commercialize our product candidates, and our business could be substantially harmed.</w:t>
      </w:r>
    </w:p>
    <w:p>
      <w:pPr>
        <w:spacing w:after="0" w:line="50" w:lineRule="exact"/>
        <w:rPr>
          <w:sz w:val="20"/>
          <w:szCs w:val="20"/>
          <w:color w:val="auto"/>
        </w:rPr>
      </w:pPr>
    </w:p>
    <w:p>
      <w:pPr>
        <w:ind w:firstLine="509"/>
        <w:spacing w:after="0" w:line="302" w:lineRule="auto"/>
        <w:rPr>
          <w:sz w:val="20"/>
          <w:szCs w:val="20"/>
          <w:color w:val="auto"/>
        </w:rPr>
      </w:pPr>
      <w:r>
        <w:rPr>
          <w:rFonts w:ascii="Arial" w:cs="Arial" w:eastAsia="Arial" w:hAnsi="Arial"/>
          <w:sz w:val="16"/>
          <w:szCs w:val="16"/>
          <w:color w:val="auto"/>
        </w:rPr>
        <w:t xml:space="preserve">We have relied upon and plan to continue to rely upon third parties, including CROs, collaborative partners, and independent investigators to analyze, collect, monitor, and manage data for our ongoing nonclinical and clinical programs. We rely on third parties for execution of our nonclinical and clinical studies, and for estimates regarding costs and efforts completed, and we control only certain aspects of their activities. For example, pursuant to the terms of our collaboration with GeneTx on the development of GeneTx’s GTX-102, an antisense oligonucleotide (ASO) for the treatment of Angelman syndrome, subject to certain limited rights we have, GeneTx </w:t>
      </w:r>
      <w:r>
        <w:rPr>
          <w:rFonts w:ascii="Arial" w:cs="Arial" w:eastAsia="Arial" w:hAnsi="Arial"/>
          <w:sz w:val="16"/>
          <w:szCs w:val="16"/>
          <w:color w:val="212529"/>
        </w:rPr>
        <w:t>retains the decision-making authority on all matters in connection with the research,</w:t>
      </w:r>
      <w:r>
        <w:rPr>
          <w:rFonts w:ascii="Arial" w:cs="Arial" w:eastAsia="Arial" w:hAnsi="Arial"/>
          <w:sz w:val="16"/>
          <w:szCs w:val="16"/>
          <w:color w:val="auto"/>
        </w:rPr>
        <w:t xml:space="preserve"> </w:t>
      </w:r>
      <w:r>
        <w:rPr>
          <w:rFonts w:ascii="Arial" w:cs="Arial" w:eastAsia="Arial" w:hAnsi="Arial"/>
          <w:sz w:val="16"/>
          <w:szCs w:val="16"/>
          <w:color w:val="212529"/>
        </w:rPr>
        <w:t xml:space="preserve">development, manufacturing and regulatory activities with respect to the program. </w:t>
      </w:r>
      <w:r>
        <w:rPr>
          <w:rFonts w:ascii="Arial" w:cs="Arial" w:eastAsia="Arial" w:hAnsi="Arial"/>
          <w:sz w:val="16"/>
          <w:szCs w:val="16"/>
          <w:color w:val="000000"/>
        </w:rPr>
        <w:t>Nevertheless, we are responsible for ensuring that each of our studies is</w:t>
      </w:r>
      <w:r>
        <w:rPr>
          <w:rFonts w:ascii="Arial" w:cs="Arial" w:eastAsia="Arial" w:hAnsi="Arial"/>
          <w:sz w:val="16"/>
          <w:szCs w:val="16"/>
          <w:color w:val="212529"/>
        </w:rPr>
        <w:t xml:space="preserve"> </w:t>
      </w:r>
      <w:r>
        <w:rPr>
          <w:rFonts w:ascii="Arial" w:cs="Arial" w:eastAsia="Arial" w:hAnsi="Arial"/>
          <w:sz w:val="16"/>
          <w:szCs w:val="16"/>
          <w:color w:val="000000"/>
        </w:rPr>
        <w:t>conducted in accordance with the applicable protocol, legal, regulatory, and scientific standards, and our reliance on the CROs and other third parties does not relieve us of our regulatory responsibilities. We and our CROs and other vendors and partners are required to comply with GMP, GCP, and GLP, which are regulations and guidelines enforced by the FDA, the Competent Authorities of the Member States of the European Economic Area, and comparable foreign regulatory authorities for all of our product candidates in development. Regulatory authorities enforce these regulations through periodic inspections of study sponsors, principal investigators, study sites, and other contractors. If we or any of our CROs or other vendors and partners, including the sites at which clinical studies are conducted, fail to comply with applicable regulations, the data generated in our nonclinical and clinical studies may be deemed unreliable and the FDA, EMA, or comparable foreign regulatory authorities may deny approval and/or require us to perform additional nonclinical and clinical studies before approving our marketing applications, which would delay the approval process. We cannot make assurances that upon inspection by a given regulatory authority, such regulatory authority will determine that any of our clinical studies comply with GCP regulations or that nonclinical studies comply with GLP regulations. In addition, our clinical studies must be conducted with products produced under GMP regulations. If the regulatory authorities determine that we have failed to comply with GLP, GMP, or GCP regulations, they may deny approval of our product candidates and/or we may be required to repeat clinical or nonclinical studies, which would delay the regulatory approval process.</w:t>
      </w:r>
    </w:p>
    <w:p>
      <w:pPr>
        <w:spacing w:after="0" w:line="45"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Our CROs and other vendors and partners are not our employees and we cannot control whether or not they devote sufficient time and resources to our on-going nonclinical and clinical programs, except for the limited remedies available to us under our agreements with such third parties. If our vendors and partners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and other vendors and partners may also generate higher costs than anticipated as a result of changes in scope of work or otherwise. As a result, our results of operations and the commercial prospects for our product candidates would be harmed, our costs could increase, and our ability to generate revenue could be delayed.</w:t>
      </w:r>
    </w:p>
    <w:p>
      <w:pPr>
        <w:spacing w:after="0" w:line="47"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vendors or do so on commercially reasonable terms. Switching or adding additional vendors involves additional cost and requires management time and focus. In addition, there is a natural transition period when a new vendor commences work. As a result, delays may occur, which can materially impact our ability to meet our desired clinical development timelines. Our efforts to manage our relationships with our vendors and partners can provide no assurance that we will not encounter similar challenges or delays in the future or that these delays or challenges will not have a material adverse impact on our business, financial condition, and business prospects.</w:t>
      </w:r>
    </w:p>
    <w:p>
      <w:pPr>
        <w:spacing w:after="0" w:line="56" w:lineRule="exact"/>
        <w:rPr>
          <w:sz w:val="20"/>
          <w:szCs w:val="20"/>
          <w:color w:val="auto"/>
        </w:rPr>
      </w:pPr>
    </w:p>
    <w:p>
      <w:pPr>
        <w:ind w:right="120" w:firstLine="509"/>
        <w:spacing w:after="0" w:line="303" w:lineRule="auto"/>
        <w:rPr>
          <w:sz w:val="20"/>
          <w:szCs w:val="20"/>
          <w:color w:val="auto"/>
        </w:rPr>
      </w:pPr>
      <w:r>
        <w:rPr>
          <w:rFonts w:ascii="Arial" w:cs="Arial" w:eastAsia="Arial" w:hAnsi="Arial"/>
          <w:sz w:val="17"/>
          <w:szCs w:val="17"/>
          <w:color w:val="auto"/>
        </w:rPr>
        <w:t>We also rely on third parties in other ways, including efforts to support patient diagnosis and identify patients, to assist our finance and legal departments, and to provide other resources for our business. Use of these third parties could expose us to sub-optimal quality, missed deadlines, and non-compliance with applicable laws, all of which could result in reputational harm to us and negatively affect our business.</w:t>
      </w:r>
    </w:p>
    <w:p>
      <w:pPr>
        <w:spacing w:after="0" w:line="191"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b w:val="1"/>
          <w:bCs w:val="1"/>
          <w:i w:val="1"/>
          <w:iCs w:val="1"/>
          <w:color w:val="auto"/>
        </w:rPr>
        <w:t>We are dependent on KKC for the clinical and commercial supply of Crysvita for all major markets and for the development and commercialization of Crysvita in certain major markets, and KKC’s failure to provide an adequate supply of Crysvita or to commercialize Crysvita in those markets could result in a material adverse effect on our business and operating results.</w:t>
      </w:r>
    </w:p>
    <w:p>
      <w:pPr>
        <w:spacing w:after="0" w:line="48"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Under our agreement with KKC, KKC has the sole right to commercialize Crysvita in Europe and, at a specified time, in the United States, Canada, and Turkey, subject to a limited promotion right we retained. Our partnership with KKC may not be successful, and we may not realize the expected benefits from such partnership, due to a number of important factors, including but not limited to the following:</w:t>
      </w:r>
    </w:p>
    <w:p>
      <w:pPr>
        <w:spacing w:after="0" w:line="48" w:lineRule="exact"/>
        <w:rPr>
          <w:sz w:val="20"/>
          <w:szCs w:val="20"/>
          <w:color w:val="auto"/>
        </w:rPr>
      </w:pPr>
    </w:p>
    <w:p>
      <w:pPr>
        <w:jc w:val="both"/>
        <w:ind w:left="840" w:right="80"/>
        <w:spacing w:after="0" w:line="266" w:lineRule="auto"/>
        <w:rPr>
          <w:sz w:val="20"/>
          <w:szCs w:val="20"/>
          <w:color w:val="auto"/>
        </w:rPr>
      </w:pPr>
      <w:r>
        <w:rPr>
          <w:rFonts w:ascii="Arial" w:cs="Arial" w:eastAsia="Arial" w:hAnsi="Arial"/>
          <w:sz w:val="18"/>
          <w:szCs w:val="18"/>
          <w:color w:val="auto"/>
        </w:rPr>
        <w:t>KKC has no obligation under our agreement to use diligent efforts to commercialize Crysvita in Europe. The timing and amount of any royalty payments that are made by KKC based on sales of Crysvita in Europe will depend on, among other things, the efforts, allocation of resources, and successful commercialization of Crysvita by KKC in Europe;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49" w:name="page50"/>
    <w:bookmarkEnd w:id="49"/>
    <w:p>
      <w:pPr>
        <w:ind w:left="840" w:right="580"/>
        <w:spacing w:after="0" w:line="352" w:lineRule="auto"/>
        <w:rPr>
          <w:sz w:val="20"/>
          <w:szCs w:val="20"/>
          <w:color w:val="auto"/>
        </w:rPr>
      </w:pPr>
      <w:r>
        <w:rPr>
          <w:rFonts w:ascii="Arial" w:cs="Arial" w:eastAsia="Arial" w:hAnsi="Arial"/>
          <w:sz w:val="16"/>
          <w:szCs w:val="16"/>
          <w:color w:val="auto"/>
        </w:rPr>
        <w:t>the timing and amount of any payments we may receive under our agreement with KKC will depend on, among other things, the efforts, allocation of resources, and successful commercialization of Crysvita by KKC in the United States and Canada under our agreement;</w:t>
      </w:r>
    </w:p>
    <w:p>
      <w:pPr>
        <w:ind w:left="840"/>
        <w:spacing w:after="0"/>
        <w:rPr>
          <w:sz w:val="20"/>
          <w:szCs w:val="20"/>
          <w:color w:val="auto"/>
        </w:rPr>
      </w:pPr>
      <w:r>
        <w:rPr>
          <w:rFonts w:ascii="Arial" w:cs="Arial" w:eastAsia="Arial" w:hAnsi="Arial"/>
          <w:sz w:val="18"/>
          <w:szCs w:val="18"/>
          <w:color w:val="auto"/>
        </w:rPr>
        <w:t>KKC may change the focus of its commercialization efforts or pursue higher-priority programs;</w:t>
      </w:r>
    </w:p>
    <w:p>
      <w:pPr>
        <w:spacing w:after="0" w:line="104" w:lineRule="exact"/>
        <w:rPr>
          <w:sz w:val="20"/>
          <w:szCs w:val="20"/>
          <w:color w:val="auto"/>
        </w:rPr>
      </w:pPr>
    </w:p>
    <w:p>
      <w:pPr>
        <w:ind w:left="840" w:right="100"/>
        <w:spacing w:after="0" w:line="279" w:lineRule="auto"/>
        <w:rPr>
          <w:sz w:val="20"/>
          <w:szCs w:val="20"/>
          <w:color w:val="auto"/>
        </w:rPr>
      </w:pPr>
      <w:r>
        <w:rPr>
          <w:rFonts w:ascii="Arial" w:cs="Arial" w:eastAsia="Arial" w:hAnsi="Arial"/>
          <w:sz w:val="18"/>
          <w:szCs w:val="18"/>
          <w:color w:val="auto"/>
        </w:rPr>
        <w:t>KKC may make decisions regarding the indications for our product candidates in countries where it has the sole right to commercialize the product candidates that limit commercialization efforts in those countries or in countries where we have the right to commercialize our product candidates;</w:t>
      </w:r>
    </w:p>
    <w:p>
      <w:pPr>
        <w:spacing w:after="0" w:line="48" w:lineRule="exact"/>
        <w:rPr>
          <w:sz w:val="20"/>
          <w:szCs w:val="20"/>
          <w:color w:val="auto"/>
        </w:rPr>
      </w:pPr>
    </w:p>
    <w:p>
      <w:pPr>
        <w:ind w:left="840" w:right="120"/>
        <w:spacing w:after="0" w:line="352" w:lineRule="auto"/>
        <w:rPr>
          <w:sz w:val="20"/>
          <w:szCs w:val="20"/>
          <w:color w:val="auto"/>
        </w:rPr>
      </w:pPr>
      <w:r>
        <w:rPr>
          <w:rFonts w:ascii="Arial" w:cs="Arial" w:eastAsia="Arial" w:hAnsi="Arial"/>
          <w:sz w:val="16"/>
          <w:szCs w:val="16"/>
          <w:color w:val="auto"/>
        </w:rPr>
        <w:t>KKC may make decisions regarding market access and pricing in countries where it has the sole right to commercialize our product candidates which can negatively impact our commercialization efforts in countries where we have the right to commercialize our product candidates;</w:t>
      </w:r>
    </w:p>
    <w:p>
      <w:pPr>
        <w:jc w:val="both"/>
        <w:ind w:left="840" w:right="20"/>
        <w:spacing w:after="0" w:line="279" w:lineRule="auto"/>
        <w:rPr>
          <w:sz w:val="20"/>
          <w:szCs w:val="20"/>
          <w:color w:val="auto"/>
        </w:rPr>
      </w:pPr>
      <w:r>
        <w:rPr>
          <w:rFonts w:ascii="Arial" w:cs="Arial" w:eastAsia="Arial" w:hAnsi="Arial"/>
          <w:sz w:val="18"/>
          <w:szCs w:val="18"/>
          <w:color w:val="auto"/>
        </w:rPr>
        <w:t>KKC may fail to manufacture or supply sufficient drug product of Crysvita in compliance with applicable laws and regulations or otherwise for our development and clinical use or commercial use (including as a result of the COVID-19 pandemic), which could result in program delays or lost revenue;</w:t>
      </w:r>
    </w:p>
    <w:p>
      <w:pPr>
        <w:spacing w:after="0" w:line="48" w:lineRule="exact"/>
        <w:rPr>
          <w:sz w:val="20"/>
          <w:szCs w:val="20"/>
          <w:color w:val="auto"/>
        </w:rPr>
      </w:pPr>
    </w:p>
    <w:p>
      <w:pPr>
        <w:ind w:left="840" w:right="280"/>
        <w:spacing w:after="0" w:line="293" w:lineRule="auto"/>
        <w:rPr>
          <w:sz w:val="20"/>
          <w:szCs w:val="20"/>
          <w:color w:val="auto"/>
        </w:rPr>
      </w:pPr>
      <w:r>
        <w:rPr>
          <w:rFonts w:ascii="Arial" w:cs="Arial" w:eastAsia="Arial" w:hAnsi="Arial"/>
          <w:sz w:val="18"/>
          <w:szCs w:val="18"/>
          <w:color w:val="auto"/>
        </w:rPr>
        <w:t>KKC may elect to develop and commercialize Crysvita indications with a larger market than XLH and at a lower price, thereby reducing the profit margin on sales of Crysvita for any orphan indications, including XLH;</w:t>
      </w:r>
    </w:p>
    <w:p>
      <w:pPr>
        <w:spacing w:after="0" w:line="35" w:lineRule="exact"/>
        <w:rPr>
          <w:sz w:val="20"/>
          <w:szCs w:val="20"/>
          <w:color w:val="auto"/>
        </w:rPr>
      </w:pPr>
    </w:p>
    <w:p>
      <w:pPr>
        <w:ind w:left="840" w:right="220"/>
        <w:spacing w:after="0" w:line="293" w:lineRule="auto"/>
        <w:rPr>
          <w:sz w:val="20"/>
          <w:szCs w:val="20"/>
          <w:color w:val="auto"/>
        </w:rPr>
      </w:pPr>
      <w:r>
        <w:rPr>
          <w:rFonts w:ascii="Arial" w:cs="Arial" w:eastAsia="Arial" w:hAnsi="Arial"/>
          <w:sz w:val="18"/>
          <w:szCs w:val="18"/>
          <w:color w:val="auto"/>
        </w:rPr>
        <w:t>if KKC were to breach or terminate the agreement with us, we would no longer have any rights to develop or commercialize Crysvita or such rights would be limited to non-terminated countries;</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KKC may terminate its agreement with us, adversely affecting our potential revenue from licensed products; and</w:t>
      </w:r>
    </w:p>
    <w:p>
      <w:pPr>
        <w:spacing w:after="0" w:line="104" w:lineRule="exact"/>
        <w:rPr>
          <w:sz w:val="20"/>
          <w:szCs w:val="20"/>
          <w:color w:val="auto"/>
        </w:rPr>
      </w:pPr>
    </w:p>
    <w:p>
      <w:pPr>
        <w:ind w:left="840" w:right="460"/>
        <w:spacing w:after="0" w:line="293" w:lineRule="auto"/>
        <w:rPr>
          <w:sz w:val="20"/>
          <w:szCs w:val="20"/>
          <w:color w:val="auto"/>
        </w:rPr>
      </w:pPr>
      <w:r>
        <w:rPr>
          <w:rFonts w:ascii="Arial" w:cs="Arial" w:eastAsia="Arial" w:hAnsi="Arial"/>
          <w:sz w:val="18"/>
          <w:szCs w:val="18"/>
          <w:color w:val="auto"/>
        </w:rPr>
        <w:t>the timing and amounts of expense reimbursement that we may receive are uncertain, and the total expenses for which we are obligated to reimburse KKC may be greater than anticipated.</w:t>
      </w:r>
    </w:p>
    <w:p>
      <w:pPr>
        <w:spacing w:after="0" w:line="197"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We have no experience as a company developing a manufacturing facility and may experience unexpected costs or delays or ultimately be unsuccessful in developing a facility.</w:t>
      </w:r>
    </w:p>
    <w:p>
      <w:pPr>
        <w:spacing w:after="0" w:line="35"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During the fourth quarter 2020, we completed our purchase of land located in the Town of Bedford, Massachusetts for construction of our gene therapy manufacturing facility and began construction of the base building for the facility. We expect that the new facility will provide us with enhanced control of material supply for both clinical trials and the commercial market, enable the more rapid implementation of process changes, and allow for better long-term margins for our gene therapy products. We currently anticipate construction of the facility to be completed in 2023. We do not have experience as a company, however, in developing a manufacturing facility and we may experience unexpected costs or delays or ultimately be unsuccessful in developing the facility or capability. We are dependent on key partners for delivery of power, electricity and other utilities to our manufacturing facility and we cannot assure that such services will be provided at the facility without interruptions, delays or unexpected costs. Further, as described in the risk factor below entitled, “</w:t>
      </w:r>
      <w:r>
        <w:rPr>
          <w:rFonts w:ascii="Arial" w:cs="Arial" w:eastAsia="Arial" w:hAnsi="Arial"/>
          <w:sz w:val="16"/>
          <w:szCs w:val="16"/>
          <w:i w:val="1"/>
          <w:iCs w:val="1"/>
          <w:color w:val="auto"/>
        </w:rPr>
        <w:t>Actual or threatened public health epidemics or outbreaks, including the ongoing COVID-19 pandemic, have and could again materially and</w:t>
      </w:r>
      <w:r>
        <w:rPr>
          <w:rFonts w:ascii="Arial" w:cs="Arial" w:eastAsia="Arial" w:hAnsi="Arial"/>
          <w:sz w:val="16"/>
          <w:szCs w:val="16"/>
          <w:color w:val="auto"/>
        </w:rPr>
        <w:t xml:space="preserve"> </w:t>
      </w:r>
      <w:r>
        <w:rPr>
          <w:rFonts w:ascii="Arial" w:cs="Arial" w:eastAsia="Arial" w:hAnsi="Arial"/>
          <w:sz w:val="16"/>
          <w:szCs w:val="16"/>
          <w:i w:val="1"/>
          <w:iCs w:val="1"/>
          <w:color w:val="auto"/>
        </w:rPr>
        <w:t>adversely impact our business and operating results,</w:t>
      </w:r>
      <w:r>
        <w:rPr>
          <w:rFonts w:ascii="Arial" w:cs="Arial" w:eastAsia="Arial" w:hAnsi="Arial"/>
          <w:sz w:val="16"/>
          <w:szCs w:val="16"/>
          <w:color w:val="auto"/>
        </w:rPr>
        <w:t>” the COVID-19 pandemic has adversely impacted delivery of raw materials, and increased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materials, for construction of our facility. As we expand our commercial footprint to multiple geographies, we may establish multiple manufacturing facilities, which may lead to regulatory delays or prove costly. Even if we are successful, we cannot assure that such additional capacity will be required or that our investment will be recouped. Further, our manufacturing capabilities could be affected by cost-overruns, unexpected delays, equipment failures, lack of capacity, labor shortages, natural disasters, power failures, program failures, and numerous other factors that could prevent us from realizing the intended benefits of our manufacturing strategy and have a material adverse effect on our business.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ind w:right="540"/>
        <w:spacing w:after="0" w:line="375" w:lineRule="auto"/>
        <w:rPr>
          <w:sz w:val="20"/>
          <w:szCs w:val="20"/>
          <w:color w:val="auto"/>
        </w:rPr>
      </w:pPr>
      <w:r>
        <w:rPr>
          <w:rFonts w:ascii="Arial" w:cs="Arial" w:eastAsia="Arial" w:hAnsi="Arial"/>
          <w:sz w:val="15"/>
          <w:szCs w:val="15"/>
          <w:b w:val="1"/>
          <w:bCs w:val="1"/>
          <w:i w:val="1"/>
          <w:iCs w:val="1"/>
          <w:color w:val="auto"/>
        </w:rPr>
        <w:t>Gene therapy and mRNA, DNA and siRNA product candidates are novel, complex, expensive and difficult to manufacture. We could experience manufacturing problems that result in delays in developing and commercializing these programs or otherwise harm our business.</w:t>
      </w:r>
    </w:p>
    <w:p>
      <w:pPr>
        <w:spacing w:after="0" w:line="1" w:lineRule="exact"/>
        <w:rPr>
          <w:sz w:val="20"/>
          <w:szCs w:val="20"/>
          <w:color w:val="auto"/>
        </w:rPr>
      </w:pPr>
    </w:p>
    <w:p>
      <w:pPr>
        <w:ind w:right="100" w:firstLine="569"/>
        <w:spacing w:after="0" w:line="290" w:lineRule="auto"/>
        <w:rPr>
          <w:sz w:val="20"/>
          <w:szCs w:val="20"/>
          <w:color w:val="auto"/>
        </w:rPr>
      </w:pPr>
      <w:r>
        <w:rPr>
          <w:rFonts w:ascii="Arial" w:cs="Arial" w:eastAsia="Arial" w:hAnsi="Arial"/>
          <w:sz w:val="17"/>
          <w:szCs w:val="17"/>
          <w:color w:val="auto"/>
        </w:rPr>
        <w:t>The manufacturing process used to produce our gene therapy, mRNA, DNA and siRNA product candidates is novel, complex, and has not been validated for commercial use. Several factors could cause production interruptions, including equipment malfunctions, regulatory inspections, facility contamination, raw material shortages or contamination, natural disasters, disruption in utility services, human error or disruptions in the operations of our suppliers. Further, given that cGMP gene therapy, mRNA, DNA and siRNA manufacturing is a nascent industry, there are a small number of CMOs with the experience necessary to manufacture our gene therapy product candidates and we may have difficulty finding or maintaining relationships with such CMOs or hiring experts for internal manufacturing and accordingly, our production capacity may be limited.</w:t>
      </w:r>
    </w:p>
    <w:p>
      <w:pPr>
        <w:spacing w:after="0" w:line="41" w:lineRule="exact"/>
        <w:rPr>
          <w:sz w:val="20"/>
          <w:szCs w:val="20"/>
          <w:color w:val="auto"/>
        </w:rPr>
      </w:pPr>
    </w:p>
    <w:p>
      <w:pPr>
        <w:ind w:right="60" w:firstLine="569"/>
        <w:spacing w:after="0" w:line="287" w:lineRule="auto"/>
        <w:rPr>
          <w:sz w:val="20"/>
          <w:szCs w:val="20"/>
          <w:color w:val="auto"/>
        </w:rPr>
      </w:pPr>
      <w:r>
        <w:rPr>
          <w:rFonts w:ascii="Arial" w:cs="Arial" w:eastAsia="Arial" w:hAnsi="Arial"/>
          <w:sz w:val="17"/>
          <w:szCs w:val="17"/>
          <w:color w:val="auto"/>
        </w:rPr>
        <w:t>Our gene therapy, mRNA, DNA and siRNA product candidates require processing steps that are more complex than those required for most small molecule drugs. Moreover, unlike small molecules, the physical and chemical properties of a biologic such as gene therapy, mRNA, DNA and siRNA product candidates generally cannot be fully characterized. As a result, assays of the finished product candidate may not be sufficient to ensure that the product candidate is consistent from lot to lot or will perform in the intended manner. Accordingly, we employ multiple steps to control the manufacturing process to assure that the process works reproducibly, and the product candidate is made strictly and consistently in compliance with the process. Problems with the manufacturing process, even minor deviations from the normal process, could result in product defects or manufacturing failures that result in lot failures, noncompliance with regulatory requirements, product recalls, product liability claims or insufficient inventory. We may encounter problems achieving adequate quantities and quality of clinical-grade materials that meet FDA, the EMA or other applicable standards or specifications with consistent and acceptable production yields and costs.</w:t>
      </w:r>
    </w:p>
    <w:p>
      <w:pPr>
        <w:spacing w:after="0" w:line="43" w:lineRule="exact"/>
        <w:rPr>
          <w:sz w:val="20"/>
          <w:szCs w:val="20"/>
          <w:color w:val="auto"/>
        </w:rPr>
      </w:pPr>
    </w:p>
    <w:p>
      <w:pPr>
        <w:ind w:right="120" w:firstLine="569"/>
        <w:spacing w:after="0" w:line="271" w:lineRule="auto"/>
        <w:rPr>
          <w:sz w:val="20"/>
          <w:szCs w:val="20"/>
          <w:color w:val="auto"/>
        </w:rPr>
      </w:pPr>
      <w:r>
        <w:rPr>
          <w:rFonts w:ascii="Arial" w:cs="Arial" w:eastAsia="Arial" w:hAnsi="Arial"/>
          <w:sz w:val="18"/>
          <w:szCs w:val="18"/>
          <w:color w:val="auto"/>
        </w:rPr>
        <w:t>In addition, FDA, the EMA and other foreign regulatory authorities may require us to submit samples of any lot of any approved product together with the protocols showing the results of applicable tests at any time. Under some circumstances, FDA, the EMA or other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w:t>
      </w:r>
    </w:p>
    <w:p>
      <w:pPr>
        <w:spacing w:after="0" w:line="218" w:lineRule="exact"/>
        <w:rPr>
          <w:sz w:val="20"/>
          <w:szCs w:val="20"/>
          <w:color w:val="auto"/>
        </w:rPr>
      </w:pPr>
    </w:p>
    <w:p>
      <w:pPr>
        <w:ind w:right="420"/>
        <w:spacing w:after="0" w:line="324" w:lineRule="auto"/>
        <w:rPr>
          <w:sz w:val="20"/>
          <w:szCs w:val="20"/>
          <w:color w:val="auto"/>
        </w:rPr>
      </w:pPr>
      <w:r>
        <w:rPr>
          <w:rFonts w:ascii="Arial" w:cs="Arial" w:eastAsia="Arial" w:hAnsi="Arial"/>
          <w:sz w:val="17"/>
          <w:szCs w:val="17"/>
          <w:b w:val="1"/>
          <w:bCs w:val="1"/>
          <w:i w:val="1"/>
          <w:iCs w:val="1"/>
          <w:color w:val="auto"/>
        </w:rPr>
        <w:t>We rely on third parties to manufacture our products and our product candidates and we are subject to a multitude of manufacturing risks, any of which could substantially increase our costs and limit the supply of our product and product candidates.</w:t>
      </w:r>
    </w:p>
    <w:p>
      <w:pPr>
        <w:spacing w:after="0" w:line="12" w:lineRule="exact"/>
        <w:rPr>
          <w:sz w:val="20"/>
          <w:szCs w:val="20"/>
          <w:color w:val="auto"/>
        </w:rPr>
      </w:pPr>
    </w:p>
    <w:p>
      <w:pPr>
        <w:ind w:firstLine="569"/>
        <w:spacing w:after="0" w:line="286" w:lineRule="auto"/>
        <w:rPr>
          <w:sz w:val="20"/>
          <w:szCs w:val="20"/>
          <w:color w:val="auto"/>
        </w:rPr>
      </w:pPr>
      <w:r>
        <w:rPr>
          <w:rFonts w:ascii="Arial" w:cs="Arial" w:eastAsia="Arial" w:hAnsi="Arial"/>
          <w:sz w:val="17"/>
          <w:szCs w:val="17"/>
          <w:color w:val="auto"/>
        </w:rPr>
        <w:t>As we currently lack the resources and the capability to manufacture our products and most of our product candidates on a clinical or commercial scale, we rely on third parties to manufacture our products and product candidates. Although we oversee the contract manufacturers, we cannot control the manufacturing process of, and are substantially dependent on, our contract manufacturing partners for compliance with the regulatory requirements. See “-</w:t>
      </w:r>
      <w:r>
        <w:rPr>
          <w:rFonts w:ascii="Arial" w:cs="Arial" w:eastAsia="Arial" w:hAnsi="Arial"/>
          <w:sz w:val="17"/>
          <w:szCs w:val="17"/>
          <w:i w:val="1"/>
          <w:iCs w:val="1"/>
          <w:color w:val="auto"/>
        </w:rPr>
        <w:t xml:space="preserve">Even if we obtain regulatory approval for our product candidates, our products will remain subject to regulatory scrutiny” </w:t>
      </w:r>
      <w:r>
        <w:rPr>
          <w:rFonts w:ascii="Arial" w:cs="Arial" w:eastAsia="Arial" w:hAnsi="Arial"/>
          <w:sz w:val="17"/>
          <w:szCs w:val="17"/>
          <w:color w:val="auto"/>
        </w:rPr>
        <w:t>risk factor above. Further, we</w:t>
      </w:r>
      <w:r>
        <w:rPr>
          <w:rFonts w:ascii="Arial" w:cs="Arial" w:eastAsia="Arial" w:hAnsi="Arial"/>
          <w:sz w:val="17"/>
          <w:szCs w:val="17"/>
          <w:i w:val="1"/>
          <w:iCs w:val="1"/>
          <w:color w:val="auto"/>
        </w:rPr>
        <w:t xml:space="preserve"> </w:t>
      </w:r>
      <w:r>
        <w:rPr>
          <w:rFonts w:ascii="Arial" w:cs="Arial" w:eastAsia="Arial" w:hAnsi="Arial"/>
          <w:sz w:val="17"/>
          <w:szCs w:val="17"/>
          <w:color w:val="auto"/>
        </w:rPr>
        <w:t>depend on our manufacturers to purchase from third-party suppliers the materials necessary to produce our products and product candidates. There are a limited number of suppliers for raw materials that we use to manufacture our drugs, placebos, or active controls, and there may be a need to identify alternate suppliers to prevent a possible disruption of the manufacture of the materials necessary to produce our products and our product candidates for our clinical studies, and, if approved, ultimately for commercial sale. We also do not have any control over the process or timing of the acquisition of these raw materials by our manufacturers. We may also experience interruptions in supply of product if the product or raw material components fail to meet our quality control standards or the quality control standards of our suppliers.</w:t>
      </w:r>
    </w:p>
    <w:p>
      <w:pPr>
        <w:spacing w:after="0" w:line="47" w:lineRule="exact"/>
        <w:rPr>
          <w:sz w:val="20"/>
          <w:szCs w:val="20"/>
          <w:color w:val="auto"/>
        </w:rPr>
      </w:pPr>
    </w:p>
    <w:p>
      <w:pPr>
        <w:ind w:right="20" w:firstLine="569"/>
        <w:spacing w:after="0" w:line="299" w:lineRule="auto"/>
        <w:rPr>
          <w:sz w:val="20"/>
          <w:szCs w:val="20"/>
          <w:color w:val="auto"/>
        </w:rPr>
      </w:pPr>
      <w:r>
        <w:rPr>
          <w:rFonts w:ascii="Arial" w:cs="Arial" w:eastAsia="Arial" w:hAnsi="Arial"/>
          <w:sz w:val="16"/>
          <w:szCs w:val="16"/>
          <w:color w:val="auto"/>
        </w:rPr>
        <w:t>Further, manufacturers that produce our products and product candidates may not have experience producing our products and product candidates at commercial levels and may not produce our products and product candidates at the cost, quality, quantities, locations, and timing needed to support profitable commercialization. We have not yet secured manufacturing capabilities for commercial quantities of all of our product candidates and may be unable to negotiate binding agreements with manufacturers to support our commercialization activities on commercially reasonable terms. Even if our third-party product manufacturers develop acceptable manufacturing processes that provide the necessary quantities of our products and product candidates in a compliant and timely manner, the cost to us for the supply of our products and product candidates manufactured by such third parties may be high and could limit our profitability. For instance, KKC is our sole supplier of commercial quantities of Crysvita. The supply price to us for commercial sales of Crysvita in Latin America and the transfer price for commercial sales of the product in the United States and Canada is 35% of net sales through December 31, 2022 and 30% thereafter, which is higher than the typical cost of goods sold by companies focused on rare diseases.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1" w:name="page52"/>
    <w:bookmarkEnd w:id="51"/>
    <w:p>
      <w:pPr>
        <w:ind w:right="480" w:firstLine="509"/>
        <w:spacing w:after="0" w:line="293" w:lineRule="auto"/>
        <w:rPr>
          <w:sz w:val="20"/>
          <w:szCs w:val="20"/>
          <w:color w:val="auto"/>
        </w:rPr>
      </w:pPr>
      <w:r>
        <w:rPr>
          <w:rFonts w:ascii="Arial" w:cs="Arial" w:eastAsia="Arial" w:hAnsi="Arial"/>
          <w:sz w:val="18"/>
          <w:szCs w:val="18"/>
          <w:color w:val="auto"/>
        </w:rPr>
        <w:t>The process of manufacturing our products and product candidates is complex, highly regulated, and subject to several risks, including but not limited to those listed below.</w:t>
      </w:r>
    </w:p>
    <w:p>
      <w:pPr>
        <w:spacing w:after="0" w:line="35" w:lineRule="exact"/>
        <w:rPr>
          <w:sz w:val="20"/>
          <w:szCs w:val="20"/>
          <w:color w:val="auto"/>
        </w:rPr>
      </w:pPr>
    </w:p>
    <w:p>
      <w:pPr>
        <w:ind w:left="840" w:right="100"/>
        <w:spacing w:after="0" w:line="271" w:lineRule="auto"/>
        <w:rPr>
          <w:sz w:val="20"/>
          <w:szCs w:val="20"/>
          <w:color w:val="auto"/>
        </w:rPr>
      </w:pPr>
      <w:r>
        <w:rPr>
          <w:rFonts w:ascii="Arial" w:cs="Arial" w:eastAsia="Arial" w:hAnsi="Arial"/>
          <w:sz w:val="18"/>
          <w:szCs w:val="18"/>
          <w:color w:val="auto"/>
        </w:rPr>
        <w:t>The process of manufacturing our products and product candidates is extremely susceptible to product loss due to contamination, equipment failure or improper installation or operation of equipment, or vendor or operator error. Even minor deviations from normal manufacturing processes for our products and any of our product candidates could result in reduced production yields, product defects, and other supply disruptions. If microbial, viral, or other contaminations are discovered in our products and product candidates or in the manufacturing facilities in which our products and product candidates are made, such manufacturing facilities may need to be closed for an extended period of time to investigate and remedy the contamination.</w:t>
      </w:r>
    </w:p>
    <w:p>
      <w:pPr>
        <w:spacing w:after="0" w:line="56" w:lineRule="exact"/>
        <w:rPr>
          <w:sz w:val="20"/>
          <w:szCs w:val="20"/>
          <w:color w:val="auto"/>
        </w:rPr>
      </w:pPr>
    </w:p>
    <w:p>
      <w:pPr>
        <w:ind w:left="840" w:right="260"/>
        <w:spacing w:after="0" w:line="293" w:lineRule="auto"/>
        <w:rPr>
          <w:sz w:val="20"/>
          <w:szCs w:val="20"/>
          <w:color w:val="auto"/>
        </w:rPr>
      </w:pPr>
      <w:r>
        <w:rPr>
          <w:rFonts w:ascii="Arial" w:cs="Arial" w:eastAsia="Arial" w:hAnsi="Arial"/>
          <w:sz w:val="18"/>
          <w:szCs w:val="18"/>
          <w:color w:val="auto"/>
        </w:rPr>
        <w:t>The manufacturing facilities in which our products and product candidates are made could be adversely affected by equipment failures, labor shortages, raw material shortages, natural disasters, power failures, and numerous other factors.</w:t>
      </w:r>
    </w:p>
    <w:p>
      <w:pPr>
        <w:spacing w:after="0" w:line="35"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Any adverse developments affecting manufacturing operations for our products and product candidates may result in shipment delays, inventory shortages, lot failures, withdrawals or recalls, or other interruptions in the supply of our products and product candidates. For instance, during the fourth quarter of 2019, we experienced disruptions from our third-party supplier related to the fill and finish activities for the manufacture of Mepsevii, which negatively impacted our inventory of the product. Due to their stage of development, small volume requirements, and infrequency of batch production runs, we carry limited amounts of safety stock for our products and product candidates. We have, and may in the future, be required to take inventory write-offs and incur other charges and expenses for products and product candidates that fail to meet specifications, undertake costly remediation efforts, or seek more costly manufacturing alternatives.</w:t>
      </w:r>
    </w:p>
    <w:p>
      <w:pPr>
        <w:spacing w:after="0" w:line="219" w:lineRule="exact"/>
        <w:rPr>
          <w:sz w:val="20"/>
          <w:szCs w:val="20"/>
          <w:color w:val="auto"/>
        </w:rPr>
      </w:pPr>
    </w:p>
    <w:p>
      <w:pPr>
        <w:ind w:right="280"/>
        <w:spacing w:after="0" w:line="279" w:lineRule="auto"/>
        <w:rPr>
          <w:sz w:val="20"/>
          <w:szCs w:val="20"/>
          <w:color w:val="auto"/>
        </w:rPr>
      </w:pPr>
      <w:r>
        <w:rPr>
          <w:rFonts w:ascii="Arial" w:cs="Arial" w:eastAsia="Arial" w:hAnsi="Arial"/>
          <w:sz w:val="18"/>
          <w:szCs w:val="18"/>
          <w:b w:val="1"/>
          <w:bCs w:val="1"/>
          <w:i w:val="1"/>
          <w:iCs w:val="1"/>
          <w:color w:val="auto"/>
        </w:rPr>
        <w:t>The drug substance and drug product for our products and most of our product candidates are currently acquired from single-source suppliers. The loss of these suppliers, or their failure to supply us with the necessary drug substance or drug product, could materially and adversely affect our business.</w:t>
      </w:r>
    </w:p>
    <w:p>
      <w:pPr>
        <w:spacing w:after="0" w:line="48" w:lineRule="exact"/>
        <w:rPr>
          <w:sz w:val="20"/>
          <w:szCs w:val="20"/>
          <w:color w:val="auto"/>
        </w:rPr>
      </w:pPr>
    </w:p>
    <w:p>
      <w:pPr>
        <w:ind w:right="40" w:firstLine="509"/>
        <w:spacing w:after="0" w:line="302" w:lineRule="auto"/>
        <w:rPr>
          <w:sz w:val="20"/>
          <w:szCs w:val="20"/>
          <w:color w:val="auto"/>
        </w:rPr>
      </w:pPr>
      <w:r>
        <w:rPr>
          <w:rFonts w:ascii="Arial" w:cs="Arial" w:eastAsia="Arial" w:hAnsi="Arial"/>
          <w:sz w:val="16"/>
          <w:szCs w:val="16"/>
          <w:color w:val="auto"/>
        </w:rPr>
        <w:t>We acquire most of the drug substances and drug products for our products and product candidates from single sources. If any single source supplier breaches an agreement with us, or terminates the agreement in response to an alleged breach by us or otherwise becomes unable to fulfill its supply obligations, we would not be able to manufacture and distribute the product or product candidate until a qualified alternative supplier is identified, which could significantly impair our ability to commercialize such product or delay the development of such product candidate. The drug substance and drug product for Crysvita are made by KKC pursuant to our license and collaboration agreement with KKC. The drug substance and drug product for Mepsevii are currently manufactured by Rentschler under a commercial supply and services agreement, accompanying purchase orders, and other agreements. We experienced disruptions related to the fill and finish activities for the drug product for Mepsevii during the fourth quarter of 2019 and as a result, we identified an alternative supplier to conduct such activities. We are currently in the process of qualifying and transferring the activities to such alternative supplier, which may take a significant amount of time and expense. If we fail to qualify our alternative supplier, we could experience delays or disruptions in the supply of Mepsevii, which would negatively impact sales of the product. Pharmaceutical-grade drug substance for Dojolvi is manufactured by IOI Oleo pursuant to a supply agreement, and the drug product for Dojolvi is prepared by Haupt Pharma AG pursuant to a master services agreement. Single source suppliers are also used for our gene therapy programs. Other than as described above, we have not currently secured any other suppliers for the drug substance or drug product of our products and product candidates and, although we believe that there are alternate sources of supply that could satisfy our clinical and commercial requirements, we cannot provide assurance that identifying alternate sources and establishing relationships with such sources would not result in significant expense or delay in the commercialization of our products or the development of our product candidates. Additionally, we may not be able to enter into supply arrangements with an alternative supplier on commercially reasonable terms or at all. The terms of any new agreement may also be less favorable or more costly than the terms we have with our current supplier. A delay in the commercialization of our products or the development of our product candidates or having to enter into a new agreement with a different third-party on less favorable terms than we have with our current suppliers could have a material adverse impact upon on our business.</w:t>
      </w:r>
    </w:p>
    <w:p>
      <w:pPr>
        <w:spacing w:after="0" w:line="205" w:lineRule="exact"/>
        <w:rPr>
          <w:sz w:val="20"/>
          <w:szCs w:val="20"/>
          <w:color w:val="auto"/>
        </w:rPr>
      </w:pPr>
    </w:p>
    <w:p>
      <w:pPr>
        <w:ind w:right="40"/>
        <w:spacing w:after="0" w:line="375" w:lineRule="auto"/>
        <w:rPr>
          <w:sz w:val="20"/>
          <w:szCs w:val="20"/>
          <w:color w:val="auto"/>
        </w:rPr>
      </w:pPr>
      <w:r>
        <w:rPr>
          <w:rFonts w:ascii="Arial" w:cs="Arial" w:eastAsia="Arial" w:hAnsi="Arial"/>
          <w:sz w:val="15"/>
          <w:szCs w:val="15"/>
          <w:b w:val="1"/>
          <w:bCs w:val="1"/>
          <w:i w:val="1"/>
          <w:iCs w:val="1"/>
          <w:color w:val="auto"/>
        </w:rPr>
        <w:t>The actions of distributors and specialty pharmacies could affect our ability to sell or market products profitably. Fluctuations in buying or distribution patterns by such distributors and specialty pharmacies could adversely affect our revenues, financial condition, or results of operations.</w:t>
      </w:r>
    </w:p>
    <w:p>
      <w:pPr>
        <w:spacing w:after="0" w:line="1" w:lineRule="exact"/>
        <w:rPr>
          <w:sz w:val="20"/>
          <w:szCs w:val="20"/>
          <w:color w:val="auto"/>
        </w:rPr>
      </w:pPr>
    </w:p>
    <w:p>
      <w:pPr>
        <w:ind w:right="20" w:firstLine="509"/>
        <w:spacing w:after="0" w:line="299" w:lineRule="auto"/>
        <w:rPr>
          <w:sz w:val="20"/>
          <w:szCs w:val="20"/>
          <w:color w:val="auto"/>
        </w:rPr>
      </w:pPr>
      <w:r>
        <w:rPr>
          <w:rFonts w:ascii="Arial" w:cs="Arial" w:eastAsia="Arial" w:hAnsi="Arial"/>
          <w:sz w:val="16"/>
          <w:szCs w:val="16"/>
          <w:color w:val="auto"/>
        </w:rPr>
        <w:t>We rely on commercial distributors and specialty pharmacies for a considerable portion of our product sales and such sales are concentrated within a small number of distributors and specialty pharmacies. The financial failure of any of these parties could adversely affect our revenues, financial condition or results of operations. Our revenues, financial condition or results of operations may also be affected by fluctuations in buying or distribution patterns of such distributors and specialty pharmacies. These fluctuations may result from seasonality, pricing, wholesaler inventory objectives, or other factors.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spacing w:after="0" w:line="293"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35"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Because we rely on third parties in connection with the development and manufacture of our products and product candidates and will likely rely on third parties in connection with the commercialization of our approved products, we must, at times, share trade secrets with them. We seek to protect our proprietary technology in part by entering into confidentiality agreements and, if applicable, material transfer agreements, collaborative research agreements, consulting agreements, letters of engagement,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Products and Product Candidates</w:t>
      </w:r>
    </w:p>
    <w:p>
      <w:pPr>
        <w:spacing w:after="0" w:line="10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i w:val="1"/>
          <w:iCs w:val="1"/>
          <w:color w:val="auto"/>
        </w:rPr>
        <w:t>If the market opportunities for our products and product candidates are smaller than we believe they are, our revenue may be adversely affected, and our business may suffer. Because the target patient populations of our products and product candidates are small, and the addressable patient population potentially even smaller, we must be able to successfully identify patients and acquire a significant market share to achieve profitability and growth.</w:t>
      </w:r>
    </w:p>
    <w:p>
      <w:pPr>
        <w:spacing w:after="0" w:line="50" w:lineRule="exact"/>
        <w:rPr>
          <w:sz w:val="20"/>
          <w:szCs w:val="20"/>
          <w:color w:val="auto"/>
        </w:rPr>
      </w:pPr>
    </w:p>
    <w:p>
      <w:pPr>
        <w:ind w:right="40" w:firstLine="509"/>
        <w:spacing w:after="0" w:line="303" w:lineRule="auto"/>
        <w:rPr>
          <w:sz w:val="20"/>
          <w:szCs w:val="20"/>
          <w:color w:val="auto"/>
        </w:rPr>
      </w:pPr>
      <w:r>
        <w:rPr>
          <w:rFonts w:ascii="Arial" w:cs="Arial" w:eastAsia="Arial" w:hAnsi="Arial"/>
          <w:sz w:val="16"/>
          <w:szCs w:val="16"/>
          <w:color w:val="auto"/>
        </w:rPr>
        <w:t>We focus our research and product development on treatments for rare and ultra-rare genetic diseases. Given the small number of patients who have the diseases that we are targeting, it is critical to our ability to grow and become profitable that we continue to successfully identify patients with these rare and ultra-rare genetic diseases. Some of our current products or clinical programs may be most appropriate for patients with more severe forms of their disease. For instance, while adults make up the majority of the XLH patients, they often have less severe disease that may reduce the penetration of Crysvita in the adult population relative to the pediatric population. Given the overall rarity of the diseases we target, it is difficult to project the prevalence of the more severe forms, or the other subsets of patients that may be most suitable to address with our products and product candidates, which may further limit the addressable patient population to a small subset. Our projections of both the number of people who have these diseases, as well as the subset of people with these diseases who have the potential to benefit from treatment with our products and product candidates, are based on our beliefs and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products and product candidates may be limited or may not be amenable to treatment with our products and product candidates, and new patients may become increasingly difficult to identify or access, which would adversely affect our results of operations and our business. Further, even if we obtain significant market share for our products and product candidates, because the potential target populations are very small, we may never become or remain profitable nor generate sufficient revenue growth to sustain our business.</w:t>
      </w:r>
    </w:p>
    <w:p>
      <w:pPr>
        <w:spacing w:after="0" w:line="198" w:lineRule="exact"/>
        <w:rPr>
          <w:sz w:val="20"/>
          <w:szCs w:val="20"/>
          <w:color w:val="auto"/>
        </w:rPr>
      </w:pPr>
    </w:p>
    <w:p>
      <w:pPr>
        <w:ind w:right="280"/>
        <w:spacing w:after="0" w:line="279" w:lineRule="auto"/>
        <w:rPr>
          <w:sz w:val="20"/>
          <w:szCs w:val="20"/>
          <w:color w:val="auto"/>
        </w:rPr>
      </w:pPr>
      <w:r>
        <w:rPr>
          <w:rFonts w:ascii="Arial" w:cs="Arial" w:eastAsia="Arial" w:hAnsi="Arial"/>
          <w:sz w:val="18"/>
          <w:szCs w:val="18"/>
          <w:b w:val="1"/>
          <w:bCs w:val="1"/>
          <w:i w:val="1"/>
          <w:iCs w:val="1"/>
          <w:color w:val="auto"/>
        </w:rPr>
        <w:t>We face intense competition and rapid technological change and the possibility that our competitors may develop therapies that are similar, more advanced, or more effective than ours, which may adversely affect our financial condition and our ability to successfully commercialize our product candidates.</w:t>
      </w:r>
    </w:p>
    <w:p>
      <w:pPr>
        <w:spacing w:after="0" w:line="48" w:lineRule="exact"/>
        <w:rPr>
          <w:sz w:val="20"/>
          <w:szCs w:val="20"/>
          <w:color w:val="auto"/>
        </w:rPr>
      </w:pPr>
    </w:p>
    <w:p>
      <w:pPr>
        <w:ind w:right="260" w:firstLine="509"/>
        <w:spacing w:after="0" w:line="279" w:lineRule="auto"/>
        <w:rPr>
          <w:sz w:val="20"/>
          <w:szCs w:val="20"/>
          <w:color w:val="auto"/>
        </w:rPr>
      </w:pPr>
      <w:r>
        <w:rPr>
          <w:rFonts w:ascii="Arial" w:cs="Arial" w:eastAsia="Arial" w:hAnsi="Arial"/>
          <w:sz w:val="18"/>
          <w:szCs w:val="18"/>
          <w:color w:val="auto"/>
        </w:rPr>
        <w:t>The biotechnology and pharmaceutical industries are intensely competitive and subject to rapid and significant technological change. We are currently aware of various existing treatments that may compete with our products and product candidates. See “Item 1. Business – Competition” in our Annual Report.</w:t>
      </w:r>
    </w:p>
    <w:p>
      <w:pPr>
        <w:spacing w:after="0" w:line="48"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We have competitors both in the United States and internationally, including major multinational pharmaceutical companies, specialty pharmaceutical companies, biotechnology companies, startups, academic research institutions, government agencies, and public and private research institutions. Many of our competitors have substantially greater financial, technical, and other resources, such as larger research and development staff and experienced marketing and manufacturing organizations. Additional mergers and acquisitions in the biotechnology and pharmaceutical industries may result in even more resources being concentrated in our competitors. As a result, these companies may obtain regulatory approval more rapidly than we are able to and may be more effective in selling and marketing their products as well. Smaller or early-stage companies may also prove to be significant competitors, particularly through collaborative arrangements with large, established companies. Competition may increase further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 or achieve earlier patent protection, regulatory approval, product commercialization, and market penetration than we do. Additionally, technologies developed by our competitors may render our potential products and product candidates uneconomical or obsolete, and we may not be successful in marketing our products and product candidates against competitors.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53" w:name="page54"/>
    <w:bookmarkEnd w:id="53"/>
    <w:p>
      <w:pPr>
        <w:jc w:val="both"/>
        <w:ind w:right="480"/>
        <w:spacing w:after="0" w:line="279" w:lineRule="auto"/>
        <w:rPr>
          <w:sz w:val="20"/>
          <w:szCs w:val="20"/>
          <w:color w:val="auto"/>
        </w:rPr>
      </w:pPr>
      <w:r>
        <w:rPr>
          <w:rFonts w:ascii="Arial" w:cs="Arial" w:eastAsia="Arial" w:hAnsi="Arial"/>
          <w:sz w:val="18"/>
          <w:szCs w:val="18"/>
          <w:b w:val="1"/>
          <w:bCs w:val="1"/>
          <w:i w:val="1"/>
          <w:iCs w:val="1"/>
          <w:color w:val="auto"/>
        </w:rPr>
        <w:t>We may not be able to effectively manage the expansion of our organization, including building an integrated commercial organization. If we are unable to expand our existing commercial infrastructure or enter into agreements with third parties to market and sell our products and product candidates, as needed, we may be unable to increase our revenue.</w:t>
      </w:r>
    </w:p>
    <w:p>
      <w:pPr>
        <w:spacing w:after="0" w:line="48"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We expect we will need additional managerial, operational, marketing, financial, legal, and other resources to support our development and commercialization plans and strategies. In order to successfully commercialize our products as well as any additional products that may result from our development programs, we are building and expanding our commercial infrastructure in North America, Europe and Latin America. This infrastructure consists of both office based as well as field teams with technical expertise, and will be expanded as we approach the potential approval dates of additional products that result from our development programs.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50"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We, as a company, have limited, recent experience selling and marketing our product and only some of our employees have prior experience promoting other similar products in the past while employed at other companies. As we increase the number and range of our commercialized products, we may experience additional complexities to our sales process and strategy and have difficulties in allocating sufficient resources to sales and marketing of certain products. Further, as we launch additional products or as demand for our products change, our initial estimate of the size of the required field force may be materially more or less than the size of the field force actually required to effectively commercialize our product candidates. As such, we may be required to hire large teams to adequately support the commercialization of our products and product candidates or we may incur excess costs in an effort to optimize the hiring of commercial personnel. With respect to certain geographical markets, we may enter into collaborations with other entities to utilize their local marketing and distribution capabilities, but we may be unable to enter into such agreements on favorable terms, if at all. If our future collaborators do not commit sufficient resources to commercialize our future products, if any, and we are unable to develop the necessary marketing capabilities on our own, we will be unable to generate sufficient product revenue to sustain our business. We may be competing with companies that currently have extensive and well-funded marketing and sales operations. Without a large internal team or the support of a third-party to perform key commercial functions, we may be unable to compete successfully against these more established companies.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exclusive right to promote Crysvita in the United States and Canada expires in 2023.</w:t>
      </w:r>
    </w:p>
    <w:p>
      <w:pPr>
        <w:spacing w:after="0" w:line="104" w:lineRule="exact"/>
        <w:rPr>
          <w:sz w:val="20"/>
          <w:szCs w:val="20"/>
          <w:color w:val="auto"/>
        </w:rPr>
      </w:pPr>
    </w:p>
    <w:p>
      <w:pPr>
        <w:ind w:right="60" w:firstLine="469"/>
        <w:spacing w:after="0" w:line="287" w:lineRule="auto"/>
        <w:rPr>
          <w:sz w:val="20"/>
          <w:szCs w:val="20"/>
          <w:color w:val="auto"/>
        </w:rPr>
      </w:pPr>
      <w:r>
        <w:rPr>
          <w:rFonts w:ascii="Arial" w:cs="Arial" w:eastAsia="Arial" w:hAnsi="Arial"/>
          <w:sz w:val="17"/>
          <w:szCs w:val="17"/>
          <w:color w:val="auto"/>
        </w:rPr>
        <w:t>Pursuant to the terms of our collaboration and license agreement with KKC, we have the sole right to promote Crysvita in the United States and Canada, or the profit-share territory, for a specified period of time, with KKC increasingly participating in the promotion of the product until the transition date of April 2023, which is the fifth anniversary of the commercial launch of the product in the United States. After the transition date, KKC will have the right to promote the product, subject to a limited promotion right retained by us. We cannot assure that we will have adequate commercial activity to support our North America field force and other aspects of our commercial infrastructure in the territory after the transition date. After the transition date, we will also solely bear the expenses related to the promotion of Crysvita in the profit-share territory pursuant to our limited promotion right, rather than share such expenses with KKC. Collaboration with KKC may not result in a seamless transition of responsibilities for KKC to promote the product in the profit-share territory after the transition date and the commercial success of Crysvita in the profit-share territory after the transition date will depend on, among other things, the efforts and allocation of resources of KKC.</w:t>
      </w:r>
    </w:p>
    <w:p>
      <w:pPr>
        <w:spacing w:after="0" w:line="205"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The commercial success of any current or future product will depend upon the degree of market acceptance by physicians, patients, third-party payors, and others in the medical community.</w:t>
      </w:r>
    </w:p>
    <w:p>
      <w:pPr>
        <w:spacing w:after="0" w:line="35" w:lineRule="exact"/>
        <w:rPr>
          <w:sz w:val="20"/>
          <w:szCs w:val="20"/>
          <w:color w:val="auto"/>
        </w:rPr>
      </w:pPr>
    </w:p>
    <w:p>
      <w:pPr>
        <w:ind w:right="160" w:firstLine="509"/>
        <w:spacing w:after="0" w:line="296" w:lineRule="auto"/>
        <w:rPr>
          <w:sz w:val="20"/>
          <w:szCs w:val="20"/>
          <w:color w:val="auto"/>
        </w:rPr>
      </w:pPr>
      <w:r>
        <w:rPr>
          <w:rFonts w:ascii="Arial" w:cs="Arial" w:eastAsia="Arial" w:hAnsi="Arial"/>
          <w:sz w:val="17"/>
          <w:szCs w:val="17"/>
          <w:color w:val="auto"/>
        </w:rPr>
        <w:t>Even with the requisite approvals from the FDA and comparable foreign regulatory authorities, the commercial success of our current and future products will depend in part on the medical community, patients, and payors accepting our current and future products as medically useful, cost-effective, and safe. Any product that we bring to the market may not gain market acceptance by physicians, patients, payors, and others in the medical community. The degree of market acceptance of any of our current and future products will depend on a number of factors, including:</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efficacy of the product as demonstrated in clinical studies and potential advantages over competing treatments;</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prevalence and severity of any side effects, including any limitations or warnings contained in a product’s approved labeling;</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clinical indications for which approval is granted;</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relative convenience and ease of administration;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4" w:name="page55"/>
    <w:bookmarkEnd w:id="54"/>
    <w:p>
      <w:pPr>
        <w:ind w:left="840"/>
        <w:spacing w:after="0"/>
        <w:rPr>
          <w:sz w:val="20"/>
          <w:szCs w:val="20"/>
          <w:color w:val="auto"/>
        </w:rPr>
      </w:pPr>
      <w:r>
        <w:rPr>
          <w:rFonts w:ascii="Arial" w:cs="Arial" w:eastAsia="Arial" w:hAnsi="Arial"/>
          <w:sz w:val="18"/>
          <w:szCs w:val="18"/>
          <w:color w:val="auto"/>
        </w:rPr>
        <w:t>the cost of treatment, particularly in relation to competing treatments;</w:t>
      </w:r>
    </w:p>
    <w:p>
      <w:pPr>
        <w:spacing w:after="0" w:line="104" w:lineRule="exact"/>
        <w:rPr>
          <w:sz w:val="20"/>
          <w:szCs w:val="20"/>
          <w:color w:val="auto"/>
        </w:rPr>
      </w:pPr>
    </w:p>
    <w:p>
      <w:pPr>
        <w:ind w:left="840" w:right="2200"/>
        <w:spacing w:after="0" w:line="360" w:lineRule="auto"/>
        <w:rPr>
          <w:sz w:val="20"/>
          <w:szCs w:val="20"/>
          <w:color w:val="auto"/>
        </w:rPr>
      </w:pPr>
      <w:r>
        <w:rPr>
          <w:rFonts w:ascii="Arial" w:cs="Arial" w:eastAsia="Arial" w:hAnsi="Arial"/>
          <w:sz w:val="18"/>
          <w:szCs w:val="18"/>
          <w:color w:val="auto"/>
        </w:rPr>
        <w:t>the willingness of the target patient population to try new therapies and of physicians to prescribe these therapies; the effectiveness of our field forces and marketing efforts;</w:t>
      </w:r>
    </w:p>
    <w:p>
      <w:pPr>
        <w:ind w:left="840" w:right="2500"/>
        <w:spacing w:after="0" w:line="360" w:lineRule="auto"/>
        <w:rPr>
          <w:sz w:val="20"/>
          <w:szCs w:val="20"/>
          <w:color w:val="auto"/>
        </w:rPr>
      </w:pPr>
      <w:r>
        <w:rPr>
          <w:rFonts w:ascii="Arial" w:cs="Arial" w:eastAsia="Arial" w:hAnsi="Arial"/>
          <w:sz w:val="18"/>
          <w:szCs w:val="18"/>
          <w:color w:val="auto"/>
        </w:rPr>
        <w:t>the strength of marketing and distribution support and timing of market introduction of competitive products; publicity concerning our products or competing products and treatments; and sufficient third-party insurance coverage and reimbursement.</w:t>
      </w:r>
    </w:p>
    <w:p>
      <w:pPr>
        <w:ind w:firstLine="509"/>
        <w:spacing w:after="0" w:line="296" w:lineRule="auto"/>
        <w:rPr>
          <w:sz w:val="20"/>
          <w:szCs w:val="20"/>
          <w:color w:val="auto"/>
        </w:rPr>
      </w:pPr>
      <w:r>
        <w:rPr>
          <w:rFonts w:ascii="Arial" w:cs="Arial" w:eastAsia="Arial" w:hAnsi="Arial"/>
          <w:sz w:val="17"/>
          <w:szCs w:val="17"/>
          <w:color w:val="auto"/>
        </w:rPr>
        <w:t>Even if a potential product displays a favorable efficacy and safety profile in nonclinical and clinical studies, market acceptance of the product will not be fully known until after it is launched. Our efforts to educate the medical community and payors on the benefits of the product candidates require significant resources and may never be successful. If our current and future products fail to achieve an adequate level of acceptance by physicians, patients, payors, and others in the medical community, we will not be able to generate sufficient revenue to become or remain profitable.</w:t>
      </w:r>
    </w:p>
    <w:p>
      <w:pPr>
        <w:spacing w:after="0" w:line="197" w:lineRule="exact"/>
        <w:rPr>
          <w:sz w:val="20"/>
          <w:szCs w:val="20"/>
          <w:color w:val="auto"/>
        </w:rPr>
      </w:pPr>
    </w:p>
    <w:p>
      <w:pPr>
        <w:ind w:right="420"/>
        <w:spacing w:after="0" w:line="352" w:lineRule="auto"/>
        <w:rPr>
          <w:sz w:val="20"/>
          <w:szCs w:val="20"/>
          <w:color w:val="auto"/>
        </w:rPr>
      </w:pPr>
      <w:r>
        <w:rPr>
          <w:rFonts w:ascii="Arial" w:cs="Arial" w:eastAsia="Arial" w:hAnsi="Arial"/>
          <w:sz w:val="16"/>
          <w:szCs w:val="16"/>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ind w:right="80" w:firstLine="509"/>
        <w:spacing w:after="0" w:line="304" w:lineRule="auto"/>
        <w:rPr>
          <w:sz w:val="20"/>
          <w:szCs w:val="20"/>
          <w:color w:val="auto"/>
        </w:rPr>
      </w:pPr>
      <w:r>
        <w:rPr>
          <w:rFonts w:ascii="Arial" w:cs="Arial" w:eastAsia="Arial" w:hAnsi="Arial"/>
          <w:sz w:val="16"/>
          <w:szCs w:val="16"/>
          <w:color w:val="auto"/>
        </w:rPr>
        <w:t>Our target patient populations are small, and accordingly the pricing, coverage, and reimbursement of our products and product candidates, if approved, must be adequate to support our commercial infrastructure. Our per-patient prices must be sufficient to recover our development and manufacturing costs and potentially achieve profitability. We expect the cost of a single administration of gene therapy products, such as those we are developing, to be substantial, when and if they achieve regulatory approval. Accordingly, the availability and adequacy of coverage and reimbursement by governmental and private payors are essential for most patients to afford expensive treatments such as ours, assuming approval. Sales of our products and product candidates, if approved, will depend substantially, both domestically and abroad, on the extent to which their costs will be paid for by health maintenance, managed care, pharmacy benefit, and similar healthcare management organizations, or reimbursed by government authorities, private health insurers, and other payors. If coverage and reimbursement are not available, are available only to limited levels, or are not available on a timely basis, we may not be able to successfully commercialize our products and product candidates, if approved. For example, deteriorating economic conditions and political instability in certain Latin American countries and in Turkey continue to cause us to experience significant delays in receiving approval for reimbursement for our products and consequently impact our product commercialization timelines in such regions. Even if coverage is provided, the approved reimbursement amount may not be high enough to allow us to establish or maintain pricing sufficient to sustain our overall enterprise.</w:t>
      </w:r>
    </w:p>
    <w:p>
      <w:pPr>
        <w:spacing w:after="0" w:line="38" w:lineRule="exact"/>
        <w:rPr>
          <w:sz w:val="20"/>
          <w:szCs w:val="20"/>
          <w:color w:val="auto"/>
        </w:rPr>
      </w:pPr>
    </w:p>
    <w:p>
      <w:pPr>
        <w:ind w:right="100" w:firstLine="509"/>
        <w:spacing w:after="0" w:line="314"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Centers for Medicare &amp; Medicaid Services, or CMS, an agency within the U.S. Department of Health and Human Services, decides whether and to what extent a new drug will be covered and reimbursed under Medicare. Private payors tend to follow the coverage reimbursement policies established by CMS to a substantial degree. It is difficult to predict what CMS or private payors will decide with respect to reimbursement for products such as ours, especially our gene therapy product candidates as there is a limited body of established practices and precedents for gene therapy products.</w:t>
      </w:r>
    </w:p>
    <w:p>
      <w:pPr>
        <w:spacing w:after="0" w:line="25"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will put pressure on the pricing and usage of our products and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58" w:lineRule="exact"/>
        <w:rPr>
          <w:sz w:val="20"/>
          <w:szCs w:val="20"/>
          <w:color w:val="auto"/>
        </w:rPr>
      </w:pPr>
    </w:p>
    <w:p>
      <w:pPr>
        <w:ind w:right="20" w:firstLine="509"/>
        <w:spacing w:after="0" w:line="281"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 products and, as a result, they may not cover or provide adequate payment for our products and product candidates. We expect to experience pricing pressures in connection with the sale of any of our products and product candidates due to the trend toward managed healthcare, the increasing influence of health maintenance organizations, additional legislative changes, and statements by elected officials. For example, proposals have been discussed to tie U.S. drug prices to the cost in other countries, several states in the U.S. have introduced legislation to require pharmaceutical companies to disclose their costs to justify the prices of their products, and an “Affordable Drug Pricing Task-Force” has been formed in the U.S. House of Representatives with the goal of combating the increased costs of prescription drugs. Drug pricing is also expected to remain a focus for the current Presidential Administration and Congress. The downward pressure on healthcare costs in general, and with respect to prescription drugs, surgical procedures, and other treatments in particular, has become very intense. As a result, increasingly high barriers are being erected to the entry of new products.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i w:val="1"/>
          <w:iCs w:val="1"/>
          <w:color w:val="auto"/>
        </w:rPr>
        <w:t>The United Kingdom’s withdrawal from the EU may have a negative effect on our business, global economic conditions, and financial markets.</w:t>
      </w:r>
    </w:p>
    <w:p>
      <w:pPr>
        <w:spacing w:after="0" w:line="127"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On January 30, 2020, the United Kingdom formally withdrew from the EU, commonly referred to as Brexit, and the United Kingdom and EU subsequently entered into a trading agreement effective January 1, 2021. In anticipation of Brexit, we had previously adjusted our product inventory and storage plans and as such, our business and operations to date have not been materially or adversely impacted by Brexit. However, the full effects of Brexit and the impact from the trade agreement and other formal agreements between the United Kingdom and EU that may impact the regulatory framework and supply chain in Europe remain uncertain. For instance, we expect that Brexit could lead to additional processes and steps with respect to certain regulatory applications and activities, which may impact the timing of approvals or result in additional costs. Further, if the United Kingdom were to significantly alter its regulations affecting the biotechnology or pharmaceutical industries, we could face significant additional costs. It may also be time-consuming and expensive for us to alter our internal operations in order to comply with new regulations. Any of these factors could have a material adverse effect on our business, financial condition and results of operations and affect our strategy in the U.K. and EU biotech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If we are unable to obtain and maintain effective patent rights for our products, product candidates, or any future product candidates, we may not be able to compete effectively in our markets.</w:t>
      </w:r>
    </w:p>
    <w:p>
      <w:pPr>
        <w:spacing w:after="0" w:line="35" w:lineRule="exact"/>
        <w:rPr>
          <w:sz w:val="20"/>
          <w:szCs w:val="20"/>
          <w:color w:val="auto"/>
        </w:rPr>
      </w:pPr>
    </w:p>
    <w:p>
      <w:pPr>
        <w:ind w:right="300" w:firstLine="509"/>
        <w:spacing w:after="0" w:line="275"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the intellectual property related to our technologies, our products, and our product candidates. Our success depends in large part on our and our licensors’ ability to obtain and maintain patent and other intellectual property protection in the United States and in other countries with respect to our proprietary technologies, our products, and our product candidates.</w:t>
      </w:r>
    </w:p>
    <w:p>
      <w:pPr>
        <w:spacing w:after="0" w:line="50" w:lineRule="exact"/>
        <w:rPr>
          <w:sz w:val="20"/>
          <w:szCs w:val="20"/>
          <w:color w:val="auto"/>
        </w:rPr>
      </w:pPr>
    </w:p>
    <w:p>
      <w:pPr>
        <w:ind w:right="160" w:firstLine="509"/>
        <w:spacing w:after="0" w:line="296" w:lineRule="auto"/>
        <w:rPr>
          <w:sz w:val="20"/>
          <w:szCs w:val="20"/>
          <w:color w:val="auto"/>
        </w:rPr>
      </w:pPr>
      <w:r>
        <w:rPr>
          <w:rFonts w:ascii="Arial" w:cs="Arial" w:eastAsia="Arial" w:hAnsi="Arial"/>
          <w:sz w:val="17"/>
          <w:szCs w:val="17"/>
          <w:color w:val="auto"/>
        </w:rPr>
        <w:t>We have sought to protect our proprietary position by filing patent applications in the United States and abroad related to our novel technologies, products and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35"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products or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products or product candidates, third parties may challenge their validity, enforceability, or scope, which may result in such patents being narrowed, found unenforceable, or invalidated. Furthermore, even if the patents and patent applications we own or in-license are unchallenged, they may not adequately protect our intellectual property, provide exclusivity for our products or product candidates, or prevent others from designing around our claims. Any of these outcomes could impair our ability to prevent competition from third parties, which may have an adverse impact on our business.</w:t>
      </w:r>
    </w:p>
    <w:p>
      <w:pPr>
        <w:spacing w:after="0" w:line="43" w:lineRule="exact"/>
        <w:rPr>
          <w:sz w:val="20"/>
          <w:szCs w:val="20"/>
          <w:color w:val="auto"/>
        </w:rPr>
      </w:pPr>
    </w:p>
    <w:p>
      <w:pPr>
        <w:ind w:right="220" w:firstLine="509"/>
        <w:spacing w:after="0" w:line="314" w:lineRule="auto"/>
        <w:rPr>
          <w:sz w:val="20"/>
          <w:szCs w:val="20"/>
          <w:color w:val="auto"/>
        </w:rPr>
      </w:pPr>
      <w:r>
        <w:rPr>
          <w:rFonts w:ascii="Arial" w:cs="Arial" w:eastAsia="Arial" w:hAnsi="Arial"/>
          <w:sz w:val="16"/>
          <w:szCs w:val="16"/>
          <w:color w:val="auto"/>
        </w:rPr>
        <w:t>We, independently or together with our licensors, have filed several patent applications covering various aspects of our products or product candidates. We cannot offer any assurances about which, if any, patents will issue, the breadth of any such patent or whether any issued patents will be found invalid and unenforceable or will be threatened by third parties. Any successful opposition to these patents could impair the exclusivity position of our products or deprive us of rights necessary for the successful commercialization of any product candidates that are approved. Further, if we encounter delays in regulatory approvals, the period of time during which we could market a product candidate under patent protection could be reduced.</w:t>
      </w:r>
    </w:p>
    <w:p>
      <w:pPr>
        <w:spacing w:after="0" w:line="25" w:lineRule="exact"/>
        <w:rPr>
          <w:sz w:val="20"/>
          <w:szCs w:val="20"/>
          <w:color w:val="auto"/>
        </w:rPr>
      </w:pPr>
    </w:p>
    <w:p>
      <w:pPr>
        <w:ind w:right="220" w:firstLine="509"/>
        <w:spacing w:after="0" w:line="290" w:lineRule="auto"/>
        <w:rPr>
          <w:sz w:val="20"/>
          <w:szCs w:val="20"/>
          <w:color w:val="auto"/>
        </w:rPr>
      </w:pPr>
      <w:r>
        <w:rPr>
          <w:rFonts w:ascii="Arial" w:cs="Arial" w:eastAsia="Arial" w:hAnsi="Arial"/>
          <w:sz w:val="17"/>
          <w:szCs w:val="17"/>
          <w:color w:val="auto"/>
        </w:rPr>
        <w:t>Our current patents or applications covering methods of use and certain compositions of matter do not provide complete patent protection for our products and product candidates in all territories. For example, there are no issued patents covering the Crysvita composition of matter in Latin America where we have rights to commercialize the compound. Therefore, a competitor could develop the same antibody or a similar antibody as well as other approaches that target FGF23 for potential commercialization in Latin America, subject to any intellectual property rights or regulatory exclusivities awarded to us. If we cannot obtain and maintain effective patent rights for our products or product candidates, we may not be able to compete effectively and our business and results of operations would be harmed.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104" w:lineRule="exact"/>
        <w:rPr>
          <w:sz w:val="20"/>
          <w:szCs w:val="20"/>
          <w:color w:val="auto"/>
        </w:rPr>
      </w:pPr>
    </w:p>
    <w:p>
      <w:pPr>
        <w:ind w:right="240" w:firstLine="509"/>
        <w:spacing w:after="0" w:line="282"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its effective filing date. Although various extensions may be available, the life of a patent, and the protection it affords, is limited. Even if patents covering our product candidates are obtained, once the patent life has expired for a product, we may be open to competition from generic or biosimilar medications.</w:t>
      </w: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6" w:name="page57"/>
    <w:bookmarkEnd w:id="56"/>
    <w:p>
      <w:pPr>
        <w:ind w:right="40" w:firstLine="509"/>
        <w:spacing w:after="0" w:line="271" w:lineRule="auto"/>
        <w:rPr>
          <w:sz w:val="20"/>
          <w:szCs w:val="20"/>
          <w:color w:val="auto"/>
        </w:rPr>
      </w:pPr>
      <w:r>
        <w:rPr>
          <w:rFonts w:ascii="Arial" w:cs="Arial" w:eastAsia="Arial" w:hAnsi="Arial"/>
          <w:sz w:val="18"/>
          <w:szCs w:val="18"/>
          <w:color w:val="auto"/>
        </w:rPr>
        <w:t>Patent term extensions under the Hatch-Waxman Act in the United States and under supplementary protection certificates in Europe may not be available to extend the patent exclusivity term for our products and product candidates, and we cannot provide any assurances that any such patent term extension will be obtained and, if so, for how long. Furthermore, we may not receive an extension if we fail to apply within applicable deadlines, fail to apply prior to expiration of relevant patents or otherwise fail to satisfy applicable requirements. Moreover, the length of the extension could be less than we request. If we do not have sufficient patent terms or regulatory exclusivity to protect our products, our business and results of operations may be adversely affected.</w:t>
      </w:r>
    </w:p>
    <w:p>
      <w:pPr>
        <w:spacing w:after="0" w:line="218"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our issued patents.</w:t>
      </w:r>
    </w:p>
    <w:p>
      <w:pPr>
        <w:spacing w:after="0" w:line="35"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Changes in either the patent laws or interpretation of the patent laws in the United States and other countries may diminish the value of our patents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We therefore cannot be certain that we or our licensors were the first to make the invention claimed in our owned and in-licensed patents or pending applications, or that we or our licensor were the first to file for patent protection of such inventions.</w:t>
      </w:r>
    </w:p>
    <w:p>
      <w:pPr>
        <w:spacing w:after="0" w:line="56" w:lineRule="exact"/>
        <w:rPr>
          <w:sz w:val="20"/>
          <w:szCs w:val="20"/>
          <w:color w:val="auto"/>
        </w:rPr>
      </w:pPr>
    </w:p>
    <w:p>
      <w:pPr>
        <w:ind w:right="120" w:firstLine="509"/>
        <w:spacing w:after="0" w:line="292" w:lineRule="auto"/>
        <w:rPr>
          <w:sz w:val="20"/>
          <w:szCs w:val="20"/>
          <w:color w:val="auto"/>
        </w:rPr>
      </w:pPr>
      <w:r>
        <w:rPr>
          <w:rFonts w:ascii="Arial" w:cs="Arial" w:eastAsia="Arial" w:hAnsi="Arial"/>
          <w:sz w:val="17"/>
          <w:szCs w:val="17"/>
          <w:color w:val="auto"/>
        </w:rPr>
        <w:t>In 2011, the Leahy-Smith America Invents Act (the Leahy-Smith Act) was signed into law and introduced significant changes to the prosecution of U.S. patent applications and to the procedures for challenging U.S. patents. The effects of these changes still remain unclear owing to the evolving nature of the law and the lengthy timelines associated with court system review and interpretation.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1"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products, product candidates, or any future product candidates, we may not be able to compete effectively in our markets.</w:t>
      </w:r>
    </w:p>
    <w:p>
      <w:pPr>
        <w:spacing w:after="0" w:line="35" w:lineRule="exact"/>
        <w:rPr>
          <w:sz w:val="20"/>
          <w:szCs w:val="20"/>
          <w:color w:val="auto"/>
        </w:rPr>
      </w:pPr>
    </w:p>
    <w:p>
      <w:pPr>
        <w:ind w:right="80" w:firstLine="509"/>
        <w:spacing w:after="0" w:line="287"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products or product candidate discovery and development processes that involve proprietary know-how, information, or technology that is not covered by patents. However, trade secrets can be difficult to protect. The confidentiality agreements entered into with our employees, consultants, scientific advisors, and contractors may not be sufficient to protect our proprietary technology and processes. The physical security of our premises and physical and electronic security of our information technology systems may not preserve the integrity and confidentiality of our data and trade secrets.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47" w:lineRule="exact"/>
        <w:rPr>
          <w:sz w:val="20"/>
          <w:szCs w:val="20"/>
          <w:color w:val="auto"/>
        </w:rPr>
      </w:pPr>
    </w:p>
    <w:p>
      <w:pPr>
        <w:ind w:right="40" w:firstLine="509"/>
        <w:spacing w:after="0" w:line="270" w:lineRule="auto"/>
        <w:rPr>
          <w:sz w:val="20"/>
          <w:szCs w:val="20"/>
          <w:color w:val="auto"/>
        </w:rPr>
      </w:pPr>
      <w:r>
        <w:rPr>
          <w:rFonts w:ascii="Arial" w:cs="Arial" w:eastAsia="Arial" w:hAnsi="Arial"/>
          <w:sz w:val="18"/>
          <w:szCs w:val="18"/>
          <w:color w:val="auto"/>
        </w:rPr>
        <w:t>The assignment agreements we enter into with our employees and consultants to assign their inventions to us, and the confidentiality agreements we enter into with our employees, consultants, advisors, and any third parties who have access to our proprietary know-how, information, or technology may not have been duly executed and we cannot assure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Additionally, if the steps taken to maintain our trade secrets are deemed inadequate, we may have insufficient recourse against third parties for misappropriating the trade secret.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of intellectual property infringement may prevent or delay our development and commercialization efforts.</w:t>
      </w:r>
    </w:p>
    <w:p>
      <w:pPr>
        <w:spacing w:after="0" w:line="104"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 xml:space="preserve">Our commercial success depends in part on our avoiding infringement of the patents and proprietary rights of others. There have been many lawsuits and other proceedings involving patent and other intellectual property rights in the biotechnology and pharmaceutical industries, including patent infringement lawsuits, interferences,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post grant reviews, oppositions, and reexamination proceedings before the USPTO and corresponding foreign patent offices. Numerous U.S. and foreign issued patents and pending patent applications, which are owned by other parties, exist in the fields in which we are developing product candidates. As the biotechnology and pharmaceutical industries expand and more patents are issued, the risk increases that our products or product candidates may be subject to claims of infringement of the patent rights of these other parties.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ind w:right="80" w:firstLine="509"/>
        <w:spacing w:after="0" w:line="269" w:lineRule="auto"/>
        <w:rPr>
          <w:sz w:val="20"/>
          <w:szCs w:val="20"/>
          <w:color w:val="auto"/>
        </w:rPr>
      </w:pPr>
      <w:r>
        <w:rPr>
          <w:rFonts w:ascii="Arial" w:cs="Arial" w:eastAsia="Arial" w:hAnsi="Arial"/>
          <w:sz w:val="18"/>
          <w:szCs w:val="18"/>
          <w:color w:val="auto"/>
        </w:rPr>
        <w:t>Other parties may assert that we are employing their proprietary technology without authorization. There may be patents or patent applications with claims to materials, formulations, methods of manufacture, or methods for treatment related to the use or manufacture of our products or product candidates. We have conducted freedom to operate analyses with respect only to our products and certain of our product candidates, and therefore we do not know whether there are any patents of other parties that would impair our ability to commercialize all of our product candidates. We also cannot guarantee that any of our analyses are complete and thorough, nor can we be sure that we have identified each and every patent and pending application in the United States and abroad that is relevant or necessary to the commercialization of our products or product candidates. Because patent applications can take many years to issue, there may be currently pending patent applications that may later result in issued patents that our products or product candidates may infringe.</w:t>
      </w:r>
    </w:p>
    <w:p>
      <w:pPr>
        <w:spacing w:after="0" w:line="61"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We are aware of certain U.S. and foreign patents owned by third parties that a court might construe to be relevant to one or more of our gene therapy product candidates, certain methods that may be used in their manufacture, or certain formulations comprising one or more of our gene therapy candidates. We are also aware of certain U.S. and foreign patents owned by third parties that relate to anti-sclerostin antibodies and their use, and which a court might construe to be relevant to setrusumab. There is a risk that one or more of these third parties may choose to engage in litigation with us to enforce or to otherwise assert their patent rights against us. Even if we believe such claims are without merit, a court of competent jurisdiction could hold that one or more of these patents is valid, enforceable, and infringed, in which case the owners of any such patents may be able to block our ability to commercialize a product candidate unless we obtained a license under the applicable patents, or until such patents expire. However, such a license may not be available on commercially reasonable terms or at all.</w:t>
      </w:r>
    </w:p>
    <w:p>
      <w:pPr>
        <w:spacing w:after="0" w:line="47"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continue commercialization of our products, or block our ability to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15"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We currently have rights to the intellectual property, through licenses from third parties and under patents that we own, to commercialize our product candidates. Because our programs may require the use of proprietary rights held by third parties, the growth of our business will likely depend in part on our ability to acquire, in-license, or use these proprietary rights. For example,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47"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We sometimes collaborate with U.S. and foreign academic institutions to accelerate our preclinical research or development under written agreements with these institutions. Typically, these institutions provide us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56" w:lineRule="exact"/>
        <w:rPr>
          <w:sz w:val="20"/>
          <w:szCs w:val="20"/>
          <w:color w:val="auto"/>
        </w:rPr>
      </w:pPr>
    </w:p>
    <w:p>
      <w:pPr>
        <w:ind w:right="200" w:firstLine="509"/>
        <w:spacing w:after="0" w:line="266"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right="260"/>
        <w:spacing w:after="0" w:line="293" w:lineRule="auto"/>
        <w:rPr>
          <w:sz w:val="20"/>
          <w:szCs w:val="20"/>
          <w:color w:val="auto"/>
        </w:rPr>
      </w:pPr>
      <w:r>
        <w:rPr>
          <w:rFonts w:ascii="Arial" w:cs="Arial" w:eastAsia="Arial" w:hAnsi="Arial"/>
          <w:sz w:val="18"/>
          <w:szCs w:val="18"/>
          <w:b w:val="1"/>
          <w:bCs w:val="1"/>
          <w:i w:val="1"/>
          <w:iCs w:val="1"/>
          <w:color w:val="auto"/>
        </w:rPr>
        <w:t>We may face competition from biosimilars, which may have a material adverse impact on the future commercial prospects of our biological products and product candidates.</w:t>
      </w:r>
    </w:p>
    <w:p>
      <w:pPr>
        <w:spacing w:after="0" w:line="35" w:lineRule="exact"/>
        <w:rPr>
          <w:sz w:val="20"/>
          <w:szCs w:val="20"/>
          <w:color w:val="auto"/>
        </w:rPr>
      </w:pPr>
    </w:p>
    <w:p>
      <w:pPr>
        <w:ind w:right="20" w:firstLine="509"/>
        <w:spacing w:after="0" w:line="305" w:lineRule="auto"/>
        <w:rPr>
          <w:sz w:val="20"/>
          <w:szCs w:val="20"/>
          <w:color w:val="auto"/>
        </w:rPr>
      </w:pPr>
      <w:r>
        <w:rPr>
          <w:rFonts w:ascii="Arial" w:cs="Arial" w:eastAsia="Arial" w:hAnsi="Arial"/>
          <w:sz w:val="16"/>
          <w:szCs w:val="16"/>
          <w:color w:val="auto"/>
        </w:rPr>
        <w:t>Even if we are successful in achieving regulatory approval to commercialize a product candidate faster than our competitors, we may face competition from biosimilars with respect to our biological products (Crysvita and Mepsevii) and our biological product candidates. In the United States, the Biologics Price Competition and Innovation Act of 2009, or BPCI Act, was included in the Affordable Care Act and created an abbreviated approval pathway for biological products that are demonstrated to be “highly similar,” or biosimilar, to or “interchangeable” with an FDA-approved biological product. The BPCI Act prohibits the FDA from approving a biosimilar or interchangeable product that references a brand biological product until 12 years after the licensure of the reference product, but permits submission of an application for a biosimilar or interchangeable product to the FDA four years after the reference product was first licensed. The BPCI Act does not prevent another company from developing a product that is highly similar to the innovative product, generating its own data, and seeking approval. Moreover, it is not known whether the BPCI Act will survive in whole or in part if the Affordable Care Act is repealed by Congress or held unconstitutional by courts. As a result, its ultimate impact, implementation, meaning, and long-term existence are subject to uncertainty. Elimination or modification of the BPCI Act, or changes to the FDA’s interpretation or implementation of the BPCI Act, could have a material adverse effect on the future commercial prospects for our biological products and product candidates.</w:t>
      </w:r>
    </w:p>
    <w:p>
      <w:pPr>
        <w:spacing w:after="0" w:line="34"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In Europe, the European Commission has granted marketing authorizations for several biosimilars pursuant to a set of general and product class-specific guidelines for biosimilar approvals issued over the past few years. In Europe, a competitor may reference data supporting approval of an innovative biological product, but will not be able to get on the market until 10 years after the time of approval of the innovative product. This 10-year marketing exclusivity period will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products.</w:t>
      </w:r>
    </w:p>
    <w:p>
      <w:pPr>
        <w:spacing w:after="0" w:line="41" w:lineRule="exact"/>
        <w:rPr>
          <w:sz w:val="20"/>
          <w:szCs w:val="20"/>
          <w:color w:val="auto"/>
        </w:rPr>
      </w:pPr>
    </w:p>
    <w:p>
      <w:pPr>
        <w:ind w:right="60" w:firstLine="509"/>
        <w:spacing w:after="0" w:line="293" w:lineRule="auto"/>
        <w:rPr>
          <w:sz w:val="20"/>
          <w:szCs w:val="20"/>
          <w:color w:val="auto"/>
        </w:rPr>
      </w:pPr>
      <w:r>
        <w:rPr>
          <w:rFonts w:ascii="Arial" w:cs="Arial" w:eastAsia="Arial" w:hAnsi="Arial"/>
          <w:sz w:val="18"/>
          <w:szCs w:val="18"/>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197"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b w:val="1"/>
          <w:bCs w:val="1"/>
          <w:i w:val="1"/>
          <w:iCs w:val="1"/>
          <w:color w:val="auto"/>
        </w:rPr>
        <w:t>Competitors could enter the market with generic versions of Dojolvi or our small-molecule product candidates, which may result in a material decline in sales of affected products.</w:t>
      </w:r>
    </w:p>
    <w:p>
      <w:pPr>
        <w:spacing w:after="0" w:line="35"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Under the Hatch-Waxman Act, a pharmaceutical manufacturer may file an abbreviated new drug application, or ANDA, seeking approval of a generic copy of an approved innovator product. Under the Hatch-Waxman Act, a manufacturer may also submit an NDA under section 505(b)(2) that references the FDA’s finding of safety and effectiveness of a previously approved drug. A 505(b)(2) NDA product may be for a new or improved version of the original innovator product. Innovative small molecule drugs may be eligible for certain periods of regulatory exclusivity (</w:t>
      </w:r>
      <w:r>
        <w:rPr>
          <w:rFonts w:ascii="Arial" w:cs="Arial" w:eastAsia="Arial" w:hAnsi="Arial"/>
          <w:sz w:val="17"/>
          <w:szCs w:val="17"/>
          <w:i w:val="1"/>
          <w:iCs w:val="1"/>
          <w:color w:val="auto"/>
        </w:rPr>
        <w:t>e.g.</w:t>
      </w:r>
      <w:r>
        <w:rPr>
          <w:rFonts w:ascii="Arial" w:cs="Arial" w:eastAsia="Arial" w:hAnsi="Arial"/>
          <w:sz w:val="17"/>
          <w:szCs w:val="17"/>
          <w:color w:val="auto"/>
        </w:rPr>
        <w:t>, five years for new chemical entities, three years for changes to an approved drug requiring a new clinical study, and seven years for orphan drugs), which preclude FDA approval (or in some circumstances, FDA filing and review of) an ANDA or 505(b)(2) NDA relying on the FDA’s finding of safety and effectiveness for the innovative drug. In addition to the benefits of regulatory exclusivity, an innovator NDA holder may have patents claiming the active ingredient, product formulation or an approved use of the drug, which would be listed with the product in the “Orange Book.” If there are patents listed in the Orange Book, a generic applicant that seeks to market its product before expiration of the patents must include in the ANDA or 505(b)(2)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enforce its patents, approval of the ANDA is stayed for 30 months, or as lengthened or shortened by the court.</w:t>
      </w:r>
    </w:p>
    <w:p>
      <w:pPr>
        <w:spacing w:after="0" w:line="50" w:lineRule="exact"/>
        <w:rPr>
          <w:sz w:val="20"/>
          <w:szCs w:val="20"/>
          <w:color w:val="auto"/>
        </w:rPr>
      </w:pPr>
    </w:p>
    <w:p>
      <w:pPr>
        <w:ind w:right="40" w:firstLine="509"/>
        <w:spacing w:after="0" w:line="296" w:lineRule="auto"/>
        <w:rPr>
          <w:sz w:val="20"/>
          <w:szCs w:val="20"/>
          <w:color w:val="auto"/>
        </w:rPr>
      </w:pPr>
      <w:r>
        <w:rPr>
          <w:rFonts w:ascii="Arial" w:cs="Arial" w:eastAsia="Arial" w:hAnsi="Arial"/>
          <w:sz w:val="17"/>
          <w:szCs w:val="17"/>
          <w:color w:val="auto"/>
        </w:rPr>
        <w:t>Accordingly, competitors could file ANDAs for generic versions of our small-molecule product, Dojolvi, or 505(b)(2) NDAs that reference Dojolvi. For the patents listed for Dojolvi in the Orange Book, those ANDAs and 505(b)(2) NDAs would be required to include a certification as to each listed patent indicating whether the ANDA applicant does or does not intend to challenge the patent. We cannot predict how any generic competitor would address such patents, whether we would sue on any such patents, or the outcome of any such suit.</w:t>
      </w:r>
    </w:p>
    <w:p>
      <w:pPr>
        <w:spacing w:after="0" w:line="35"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more immediately face generic competition and its sales would likely decline materially. Should sales decline, we may have to write off a portion or all of the intangible assets associated with the affected product and our results of operations and cash flows could be materially and adversely affected.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products and product candidates is dependent on third parties.</w:t>
      </w:r>
    </w:p>
    <w:p>
      <w:pPr>
        <w:spacing w:after="0" w:line="104" w:lineRule="exact"/>
        <w:rPr>
          <w:sz w:val="20"/>
          <w:szCs w:val="20"/>
          <w:color w:val="auto"/>
        </w:rPr>
      </w:pPr>
    </w:p>
    <w:p>
      <w:pPr>
        <w:ind w:right="320" w:firstLine="509"/>
        <w:spacing w:after="0" w:line="299" w:lineRule="auto"/>
        <w:rPr>
          <w:sz w:val="20"/>
          <w:szCs w:val="20"/>
          <w:color w:val="auto"/>
        </w:rPr>
      </w:pPr>
      <w:r>
        <w:rPr>
          <w:rFonts w:ascii="Arial" w:cs="Arial" w:eastAsia="Arial" w:hAnsi="Arial"/>
          <w:sz w:val="16"/>
          <w:szCs w:val="16"/>
          <w:color w:val="auto"/>
        </w:rPr>
        <w:t>While we normally seek and gain the right to fully prosecute the patents relating to our products or product candidates, there may be times when patents relating to our products or product candidates are controlled by our licensors. This is the case with our agreement with KKC, who is primarily responsible for the prosecution of certain patents and patent applications covering Crysvita which are licensed to us under the collaboration agreement.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9" w:name="page60"/>
    <w:bookmarkEnd w:id="59"/>
    <w:p>
      <w:pPr>
        <w:ind w:firstLine="509"/>
        <w:spacing w:after="0" w:line="290" w:lineRule="auto"/>
        <w:rPr>
          <w:sz w:val="20"/>
          <w:szCs w:val="20"/>
          <w:color w:val="auto"/>
        </w:rPr>
      </w:pPr>
      <w:r>
        <w:rPr>
          <w:rFonts w:ascii="Arial" w:cs="Arial" w:eastAsia="Arial" w:hAnsi="Arial"/>
          <w:sz w:val="17"/>
          <w:szCs w:val="17"/>
          <w:color w:val="auto"/>
        </w:rPr>
        <w:t>In addition, we have in-licensed patents and patent applications owned by the University of Pennsylvania, relating to the AAV8 vector used in DTX301 and DTX401. These patents and patent applications are licensed or sublicensed by REGENXBIO and sublicensed to us. We do not have the right to control the prosecution of these patent applications, or the maintenance of any of these patents. In addition, under our agreement with REGENXBIO, we do not have the first right to enforce the licensed patents, and our enforcement rights are subject to certain limitations that may adversely impact our ability to use the licensed patents to exclude others from commercializing competitive products. Moreover, REGENXBIO and the University of Pennsylvania may have interests which differ from ours in determining whether and the manner in which to enforce such patents.</w:t>
      </w:r>
    </w:p>
    <w:p>
      <w:pPr>
        <w:spacing w:after="0" w:line="41"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color w:val="auto"/>
        </w:rPr>
        <w:t>If KKC, the University of Pennsylvania, or any of our future licensing partners fail to appropriately prosecute, maintain, and enforce patent protection for the patents covering any of our products or product candidates, our ability to develop and commercialize those products or product candidates may be adversely affected and we may not be able to prevent competitors from making, using, and selling competing products. In addition, even where we now have the right to control patent prosecution of patents and patent applications we have licensed from third parties, we may still be adversely affected or prejudiced by actions or inactions of our licensors and their counsel that took place prior to us assuming control over patent prosecution.</w:t>
      </w:r>
    </w:p>
    <w:p>
      <w:pPr>
        <w:spacing w:after="0" w:line="187" w:lineRule="exact"/>
        <w:rPr>
          <w:sz w:val="20"/>
          <w:szCs w:val="20"/>
          <w:color w:val="auto"/>
        </w:rPr>
      </w:pPr>
    </w:p>
    <w:p>
      <w:pPr>
        <w:ind w:right="20"/>
        <w:spacing w:after="0" w:line="352"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and other rights from third parties or otherwise experience disruptions to our business relationships with our licensors, we could lose license rights that are important to our business.</w:t>
      </w:r>
    </w:p>
    <w:p>
      <w:pPr>
        <w:jc w:val="both"/>
        <w:ind w:right="60" w:firstLine="509"/>
        <w:spacing w:after="0" w:line="290" w:lineRule="auto"/>
        <w:rPr>
          <w:sz w:val="20"/>
          <w:szCs w:val="20"/>
          <w:color w:val="auto"/>
        </w:rPr>
      </w:pPr>
      <w:r>
        <w:rPr>
          <w:rFonts w:ascii="Arial" w:cs="Arial" w:eastAsia="Arial" w:hAnsi="Arial"/>
          <w:sz w:val="17"/>
          <w:szCs w:val="17"/>
          <w:color w:val="auto"/>
        </w:rPr>
        <w:t>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 Additionally, the milestone and other payments associated with these licenses will make it less profitable for us to develop our product candidates.</w:t>
      </w:r>
    </w:p>
    <w:p>
      <w:pPr>
        <w:spacing w:after="0" w:line="41"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In certain cases, we control the prosecution of patents resulting from licensed technology. In the event we breach any of our obligations related to such prosecution, we may incur significant liability to our licensing partners. Licensing of intellectual property is of critical importance to our business and involves complex legal, business, and scientific issues. Disputes may arise regarding intellectual property subject to a licensing agreement, including but not limited to:</w:t>
      </w:r>
    </w:p>
    <w:p>
      <w:pPr>
        <w:spacing w:after="0" w:line="5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scope of rights granted under the license agreement and other interpretation-related issues;</w:t>
      </w:r>
    </w:p>
    <w:p>
      <w:pPr>
        <w:spacing w:after="0" w:line="104" w:lineRule="exact"/>
        <w:rPr>
          <w:sz w:val="20"/>
          <w:szCs w:val="20"/>
          <w:color w:val="auto"/>
        </w:rPr>
      </w:pPr>
    </w:p>
    <w:p>
      <w:pPr>
        <w:ind w:left="840" w:right="120"/>
        <w:spacing w:after="0" w:line="360" w:lineRule="auto"/>
        <w:rPr>
          <w:sz w:val="20"/>
          <w:szCs w:val="20"/>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 the sublicensing of patent and other rights;</w:t>
      </w:r>
    </w:p>
    <w:p>
      <w:pPr>
        <w:ind w:left="840"/>
        <w:spacing w:after="0"/>
        <w:rPr>
          <w:sz w:val="20"/>
          <w:szCs w:val="20"/>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04" w:lineRule="exact"/>
        <w:rPr>
          <w:sz w:val="20"/>
          <w:szCs w:val="20"/>
          <w:color w:val="auto"/>
        </w:rPr>
      </w:pPr>
    </w:p>
    <w:p>
      <w:pPr>
        <w:ind w:left="840" w:right="460"/>
        <w:spacing w:after="0" w:line="293" w:lineRule="auto"/>
        <w:rPr>
          <w:sz w:val="20"/>
          <w:szCs w:val="20"/>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priority of invention of patented technology.</w:t>
      </w:r>
    </w:p>
    <w:p>
      <w:pPr>
        <w:spacing w:after="0" w:line="104" w:lineRule="exact"/>
        <w:rPr>
          <w:sz w:val="20"/>
          <w:szCs w:val="20"/>
          <w:color w:val="auto"/>
        </w:rPr>
      </w:pPr>
    </w:p>
    <w:p>
      <w:pPr>
        <w:ind w:right="840" w:firstLine="509"/>
        <w:spacing w:after="0" w:line="359" w:lineRule="auto"/>
        <w:rPr>
          <w:sz w:val="20"/>
          <w:szCs w:val="20"/>
          <w:color w:val="auto"/>
        </w:rPr>
      </w:pPr>
      <w:r>
        <w:rPr>
          <w:rFonts w:ascii="Arial" w:cs="Arial" w:eastAsia="Arial" w:hAnsi="Arial"/>
          <w:sz w:val="16"/>
          <w:szCs w:val="16"/>
          <w:color w:val="auto"/>
        </w:rPr>
        <w:t>If disputes over intellectual property and other rights that we have licensed prevent or impair our ability to maintain our current licensing arrangements on acceptable terms, we may be unable to successfully develop and commercialize the affected product candidates.</w:t>
      </w:r>
    </w:p>
    <w:p>
      <w:pPr>
        <w:spacing w:after="0" w:line="152"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We may become involved in lawsuits to protect or enforce our patents or the patents of our licensors, or be subject to claims that challenge the inventorship or ownership of our patents or other intellectual property, which could be expensive, time consuming, and result in unfavorable outcomes.</w:t>
      </w:r>
    </w:p>
    <w:p>
      <w:pPr>
        <w:spacing w:after="0" w:line="1" w:lineRule="exact"/>
        <w:rPr>
          <w:sz w:val="20"/>
          <w:szCs w:val="20"/>
          <w:color w:val="auto"/>
        </w:rPr>
      </w:pPr>
    </w:p>
    <w:p>
      <w:pPr>
        <w:ind w:firstLine="509"/>
        <w:spacing w:after="0" w:line="281" w:lineRule="auto"/>
        <w:rPr>
          <w:sz w:val="20"/>
          <w:szCs w:val="20"/>
          <w:color w:val="auto"/>
        </w:rPr>
      </w:pPr>
      <w:r>
        <w:rPr>
          <w:rFonts w:ascii="Arial" w:cs="Arial" w:eastAsia="Arial" w:hAnsi="Arial"/>
          <w:sz w:val="17"/>
          <w:szCs w:val="17"/>
          <w:color w:val="auto"/>
        </w:rPr>
        <w:t>Competitors may infringe our patents or the patents of our licensors. If we or one of our licensing partners were to initiate legal proceedings against a third party to enforce a patent covering our products or one of our product candidates, the defendant could counterclaim that the patent covering our product or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0" w:name="page61"/>
    <w:bookmarkEnd w:id="60"/>
    <w:p>
      <w:pPr>
        <w:ind w:right="60" w:firstLine="509"/>
        <w:spacing w:after="0" w:line="288" w:lineRule="auto"/>
        <w:rPr>
          <w:sz w:val="20"/>
          <w:szCs w:val="20"/>
          <w:color w:val="auto"/>
        </w:rPr>
      </w:pPr>
      <w:r>
        <w:rPr>
          <w:rFonts w:ascii="Arial" w:cs="Arial" w:eastAsia="Arial" w:hAnsi="Arial"/>
          <w:sz w:val="17"/>
          <w:szCs w:val="17"/>
          <w:color w:val="auto"/>
        </w:rPr>
        <w:t>Interference proceedings or derivation proceedings now available under the Leahy-Smith Act provoked by third parties or brought by us or declared or instituted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In addition, the validity of our patents could be challenged in the USPTO by one of the new post grant proceedings (</w:t>
      </w:r>
      <w:r>
        <w:rPr>
          <w:rFonts w:ascii="Arial" w:cs="Arial" w:eastAsia="Arial" w:hAnsi="Arial"/>
          <w:sz w:val="17"/>
          <w:szCs w:val="17"/>
          <w:i w:val="1"/>
          <w:iCs w:val="1"/>
          <w:color w:val="auto"/>
        </w:rPr>
        <w:t>i.e., inter partes</w:t>
      </w:r>
      <w:r>
        <w:rPr>
          <w:rFonts w:ascii="Arial" w:cs="Arial" w:eastAsia="Arial" w:hAnsi="Arial"/>
          <w:sz w:val="17"/>
          <w:szCs w:val="17"/>
          <w:color w:val="auto"/>
        </w:rPr>
        <w:t xml:space="preserve"> review or post grant review) now available under the Leahy-Smith Act. Our defense of litigation, interference proceedings, or post grant proceedings under the Leahy-Smith Act may fail and, even if successful, may result in substantial costs and distract our management and other employees.</w:t>
      </w:r>
    </w:p>
    <w:p>
      <w:pPr>
        <w:spacing w:after="0" w:line="46" w:lineRule="exact"/>
        <w:rPr>
          <w:sz w:val="20"/>
          <w:szCs w:val="20"/>
          <w:color w:val="auto"/>
        </w:rPr>
      </w:pPr>
    </w:p>
    <w:p>
      <w:pPr>
        <w:ind w:right="100" w:firstLine="509"/>
        <w:spacing w:after="0" w:line="272" w:lineRule="auto"/>
        <w:rPr>
          <w:sz w:val="20"/>
          <w:szCs w:val="20"/>
          <w:color w:val="auto"/>
        </w:rPr>
      </w:pPr>
      <w:r>
        <w:rPr>
          <w:rFonts w:ascii="Arial" w:cs="Arial" w:eastAsia="Arial" w:hAnsi="Arial"/>
          <w:sz w:val="18"/>
          <w:szCs w:val="18"/>
          <w:color w:val="auto"/>
        </w:rPr>
        <w:t>We may in the future also be subject to claims that former employees, collaborators, or other third parties have an interest in our patents as an inventor or co-inventor. In addition, we may have ownership disputes arise from conflicting obligations of consultants or others who are involved in developing our product candidates. Litigation may be necessary to defend against these and other claims challenging inventorship or ownership. If we fail to successfully defend against such litigation or claims, in addition to paying monetary damages, we may lose valuable intellectual property rights, such as exclusive ownership of, or right to use, valuable intellectual property.</w:t>
      </w:r>
    </w:p>
    <w:p>
      <w:pPr>
        <w:spacing w:after="0" w:line="218" w:lineRule="exact"/>
        <w:rPr>
          <w:sz w:val="20"/>
          <w:szCs w:val="20"/>
          <w:color w:val="auto"/>
        </w:rPr>
      </w:pPr>
    </w:p>
    <w:p>
      <w:pPr>
        <w:ind w:right="20" w:firstLine="509"/>
        <w:spacing w:after="0" w:line="292" w:lineRule="auto"/>
        <w:rPr>
          <w:sz w:val="20"/>
          <w:szCs w:val="20"/>
          <w:color w:val="auto"/>
        </w:rPr>
      </w:pPr>
      <w:r>
        <w:rPr>
          <w:rFonts w:ascii="Arial" w:cs="Arial" w:eastAsia="Arial" w:hAnsi="Arial"/>
          <w:sz w:val="17"/>
          <w:szCs w:val="17"/>
          <w:color w:val="auto"/>
        </w:rPr>
        <w:t>Even if we are successful in defending against such litigation and claims, such proceedings could result in substantial costs and distract our management and other employees.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related to such litigation or claims. If securities analysts or investors perceive these results to be negative, it could have a material adverse effect on the price of our common stock.</w:t>
      </w:r>
    </w:p>
    <w:p>
      <w:pPr>
        <w:spacing w:after="0" w:line="201" w:lineRule="exact"/>
        <w:rPr>
          <w:sz w:val="20"/>
          <w:szCs w:val="20"/>
          <w:color w:val="auto"/>
        </w:rPr>
      </w:pPr>
    </w:p>
    <w:p>
      <w:pPr>
        <w:ind w:right="60"/>
        <w:spacing w:after="0" w:line="324"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2"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We employ certain individuals who were previously employed at universities or other biotechnology or pharmaceutical companies, including our competitors or potential competitors. Our efforts to vet our employees, consultants, and independent contractors and prevent their use of the proprietary information or know-how of others in their work for us may not be successful, and we may in the future be subject to claims that our employees, consultants, or independent contractors have wrongfully used or disclosed confidential information of third parties.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distract management and other employees.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04" w:lineRule="exact"/>
        <w:rPr>
          <w:sz w:val="20"/>
          <w:szCs w:val="20"/>
          <w:color w:val="auto"/>
        </w:rPr>
      </w:pPr>
    </w:p>
    <w:p>
      <w:pPr>
        <w:ind w:right="20" w:firstLine="509"/>
        <w:spacing w:after="0" w:line="299" w:lineRule="auto"/>
        <w:rPr>
          <w:sz w:val="20"/>
          <w:szCs w:val="20"/>
          <w:color w:val="auto"/>
        </w:rPr>
      </w:pPr>
      <w:r>
        <w:rPr>
          <w:rFonts w:ascii="Arial" w:cs="Arial" w:eastAsia="Arial" w:hAnsi="Arial"/>
          <w:sz w:val="16"/>
          <w:szCs w:val="16"/>
          <w:color w:val="auto"/>
        </w:rPr>
        <w:t xml:space="preserve">As is the case with other biotechnology and pharmaceutical companies, our success is heavily dependent on intellectual property, particularly patents. Obtaining and enforcing patents in the biotechnology and pharmaceutical industries involves both technological and legal complexity. Therefore, obtaining and enforcing such patents is costly, time 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For example, in </w:t>
      </w:r>
      <w:r>
        <w:rPr>
          <w:rFonts w:ascii="Arial" w:cs="Arial" w:eastAsia="Arial" w:hAnsi="Arial"/>
          <w:sz w:val="16"/>
          <w:szCs w:val="16"/>
          <w:i w:val="1"/>
          <w:iCs w:val="1"/>
          <w:color w:val="auto"/>
        </w:rPr>
        <w:t>Association for Molecular Pathology v. Myriad Genetics,</w:t>
      </w:r>
      <w:r>
        <w:rPr>
          <w:rFonts w:ascii="Arial" w:cs="Arial" w:eastAsia="Arial" w:hAnsi="Arial"/>
          <w:sz w:val="16"/>
          <w:szCs w:val="16"/>
          <w:color w:val="auto"/>
        </w:rPr>
        <w:t xml:space="preserve"> </w:t>
      </w:r>
      <w:r>
        <w:rPr>
          <w:rFonts w:ascii="Arial" w:cs="Arial" w:eastAsia="Arial" w:hAnsi="Arial"/>
          <w:sz w:val="16"/>
          <w:szCs w:val="16"/>
          <w:i w:val="1"/>
          <w:iCs w:val="1"/>
          <w:color w:val="auto"/>
        </w:rPr>
        <w:t>Inc.</w:t>
      </w:r>
      <w:r>
        <w:rPr>
          <w:rFonts w:ascii="Arial" w:cs="Arial" w:eastAsia="Arial" w:hAnsi="Arial"/>
          <w:sz w:val="16"/>
          <w:szCs w:val="16"/>
          <w:color w:val="auto"/>
        </w:rPr>
        <w:t>, the Supreme Court ruled that a “naturally occurring DNA segment is a product of nature and not patent eligible merely because it has been isolated,”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invalidating Myriad Genetics’ patents on the BRCA1 and BRCA2 genes. Certain claims of our licensed U.S. patents covering DTX301 and DTX401 relate to isolated AAV8 vectors, capsid proteins, or nucleic acids. To the extent that such claims are deemed to be directed to natural products, or to lack an inventive concept above and beyond an isolated natural product, a court may decide the claims are invalid under </w:t>
      </w:r>
      <w:r>
        <w:rPr>
          <w:rFonts w:ascii="Arial" w:cs="Arial" w:eastAsia="Arial" w:hAnsi="Arial"/>
          <w:sz w:val="16"/>
          <w:szCs w:val="16"/>
          <w:i w:val="1"/>
          <w:iCs w:val="1"/>
          <w:color w:val="auto"/>
        </w:rPr>
        <w:t>Myriad</w:t>
      </w:r>
      <w:r>
        <w:rPr>
          <w:rFonts w:ascii="Arial" w:cs="Arial" w:eastAsia="Arial" w:hAnsi="Arial"/>
          <w:sz w:val="16"/>
          <w:szCs w:val="16"/>
          <w:color w:val="auto"/>
        </w:rPr>
        <w:t>.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ind w:right="60" w:firstLine="509"/>
        <w:spacing w:after="0" w:line="306" w:lineRule="auto"/>
        <w:rPr>
          <w:sz w:val="20"/>
          <w:szCs w:val="20"/>
          <w:color w:val="auto"/>
        </w:rPr>
      </w:pPr>
      <w:r>
        <w:rPr>
          <w:rFonts w:ascii="Arial" w:cs="Arial" w:eastAsia="Arial" w:hAnsi="Arial"/>
          <w:sz w:val="16"/>
          <w:szCs w:val="16"/>
          <w:color w:val="auto"/>
        </w:rPr>
        <w:t>Filing, prosecuting, and defending patents on our products or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Further, licensing partners such as KKC may not prosecute patents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also export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35" w:lineRule="exact"/>
        <w:rPr>
          <w:sz w:val="20"/>
          <w:szCs w:val="20"/>
          <w:color w:val="auto"/>
        </w:rPr>
      </w:pPr>
    </w:p>
    <w:p>
      <w:pPr>
        <w:ind w:right="40" w:firstLine="509"/>
        <w:spacing w:after="0" w:line="26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35"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Actual or threatened public health epidemics or outbreaks, including the ongoing COVID-19 pandemic, have and could again materially and adversely impact our business and operating results.</w:t>
      </w:r>
    </w:p>
    <w:p>
      <w:pPr>
        <w:spacing w:after="0" w:line="62"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8"/>
          <w:szCs w:val="18"/>
          <w:color w:val="auto"/>
        </w:rPr>
        <w:t>A public health epidemic or outbreak, and the public and governmental efforts to mitigate the spread of such disease, could materially and adversely impact the commercialization of our products, development and regulatory approval of our product candidates and our clinical trial operations and significantly disrupt our business operations as well as those of our third party suppliers, CRO and collaboration partners that we rely on. In December 2019, a new strain of novel coronavirus (COVID-19) emerged in Wuhan, Hubei Province, China. In March 2020, the World Health Organization declared COVID-19 a pandemic.</w:t>
      </w:r>
    </w:p>
    <w:p>
      <w:pPr>
        <w:spacing w:after="0" w:line="56"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auto"/>
        </w:rPr>
        <w:t>Our clinical trial activities, including the initiation and completion of such activities and the timing thereof, have been and are expected to continue to be significantly delayed or disrupted by COVID-19. For instance, enrollment of patients in certain of our clinical trials for our gene therapy product candidates have been disrupted and dosing was delayed in one of our trials. Changes in local regulations in response to COVID-19 have also required us to change the way our clinical trials are conducted and certain data from our clinical trials were delayed as a result. Further, healthcare resources have been and may continue to be diverted away from the conduct of clinical trials, such as the diversion of hospitals serving as our clinical trial sites, in response to the COVID-19 pandemic. We have also had difficulties in recruiting clinical site investigators and clinical staff for our studies, and may continue to experience such difficulties. Any of these events, including if we are required to initiate new or additional sites in response to such events, could require us to incur substantial increased expenses, delay the development and commercialization of our product candidates, delay the timing of anticipated data releases, and impact our operating results.</w:t>
      </w:r>
    </w:p>
    <w:p>
      <w:pPr>
        <w:spacing w:after="0" w:line="43" w:lineRule="exact"/>
        <w:rPr>
          <w:sz w:val="20"/>
          <w:szCs w:val="20"/>
          <w:color w:val="auto"/>
        </w:rPr>
      </w:pPr>
    </w:p>
    <w:p>
      <w:pPr>
        <w:ind w:right="20" w:firstLine="464"/>
        <w:spacing w:after="0" w:line="286" w:lineRule="auto"/>
        <w:rPr>
          <w:sz w:val="20"/>
          <w:szCs w:val="20"/>
          <w:color w:val="auto"/>
        </w:rPr>
      </w:pPr>
      <w:r>
        <w:rPr>
          <w:rFonts w:ascii="Arial" w:cs="Arial" w:eastAsia="Arial" w:hAnsi="Arial"/>
          <w:sz w:val="17"/>
          <w:szCs w:val="17"/>
          <w:color w:val="auto"/>
        </w:rPr>
        <w:t>The COVID-19 pandemic has also impacted the timing of review of our submissions and may continue to do so in the future. For example, the FDA has delayed certain key meetings or discussions with us related to one of our product candidates, which adversely impacted the progression of our clinical study for such product candidate. The pandemic has also significantly impacted our commercialization efforts for our products. Social distancing measures and travel limitations have prevented our field sales and medical teams from meeting with health care professionals, customers and patients in person and it has become increasingly difficult to maintain consistent contact with our current patients or identify new patients for our commercialized products and product candidates. Further, certain of our patients may experience interruptions in insurance coverage due to job loss or change in employment status due to the economic impact from the pandemic, which would limit patient access to our products. Effects from government budgetary constraints, either in the United States or internationally, due to the economic impact of the pandemic, such as changes to state coverage rules under Medicaid programs in the United States, could also impact continued insurance coverage and reimbursement for our products. Any of these events could impact our ability to commercialize our products and adversely affect our operating results and revenue.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2" w:name="page63"/>
    <w:bookmarkEnd w:id="62"/>
    <w:p>
      <w:pPr>
        <w:jc w:val="both"/>
        <w:ind w:firstLine="464"/>
        <w:spacing w:after="0" w:line="306" w:lineRule="auto"/>
        <w:rPr>
          <w:sz w:val="20"/>
          <w:szCs w:val="20"/>
          <w:color w:val="auto"/>
        </w:rPr>
      </w:pPr>
      <w:r>
        <w:rPr>
          <w:rFonts w:ascii="Arial" w:cs="Arial" w:eastAsia="Arial" w:hAnsi="Arial"/>
          <w:sz w:val="16"/>
          <w:szCs w:val="16"/>
          <w:color w:val="auto"/>
        </w:rPr>
        <w:t>We have experienced delays in delivery of ancillary clinical trial materials due to government-imposed mandates and other restrictions from COVID-19 and may in the future experience delays or interruptions in supply of drug product or raw materials, or incur increased costs or expenses. For instance, the Presidential Executive Order invoking the Defense Production Act of 1950 has caused certain of our third party manufacturers or suppliers to prioritize and allocate more resources and capacity to supply materials to other companies engaged in the study or manufacture of treatments or vaccinations for COVID-19, which has resulted in delays or shortages in supply of such materials to us. Any of these events could adversely impact our clinical trial activities and our ability to meet commercial demand for our product and product candidates and result in loss of revenue. In response to these events, we continue to seek and secure alternative sources of supply of drug product or raw materials in an attempt to avoid future potential delays in supply of product, which may result in additional expenses. We have also experienced interruptions or delays in sourcing certain equipment, materials and resources, and increased costs for certain raw materials, related to construction of our gene therapy manufacturing facility as a result of COVID-19, which could delay the anticipated timing for completion of the plant or result in significant additional expenses.</w:t>
      </w:r>
    </w:p>
    <w:p>
      <w:pPr>
        <w:spacing w:after="0" w:line="30" w:lineRule="exact"/>
        <w:rPr>
          <w:sz w:val="20"/>
          <w:szCs w:val="20"/>
          <w:color w:val="auto"/>
        </w:rPr>
      </w:pPr>
    </w:p>
    <w:p>
      <w:pPr>
        <w:jc w:val="both"/>
        <w:ind w:firstLine="464"/>
        <w:spacing w:after="0" w:line="306" w:lineRule="auto"/>
        <w:rPr>
          <w:sz w:val="20"/>
          <w:szCs w:val="20"/>
          <w:color w:val="auto"/>
        </w:rPr>
      </w:pPr>
      <w:r>
        <w:rPr>
          <w:rFonts w:ascii="Arial" w:cs="Arial" w:eastAsia="Arial" w:hAnsi="Arial"/>
          <w:sz w:val="16"/>
          <w:szCs w:val="16"/>
          <w:color w:val="auto"/>
        </w:rPr>
        <w:t>In an effort to protect the health of our employees, their families and our communities, we have restricted access to our facilities to personnel and third parties who must perform critical activities that must be completed on-site, limited the number of such personnel that can be present at our facilities at any one time, and requested that most of our personnel work remotely, including significant limitations on access to our laboratory space. As vaccines against COVID-19 become more widely available, we have eased restrictions to our facilities and allowed our employees the option to return to work on-site. The safety protocols we implement as our employees return to work may not prevent employees from contracting COVID-19. If members of our management and other key personnel in critical functions across our organization are unable to perform their duties or have limited availability due to illness from COVID-19, we may not be able to execute on our business strategy and/or our operations may be negatively impacted. Further, as our offices reopen, we plan to offer a significant percentage of our employees flexibility in the amount of time they work in the office. Our new office model and any adjustments to our remote working arrangements, including any vaccination policies or other workforce actions taken in response to the COVID-19 pandemic, may not meet the expectations of our workforce, which could adversely impact our ability to attract and retain certain employees.</w:t>
      </w:r>
    </w:p>
    <w:p>
      <w:pPr>
        <w:spacing w:after="0" w:line="30" w:lineRule="exact"/>
        <w:rPr>
          <w:sz w:val="20"/>
          <w:szCs w:val="20"/>
          <w:color w:val="auto"/>
        </w:rPr>
      </w:pPr>
    </w:p>
    <w:p>
      <w:pPr>
        <w:jc w:val="both"/>
        <w:ind w:firstLine="464"/>
        <w:spacing w:after="0" w:line="287" w:lineRule="auto"/>
        <w:rPr>
          <w:sz w:val="20"/>
          <w:szCs w:val="20"/>
          <w:color w:val="auto"/>
        </w:rPr>
      </w:pPr>
      <w:r>
        <w:rPr>
          <w:rFonts w:ascii="Arial" w:cs="Arial" w:eastAsia="Arial" w:hAnsi="Arial"/>
          <w:sz w:val="17"/>
          <w:szCs w:val="17"/>
          <w:color w:val="auto"/>
        </w:rPr>
        <w:t xml:space="preserve">The COVID-19 pandemic has negatively impacted the global economy, disrupted global supply chains and created significant volatility and disruption of financial markets, which could adversely impact our operating results. For instance, delays or defaults in payments by our customer and third-party partners could adversely impact our accounts receivables. The value of our investments currently held in a variety of accounts could also be negatively impacted by the volatility in certain markets, such as the fixed income market, and impact our sources of liquidity. The stock market in general and the stock price of biopharmaceutical companies, in particular, have also experienced extreme price and volume fluctuations. Broad market and industry factors, including worsening economic conditions or a recession resulting from the ongoing COVID-19 pandemic, may adversely impact the value of our common stock and our ability to raise capital. </w:t>
      </w:r>
      <w:r>
        <w:rPr>
          <w:rFonts w:ascii="Arial" w:cs="Arial" w:eastAsia="Arial" w:hAnsi="Arial"/>
          <w:sz w:val="17"/>
          <w:szCs w:val="17"/>
          <w:color w:val="212529"/>
        </w:rPr>
        <w:t>If we do raise additional capital and issue equity securities when the value of our common stock is depressed,</w:t>
      </w:r>
      <w:r>
        <w:rPr>
          <w:rFonts w:ascii="Arial" w:cs="Arial" w:eastAsia="Arial" w:hAnsi="Arial"/>
          <w:sz w:val="17"/>
          <w:szCs w:val="17"/>
          <w:color w:val="auto"/>
        </w:rPr>
        <w:t xml:space="preserve"> </w:t>
      </w:r>
      <w:r>
        <w:rPr>
          <w:rFonts w:ascii="Arial" w:cs="Arial" w:eastAsia="Arial" w:hAnsi="Arial"/>
          <w:sz w:val="17"/>
          <w:szCs w:val="17"/>
          <w:color w:val="212529"/>
        </w:rPr>
        <w:t>the dilutive impact on our stockholders may be greater compared to when the value of our common stock is higher.</w:t>
      </w:r>
    </w:p>
    <w:p>
      <w:pPr>
        <w:spacing w:after="0" w:line="47" w:lineRule="exact"/>
        <w:rPr>
          <w:sz w:val="20"/>
          <w:szCs w:val="20"/>
          <w:color w:val="auto"/>
        </w:rPr>
      </w:pPr>
    </w:p>
    <w:p>
      <w:pPr>
        <w:jc w:val="both"/>
        <w:ind w:firstLine="464"/>
        <w:spacing w:after="0" w:line="269" w:lineRule="auto"/>
        <w:rPr>
          <w:sz w:val="20"/>
          <w:szCs w:val="20"/>
          <w:color w:val="auto"/>
        </w:rPr>
      </w:pPr>
      <w:r>
        <w:rPr>
          <w:rFonts w:ascii="Arial" w:cs="Arial" w:eastAsia="Arial" w:hAnsi="Arial"/>
          <w:sz w:val="18"/>
          <w:szCs w:val="18"/>
          <w:color w:val="auto"/>
        </w:rPr>
        <w:t>The COVID-19 pandemic has already impacted our operations and those of our third-party partners. The magnitude and extent to which the outbreak may impact or continue to impact our business operations, clinical trial activities, product candidate approvals, supply chain and commercialization of our products and product candidates will continue to remain highly dependent on future developments, which are very uncertain and cannot be predicted with confidence, such as the duration of the outbreak, the scope and magnitude of any resurgence in the outbreak due to virus mutations such as the delta variant or other factors, the efficacy of treatments and vaccines against virus mutations, the public acceptance of vaccines, the duration of, or implementation of additional, restrictions to contain the outbreak and the effectiveness of other actions taken in the United States and other countries to contain and address the pandemic. This pandemic also amplifies many of the other risks described throughout the “Risk Factors” section of this Quarterly Report on Form 10-Q.</w:t>
      </w:r>
    </w:p>
    <w:p>
      <w:pPr>
        <w:spacing w:after="0" w:line="223"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b w:val="1"/>
          <w:bCs w:val="1"/>
          <w:i w:val="1"/>
          <w:iCs w:val="1"/>
          <w:color w:val="auto"/>
        </w:rPr>
        <w:t>Our future success depends in part on our ability to retain our Founder, President, and Chief Executive Officer and to attract, retain, and motivate other qualified personnel.</w:t>
      </w:r>
    </w:p>
    <w:p>
      <w:pPr>
        <w:spacing w:after="0" w:line="35" w:lineRule="exact"/>
        <w:rPr>
          <w:sz w:val="20"/>
          <w:szCs w:val="20"/>
          <w:color w:val="auto"/>
        </w:rPr>
      </w:pPr>
    </w:p>
    <w:p>
      <w:pPr>
        <w:ind w:right="20" w:firstLine="509"/>
        <w:spacing w:after="0" w:line="299" w:lineRule="auto"/>
        <w:rPr>
          <w:sz w:val="20"/>
          <w:szCs w:val="20"/>
          <w:color w:val="auto"/>
        </w:rPr>
      </w:pPr>
      <w:r>
        <w:rPr>
          <w:rFonts w:ascii="Arial" w:cs="Arial" w:eastAsia="Arial" w:hAnsi="Arial"/>
          <w:sz w:val="16"/>
          <w:szCs w:val="16"/>
          <w:color w:val="auto"/>
        </w:rPr>
        <w:t>We are dependent on Emil D. Kakkis, M.D., Ph.D., our Founder, President, and Chief Executive Officer, the loss of whose services may adversely impact the achievement of our objectives. Dr. Kakkis could leave our employment at any time, as he is an “at will” employee. Recruiting and retaining other qualified employees, consultants, and advisors for our business, including scientific and technical personnel, will also be critical to our success. There is currently a shortage of skilled personnel in our industry, which is likely to continue. As a result, competition for skilled personnel is intense and the turnover rate can be high. Our investments and efforts in human capital management may not attract and retain personnel on acceptable terms given the competition among numerous pharmaceutical and biotechnology companies for individuals with similar skill sets. In addition, failure to succeed in preclinical or clinical studies may make it more challenging to recruit and retain qualified personnel. The inability to recruit and retain qualified personnel, or the loss of the services of Dr. Kakkis, may impede the progress of our research, development, and commercialization objectives.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ind w:right="560"/>
        <w:spacing w:after="0" w:line="293" w:lineRule="auto"/>
        <w:rPr>
          <w:sz w:val="20"/>
          <w:szCs w:val="20"/>
          <w:color w:val="auto"/>
        </w:rPr>
      </w:pPr>
      <w:r>
        <w:rPr>
          <w:rFonts w:ascii="Arial" w:cs="Arial" w:eastAsia="Arial" w:hAnsi="Arial"/>
          <w:sz w:val="18"/>
          <w:szCs w:val="18"/>
          <w:b w:val="1"/>
          <w:bCs w:val="1"/>
          <w:i w:val="1"/>
          <w:iCs w:val="1"/>
          <w:color w:val="auto"/>
        </w:rPr>
        <w:t>If we fail to obtain or maintain orphan drug exclusivity for our products, our competitors may sell products to treat the same conditions and our revenue will be reduced.</w:t>
      </w:r>
    </w:p>
    <w:p>
      <w:pPr>
        <w:spacing w:after="0" w:line="35"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Our business strategy focuses on the development of drugs that are eligible for FDA and EU orphan drug designation. 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28"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Because the extent and scope of patent protection for our products may in some cases be limited, orphan drug designation is especially important for our products for which orphan drug designation may be available. For eligible drugs, we plan to rely on the exclusivity period under the Orphan Drug Act to maintain a competitive position. If we do not obtain orphan drug exclusivity for our drug products and biologic products that do not have broad patent protection, our competitors may then sell the same drug to treat the same condition sooner than if we had obtained orphan drug exclusivity, and our revenue will be reduced.</w:t>
      </w:r>
    </w:p>
    <w:p>
      <w:pPr>
        <w:spacing w:after="0" w:line="56"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Even though we have orphan drug designation for Dojolvi for the treatment of fatty acid oxidation disorders in the United States and for various subtypes of LC-FAOD in Europe, as well as for Crysvita, Mepsevii, DTX301, DTX401 and UX701 in the United States and Europe, we may not be the first to obtain marketing approval for any particular orphan indication due to the uncertainties associated with developing pharmaceutical products. Further, even if we obtain orphan drug exclusivity for a product, that exclusivity may not effectively protect the product from competition because different drugs with different active moieties can be approved for the same condition or the same drug can be approved for a different indication unless there are other exclusivities such as new chemical entity exclusivity preventing such approval. Even after an orphan drug is approved, the FDA or EMA can subsequently approve the same drug with the same active moiety for the same condition if the FDA or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would be adversely impacted if our intangible assets become impaired.</w:t>
      </w:r>
    </w:p>
    <w:p>
      <w:pPr>
        <w:spacing w:after="0" w:line="104" w:lineRule="exact"/>
        <w:rPr>
          <w:sz w:val="20"/>
          <w:szCs w:val="20"/>
          <w:color w:val="auto"/>
        </w:rPr>
      </w:pPr>
    </w:p>
    <w:p>
      <w:pPr>
        <w:ind w:firstLine="469"/>
        <w:spacing w:after="0" w:line="270" w:lineRule="auto"/>
        <w:rPr>
          <w:sz w:val="20"/>
          <w:szCs w:val="20"/>
          <w:color w:val="auto"/>
        </w:rPr>
      </w:pPr>
      <w:r>
        <w:rPr>
          <w:rFonts w:ascii="Arial" w:cs="Arial" w:eastAsia="Arial" w:hAnsi="Arial"/>
          <w:sz w:val="18"/>
          <w:szCs w:val="18"/>
          <w:color w:val="auto"/>
        </w:rPr>
        <w:t>As a result of the accounting for our acquisition of Dimension Therapeutics, Inc. (Dimension) in November 2017, we have recorded on our balance sheet intangible assets for in-process research and development (IPR&amp;D) related to DTX301 and DTX401. Following the FDA approval of Dojolvi in June 2020, we have also recorded contract-based intangible assets related to our license from third parties for certain assets related to the product. We test the intangible assets for impairment annually during the fourth quarter and more frequently if events or changes in circumstances indicate that it is more likely than not that the asset is impaired. If the associated research and development effort is abandoned, the related assets will be written-off and we will record a noncash impairment loss on our Condensed Consolidated Statement of Operations. We have not recorded any impairments related to our intangible assets through the end of September 30, 2021.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license, discover, develop, or commercialize additional product candidates.</w:t>
      </w:r>
    </w:p>
    <w:p>
      <w:pPr>
        <w:spacing w:after="0" w:line="104"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The success of our business depends upon our ability to identify, license, discover, develop, or commercialize additional product candidates in addition to the continued clinical testing, potential approval, and commercialization of our existing product candidates. Research programs to identify and develop new product candidates, such as those under our collaboration with Arcturus,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56" w:lineRule="exact"/>
        <w:rPr>
          <w:sz w:val="20"/>
          <w:szCs w:val="20"/>
          <w:color w:val="auto"/>
        </w:rPr>
      </w:pPr>
    </w:p>
    <w:p>
      <w:pPr>
        <w:ind w:left="840" w:right="720"/>
        <w:spacing w:after="0" w:line="293" w:lineRule="auto"/>
        <w:rPr>
          <w:sz w:val="20"/>
          <w:szCs w:val="20"/>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35" w:lineRule="exact"/>
        <w:rPr>
          <w:sz w:val="20"/>
          <w:szCs w:val="20"/>
          <w:color w:val="auto"/>
        </w:rPr>
      </w:pPr>
    </w:p>
    <w:p>
      <w:pPr>
        <w:ind w:left="840" w:right="780"/>
        <w:spacing w:after="0" w:line="293" w:lineRule="auto"/>
        <w:rPr>
          <w:sz w:val="20"/>
          <w:szCs w:val="20"/>
          <w:color w:val="auto"/>
        </w:rPr>
      </w:pPr>
      <w:r>
        <w:rPr>
          <w:rFonts w:ascii="Arial" w:cs="Arial" w:eastAsia="Arial" w:hAnsi="Arial"/>
          <w:sz w:val="18"/>
          <w:szCs w:val="18"/>
          <w:color w:val="auto"/>
        </w:rPr>
        <w:t>we may not be able or willing to assemble sufficient technical, financial or human resources to acquire or discover additional product candidates;</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may face competition in obtaining and/or developing additional product candidates;</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product candidates may not succeed in research, discovery, preclinical or clinical testing;</w:t>
      </w:r>
    </w:p>
    <w:p>
      <w:pPr>
        <w:spacing w:after="0" w:line="104" w:lineRule="exact"/>
        <w:rPr>
          <w:sz w:val="20"/>
          <w:szCs w:val="20"/>
          <w:color w:val="auto"/>
        </w:rPr>
      </w:pPr>
    </w:p>
    <w:p>
      <w:pPr>
        <w:ind w:left="840" w:right="480"/>
        <w:spacing w:after="0" w:line="293" w:lineRule="auto"/>
        <w:rPr>
          <w:sz w:val="20"/>
          <w:szCs w:val="20"/>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competitors may develop alternatives that render our product candidates obsolete or less attractive;</w:t>
      </w:r>
    </w:p>
    <w:p>
      <w:pPr>
        <w:spacing w:after="0" w:line="104" w:lineRule="exact"/>
        <w:rPr>
          <w:sz w:val="20"/>
          <w:szCs w:val="20"/>
          <w:color w:val="auto"/>
        </w:rPr>
      </w:pPr>
    </w:p>
    <w:p>
      <w:pPr>
        <w:ind w:left="5540" w:right="3380" w:hanging="4692"/>
        <w:spacing w:after="0" w:line="293" w:lineRule="auto"/>
        <w:rPr>
          <w:sz w:val="20"/>
          <w:szCs w:val="20"/>
          <w:color w:val="auto"/>
        </w:rPr>
      </w:pPr>
      <w:r>
        <w:rPr>
          <w:rFonts w:ascii="Arial" w:cs="Arial" w:eastAsia="Arial" w:hAnsi="Arial"/>
          <w:sz w:val="18"/>
          <w:szCs w:val="18"/>
          <w:color w:val="auto"/>
        </w:rPr>
        <w:t>product candidates we develop may be covered by third parties’ patents or other exclusive rights;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64" w:name="page65"/>
    <w:bookmarkEnd w:id="64"/>
    <w:p>
      <w:pPr>
        <w:ind w:left="840" w:right="280"/>
        <w:spacing w:after="0" w:line="381" w:lineRule="auto"/>
        <w:rPr>
          <w:sz w:val="20"/>
          <w:szCs w:val="20"/>
          <w:color w:val="auto"/>
        </w:rPr>
      </w:pPr>
      <w:r>
        <w:rPr>
          <w:rFonts w:ascii="Arial" w:cs="Arial" w:eastAsia="Arial" w:hAnsi="Arial"/>
          <w:sz w:val="17"/>
          <w:szCs w:val="17"/>
          <w:color w:val="auto"/>
        </w:rPr>
        <w:t>the market for a product candidate may change during our program so that such a product may become unreasonable to continue to develop; a product candidate may not be capable of being produced in commercial quantities at an acceptable cost or at all; and</w:t>
      </w:r>
    </w:p>
    <w:p>
      <w:pPr>
        <w:jc w:val="center"/>
        <w:ind w:right="60"/>
        <w:spacing w:after="0"/>
        <w:rPr>
          <w:sz w:val="20"/>
          <w:szCs w:val="20"/>
          <w:color w:val="auto"/>
        </w:rPr>
      </w:pPr>
      <w:r>
        <w:rPr>
          <w:rFonts w:ascii="Arial" w:cs="Arial" w:eastAsia="Arial" w:hAnsi="Arial"/>
          <w:sz w:val="18"/>
          <w:szCs w:val="18"/>
          <w:color w:val="auto"/>
        </w:rPr>
        <w:t>a product candidate may not be accepted as safe and effective by regulatory authorities, patients, the medical community, or payors.</w:t>
      </w:r>
    </w:p>
    <w:p>
      <w:pPr>
        <w:spacing w:after="0" w:line="104" w:lineRule="exact"/>
        <w:rPr>
          <w:sz w:val="20"/>
          <w:szCs w:val="20"/>
          <w:color w:val="auto"/>
        </w:rPr>
      </w:pPr>
    </w:p>
    <w:p>
      <w:pPr>
        <w:ind w:right="280" w:firstLine="509"/>
        <w:spacing w:after="0" w:line="279"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or we may not be able to identify, license, discover, develop, or commercialize additional product candidates, which would have a material adverse effect on our business and could potentially cause us to cease operations.</w:t>
      </w:r>
    </w:p>
    <w:p>
      <w:pPr>
        <w:spacing w:after="0" w:line="210" w:lineRule="exact"/>
        <w:rPr>
          <w:sz w:val="20"/>
          <w:szCs w:val="20"/>
          <w:color w:val="auto"/>
        </w:rPr>
      </w:pPr>
    </w:p>
    <w:p>
      <w:pPr>
        <w:ind w:right="620"/>
        <w:spacing w:after="0" w:line="324" w:lineRule="auto"/>
        <w:rPr>
          <w:sz w:val="20"/>
          <w:szCs w:val="20"/>
          <w:color w:val="auto"/>
        </w:rPr>
      </w:pPr>
      <w:r>
        <w:rPr>
          <w:rFonts w:ascii="Arial" w:cs="Arial" w:eastAsia="Arial" w:hAnsi="Arial"/>
          <w:sz w:val="17"/>
          <w:szCs w:val="17"/>
          <w:b w:val="1"/>
          <w:bCs w:val="1"/>
          <w:i w:val="1"/>
          <w:iCs w:val="1"/>
          <w:color w:val="212529"/>
        </w:rPr>
        <w:t>We may expend our limited resources to pursue a particular product, product candidate or indication and fail to capitalize on products, product candidates or indications that may be more profitable or for which there is a greater likelihood of success.</w:t>
      </w:r>
    </w:p>
    <w:p>
      <w:pPr>
        <w:spacing w:after="0" w:line="161" w:lineRule="exact"/>
        <w:rPr>
          <w:sz w:val="20"/>
          <w:szCs w:val="20"/>
          <w:color w:val="auto"/>
        </w:rPr>
      </w:pPr>
    </w:p>
    <w:p>
      <w:pPr>
        <w:ind w:firstLine="749"/>
        <w:spacing w:after="0" w:line="287" w:lineRule="auto"/>
        <w:rPr>
          <w:sz w:val="20"/>
          <w:szCs w:val="20"/>
          <w:color w:val="auto"/>
        </w:rPr>
      </w:pPr>
      <w:r>
        <w:rPr>
          <w:rFonts w:ascii="Arial" w:cs="Arial" w:eastAsia="Arial" w:hAnsi="Arial"/>
          <w:sz w:val="17"/>
          <w:szCs w:val="17"/>
          <w:color w:val="212529"/>
        </w:rPr>
        <w:t xml:space="preserve">Because we have limited financial and managerial resources, we focus our sales, marketing and research programs on certain products, product candidates or for specific indications. As a result, we may forego or delay pursuit of opportunities with other products or product candidates 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may not yield any commercially viable products. If we do not accurately evaluate the commercial potential or target market for a particular product or product candidate, we may relinquish valuable rights through collaboration, licensing, or other royalty arrangements in cases in which it would have been advantageous for us to retain sole development and commercialization rights or </w:t>
      </w:r>
      <w:r>
        <w:rPr>
          <w:rFonts w:ascii="Arial" w:cs="Arial" w:eastAsia="Arial" w:hAnsi="Arial"/>
          <w:sz w:val="17"/>
          <w:szCs w:val="17"/>
          <w:color w:val="000000"/>
        </w:rPr>
        <w:t>we may allocate internal resources to a product candidate in a therapeutic area in which it would</w:t>
      </w:r>
      <w:r>
        <w:rPr>
          <w:rFonts w:ascii="Arial" w:cs="Arial" w:eastAsia="Arial" w:hAnsi="Arial"/>
          <w:sz w:val="17"/>
          <w:szCs w:val="17"/>
          <w:color w:val="212529"/>
        </w:rPr>
        <w:t xml:space="preserve"> </w:t>
      </w:r>
      <w:r>
        <w:rPr>
          <w:rFonts w:ascii="Arial" w:cs="Arial" w:eastAsia="Arial" w:hAnsi="Arial"/>
          <w:sz w:val="17"/>
          <w:szCs w:val="17"/>
          <w:color w:val="000000"/>
        </w:rPr>
        <w:t>have been more advantageous to enter into a partnering arrangement.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to healthcare and FDA laws, regulations, and policies may have a material adverse effect on our business and results of operations.</w:t>
      </w:r>
    </w:p>
    <w:p>
      <w:pPr>
        <w:spacing w:after="0" w:line="127" w:lineRule="exact"/>
        <w:rPr>
          <w:sz w:val="20"/>
          <w:szCs w:val="20"/>
          <w:color w:val="auto"/>
        </w:rPr>
      </w:pPr>
    </w:p>
    <w:p>
      <w:pPr>
        <w:ind w:right="40" w:firstLine="509"/>
        <w:spacing w:after="0" w:line="288" w:lineRule="auto"/>
        <w:rPr>
          <w:sz w:val="20"/>
          <w:szCs w:val="20"/>
          <w:color w:val="auto"/>
        </w:rPr>
      </w:pPr>
      <w:r>
        <w:rPr>
          <w:rFonts w:ascii="Arial" w:cs="Arial" w:eastAsia="Arial" w:hAnsi="Arial"/>
          <w:sz w:val="17"/>
          <w:szCs w:val="17"/>
          <w:color w:val="auto"/>
        </w:rPr>
        <w:t xml:space="preserve">As described under “Item 1. Business - Government Regulation” in our Annual Report and in the Risk Factor above entitled “ – </w:t>
      </w:r>
      <w:r>
        <w:rPr>
          <w:rFonts w:ascii="Arial" w:cs="Arial" w:eastAsia="Arial" w:hAnsi="Arial"/>
          <w:sz w:val="17"/>
          <w:szCs w:val="17"/>
          <w:i w:val="1"/>
          <w:iCs w:val="1"/>
          <w:color w:val="auto"/>
        </w:rPr>
        <w:t>The insurance</w:t>
      </w:r>
      <w:r>
        <w:rPr>
          <w:rFonts w:ascii="Arial" w:cs="Arial" w:eastAsia="Arial" w:hAnsi="Arial"/>
          <w:sz w:val="17"/>
          <w:szCs w:val="17"/>
          <w:color w:val="auto"/>
        </w:rPr>
        <w:t xml:space="preserve"> </w:t>
      </w:r>
      <w:r>
        <w:rPr>
          <w:rFonts w:ascii="Arial" w:cs="Arial" w:eastAsia="Arial" w:hAnsi="Arial"/>
          <w:sz w:val="17"/>
          <w:szCs w:val="17"/>
          <w:i w:val="1"/>
          <w:iCs w:val="1"/>
          <w:color w:val="auto"/>
        </w:rPr>
        <w:t>coverage and reimbursement status of newly approved products is uncertain</w:t>
      </w:r>
      <w:r>
        <w:rPr>
          <w:rFonts w:ascii="Arial" w:cs="Arial" w:eastAsia="Arial" w:hAnsi="Arial"/>
          <w:sz w:val="17"/>
          <w:szCs w:val="17"/>
          <w:color w:val="auto"/>
        </w:rPr>
        <w:t>” there have been and continue to be a number of legislative initiatives to</w:t>
      </w:r>
      <w:r>
        <w:rPr>
          <w:rFonts w:ascii="Arial" w:cs="Arial" w:eastAsia="Arial" w:hAnsi="Arial"/>
          <w:sz w:val="17"/>
          <w:szCs w:val="17"/>
          <w:i w:val="1"/>
          <w:iCs w:val="1"/>
          <w:color w:val="auto"/>
        </w:rPr>
        <w:t xml:space="preserve"> </w:t>
      </w:r>
      <w:r>
        <w:rPr>
          <w:rFonts w:ascii="Arial" w:cs="Arial" w:eastAsia="Arial" w:hAnsi="Arial"/>
          <w:sz w:val="17"/>
          <w:szCs w:val="17"/>
          <w:color w:val="auto"/>
        </w:rPr>
        <w:t>contain healthcare costs and to modify the regulation of drug and biologic products. We expect that additional state and federal healthcare reform measures and regulations will be adopted in the future, including proposals to reduce the exclusivity protections provided to already approved biological products and to provide biosimilar and interchangeable biologic products an easier path to approval. Any of these measures and regulations could limit the amounts that federal and state governments will pay for healthcare products and services, result in reduced demand for our product candidates or additional pricing pressures and affect our product development, testing, marketing approvals and post-market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laws and regulations could harm our business and our reputation.</w:t>
      </w:r>
    </w:p>
    <w:p>
      <w:pPr>
        <w:spacing w:after="0" w:line="104" w:lineRule="exact"/>
        <w:rPr>
          <w:sz w:val="20"/>
          <w:szCs w:val="20"/>
          <w:color w:val="auto"/>
        </w:rPr>
      </w:pPr>
    </w:p>
    <w:p>
      <w:pPr>
        <w:ind w:right="320" w:firstLine="509"/>
        <w:spacing w:after="0" w:line="266" w:lineRule="auto"/>
        <w:rPr>
          <w:sz w:val="20"/>
          <w:szCs w:val="20"/>
          <w:color w:val="auto"/>
        </w:rPr>
      </w:pPr>
      <w:r>
        <w:rPr>
          <w:rFonts w:ascii="Arial" w:cs="Arial" w:eastAsia="Arial" w:hAnsi="Arial"/>
          <w:sz w:val="18"/>
          <w:szCs w:val="18"/>
          <w:color w:val="auto"/>
        </w:rPr>
        <w:t>Our business is subject to regulation by various federal, state, local and foreign governmental agencies, including agencies responsible for monitoring and enforcing employment and labor laws, workplace safety, and tax laws and regulations. In certain jurisdictions, these regulatory requirements may be more stringent than those in the United States, and in other circumstances these requirements may be more stringent in the United States.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5" w:name="page66"/>
    <w:bookmarkEnd w:id="65"/>
    <w:p>
      <w:pPr>
        <w:ind w:right="20" w:firstLine="509"/>
        <w:spacing w:after="0" w:line="284" w:lineRule="auto"/>
        <w:rPr>
          <w:sz w:val="20"/>
          <w:szCs w:val="20"/>
          <w:color w:val="auto"/>
        </w:rPr>
      </w:pPr>
      <w:r>
        <w:rPr>
          <w:rFonts w:ascii="Arial" w:cs="Arial" w:eastAsia="Arial" w:hAnsi="Arial"/>
          <w:sz w:val="17"/>
          <w:szCs w:val="17"/>
          <w:color w:val="auto"/>
        </w:rPr>
        <w:t>In particular, our operations are directly, and indirectly through our customers, subject to various federal and state fraud and abuse laws, including, without limitation, the federal Anti-Kickback Statute, the federal False Claims Act, and physician sunshine laws and regulations and patient privacy regulations, including the EU General Data Protection Regulation and the California Consumer Privacy Act (CCPA), as described in “Item 1. Business – Government Regulation” of our Annual Report. Because of the breadth of these laws and the narrowness of the statutory exceptions and safe harbors available, it is possible that some of our business activities could be subject to challenge under one or more of such laws. For instance, one of our programs has been the subject of review by applicable governmental authorities of compliance with various fraud and abuse laws; we cannot assure that such program, or our other operations or programs, will not be challenged from time to time by such authorities for violation of such laws. Further, as we and our employees increasingly use social media tools as a means of communication with the public, there is a risk that the use of social media by us or our employees to communicate about our products or business may cause to be found in violation of applicable laws, despite our attempts to monitor such social media communications through company policies and guidelines. In addition, our employees may knowingly or inadvertently make use of social media in ways that may not comply with our company policies or other legal or contractual requirements, which may give rise to liability, lead to the loss of trade secrets or other intellectual property, or result in public exposure of personal information of our employees, clinical trial patients, customers, and others. 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disgorgement of profits, and the curtailment or restructuring of our operations. If any governmental sanctions, fines or penalties are imposed, or if we do not prevail in any possible civil or criminal litigation, our business, operating results, financial condition and our reputation could be harmed. In addition, responding to any action will likely result in a significant diversion of management’s attention and resources and an increase in professional fees.</w:t>
      </w:r>
    </w:p>
    <w:p>
      <w:pPr>
        <w:spacing w:after="0" w:line="48"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Our research and development activities, including our process and analytical development activities in our quality control laboratory, and our and our third-party manufacturers’ and suppliers’ activities involve the controlled storage, use, and disposal of hazardous materials, including the components of our product candidates, such as viruses, and other hazardous compounds, which subjects us to laws and regulations governing such activities. In some cases, these hazardous materials and various wastes resulting from their use are stored at our or our manufacturers’ facilities pending their use and disposal. We cannot eliminate the risk of contamination, which could cause an interruption of our commercialization efforts, research and development efforts, and business operations or environmental damage that could result in costly clean-up and liabilities under applicable laws and regulations governing the use, storage, handling, and disposal of these materials and specified waste products. We cannot guarantee that the safety procedures utilized by us and our third-party manufacturers for handling and disposing of these materials comply with the standards prescribed by these laws and regulations, or eliminate the risk of accidental contamination or injury from these materials. In such an event, we may be held liable for any resulting damages—and such liability could exceed our resources—and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200"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35" w:lineRule="exact"/>
        <w:rPr>
          <w:sz w:val="20"/>
          <w:szCs w:val="20"/>
          <w:color w:val="auto"/>
        </w:rPr>
      </w:pPr>
    </w:p>
    <w:p>
      <w:pPr>
        <w:ind w:right="240" w:firstLine="509"/>
        <w:spacing w:after="0" w:line="324" w:lineRule="auto"/>
        <w:rPr>
          <w:sz w:val="20"/>
          <w:szCs w:val="20"/>
          <w:color w:val="auto"/>
        </w:rPr>
      </w:pPr>
      <w:r>
        <w:rPr>
          <w:rFonts w:ascii="Arial" w:cs="Arial" w:eastAsia="Arial" w:hAnsi="Arial"/>
          <w:sz w:val="17"/>
          <w:szCs w:val="17"/>
          <w:color w:val="auto"/>
        </w:rPr>
        <w:t>Our business strategy includes international expansion. We currently conduct clinical studies and regulatory activities and we also commercialize products outside of the United States. Doing business internationally involves a number of risks, including but not limited to:</w:t>
      </w:r>
    </w:p>
    <w:p>
      <w:pPr>
        <w:spacing w:after="0" w:line="12" w:lineRule="exact"/>
        <w:rPr>
          <w:sz w:val="20"/>
          <w:szCs w:val="20"/>
          <w:color w:val="auto"/>
        </w:rPr>
      </w:pPr>
    </w:p>
    <w:p>
      <w:pPr>
        <w:ind w:left="840" w:right="300"/>
        <w:spacing w:after="0" w:line="324" w:lineRule="auto"/>
        <w:rPr>
          <w:sz w:val="20"/>
          <w:szCs w:val="20"/>
          <w:color w:val="auto"/>
        </w:rPr>
      </w:pPr>
      <w:r>
        <w:rPr>
          <w:rFonts w:ascii="Arial" w:cs="Arial" w:eastAsia="Arial" w:hAnsi="Arial"/>
          <w:sz w:val="17"/>
          <w:szCs w:val="17"/>
          <w:color w:val="auto"/>
        </w:rPr>
        <w:t>multiple, conflicting, and changing laws and regulations such as privacy and data regulations, transparency regulations, tax laws, export and import restrictions, employment laws, regulatory requirements, and other governmental approvals, permits, and licenses;</w:t>
      </w:r>
    </w:p>
    <w:p>
      <w:pPr>
        <w:spacing w:after="0" w:line="12" w:lineRule="exact"/>
        <w:rPr>
          <w:sz w:val="20"/>
          <w:szCs w:val="20"/>
          <w:color w:val="auto"/>
        </w:rPr>
      </w:pPr>
    </w:p>
    <w:p>
      <w:pPr>
        <w:ind w:left="840" w:right="2820"/>
        <w:spacing w:after="0" w:line="360" w:lineRule="auto"/>
        <w:rPr>
          <w:sz w:val="20"/>
          <w:szCs w:val="20"/>
          <w:color w:val="auto"/>
        </w:rPr>
      </w:pPr>
      <w:r>
        <w:rPr>
          <w:rFonts w:ascii="Arial" w:cs="Arial" w:eastAsia="Arial" w:hAnsi="Arial"/>
          <w:sz w:val="18"/>
          <w:szCs w:val="18"/>
          <w:color w:val="auto"/>
        </w:rPr>
        <w:t>introduction of new health authority requirements and/or changes in health authority expectations; failure by us to obtain and maintain regulatory approvals for the use of our products in various countries; additional potentially relevant third-party patent rights;</w:t>
      </w:r>
    </w:p>
    <w:p>
      <w:pPr>
        <w:ind w:left="840" w:right="3440"/>
        <w:spacing w:after="0" w:line="360" w:lineRule="auto"/>
        <w:rPr>
          <w:sz w:val="20"/>
          <w:szCs w:val="20"/>
          <w:color w:val="auto"/>
        </w:rPr>
      </w:pPr>
      <w:r>
        <w:rPr>
          <w:rFonts w:ascii="Arial" w:cs="Arial" w:eastAsia="Arial" w:hAnsi="Arial"/>
          <w:sz w:val="18"/>
          <w:szCs w:val="18"/>
          <w:color w:val="auto"/>
        </w:rPr>
        <w:t>complexities and difficulties in obtaining protection for, and enforcing, our intellectual property; difficulties in staffing and managing foreign operations;</w:t>
      </w:r>
    </w:p>
    <w:p>
      <w:pPr>
        <w:ind w:left="840" w:right="1180"/>
        <w:spacing w:after="0" w:line="360" w:lineRule="auto"/>
        <w:rPr>
          <w:sz w:val="20"/>
          <w:szCs w:val="20"/>
          <w:color w:val="auto"/>
        </w:rPr>
      </w:pPr>
      <w:r>
        <w:rPr>
          <w:rFonts w:ascii="Arial" w:cs="Arial" w:eastAsia="Arial" w:hAnsi="Arial"/>
          <w:sz w:val="18"/>
          <w:szCs w:val="18"/>
          <w:color w:val="auto"/>
        </w:rPr>
        <w:t>complexities associated with managing multiple payor reimbursement regimes, government payors, or patient self-pay systems; limits on our ability to penetrate international markets;</w:t>
      </w:r>
    </w:p>
    <w:p>
      <w:pPr>
        <w:ind w:left="840" w:right="380"/>
        <w:spacing w:after="0" w:line="266" w:lineRule="auto"/>
        <w:rPr>
          <w:sz w:val="20"/>
          <w:szCs w:val="20"/>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6" w:name="page67"/>
    <w:bookmarkEnd w:id="66"/>
    <w:p>
      <w:pPr>
        <w:ind w:left="840"/>
        <w:spacing w:after="0" w:line="279" w:lineRule="auto"/>
        <w:rPr>
          <w:sz w:val="20"/>
          <w:szCs w:val="20"/>
          <w:color w:val="auto"/>
        </w:rPr>
      </w:pPr>
      <w:r>
        <w:rPr>
          <w:rFonts w:ascii="Arial" w:cs="Arial" w:eastAsia="Arial" w:hAnsi="Arial"/>
          <w:sz w:val="18"/>
          <w:szCs w:val="18"/>
          <w:color w:val="auto"/>
        </w:rPr>
        <w:t>natural disasters and political and economic instability, including wars, terrorism, political unrest, results of certain elections and votes, actual or threatened public health emergencies and outbreak of disease (including for example, the COVID-19 pandemic), boycotts, adoption or expansion of government trade restrictions, and other business restrictions;</w:t>
      </w:r>
    </w:p>
    <w:p>
      <w:pPr>
        <w:spacing w:after="0" w:line="4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certain expenses including, among others, expenses for travel, translation, and insurance;</w:t>
      </w:r>
    </w:p>
    <w:p>
      <w:pPr>
        <w:spacing w:after="0" w:line="104" w:lineRule="exact"/>
        <w:rPr>
          <w:sz w:val="20"/>
          <w:szCs w:val="20"/>
          <w:color w:val="auto"/>
        </w:rPr>
      </w:pPr>
    </w:p>
    <w:p>
      <w:pPr>
        <w:ind w:left="840" w:right="120"/>
        <w:spacing w:after="0" w:line="279" w:lineRule="auto"/>
        <w:rPr>
          <w:sz w:val="20"/>
          <w:szCs w:val="20"/>
          <w:color w:val="auto"/>
        </w:rPr>
      </w:pPr>
      <w:r>
        <w:rPr>
          <w:rFonts w:ascii="Arial" w:cs="Arial" w:eastAsia="Arial" w:hAnsi="Arial"/>
          <w:sz w:val="18"/>
          <w:szCs w:val="18"/>
          <w:color w:val="auto"/>
        </w:rPr>
        <w:t>regulatory and compliance risks that relate to maintaining accurate information and control over commercial operations and activities that may fall within the purview of the U.S. Foreign Corrupt Practices Act, or FCPA, its books and records provisions, or its anti-bribery provisions, including those under the U.K. Bribery Act and similar foreign laws and regulations; and</w:t>
      </w:r>
    </w:p>
    <w:p>
      <w:pPr>
        <w:spacing w:after="0" w:line="48" w:lineRule="exact"/>
        <w:rPr>
          <w:sz w:val="20"/>
          <w:szCs w:val="20"/>
          <w:color w:val="auto"/>
        </w:rPr>
      </w:pPr>
    </w:p>
    <w:p>
      <w:pPr>
        <w:ind w:left="840" w:right="380"/>
        <w:spacing w:after="0" w:line="293" w:lineRule="auto"/>
        <w:rPr>
          <w:sz w:val="20"/>
          <w:szCs w:val="20"/>
          <w:color w:val="auto"/>
        </w:rPr>
      </w:pPr>
      <w:r>
        <w:rPr>
          <w:rFonts w:ascii="Arial" w:cs="Arial" w:eastAsia="Arial" w:hAnsi="Arial"/>
          <w:sz w:val="18"/>
          <w:szCs w:val="18"/>
          <w:color w:val="auto"/>
        </w:rPr>
        <w:t>regulatory and compliance risks relating to doing business with any entity that is subject to sanctions administered by the Office of Foreign Assets Control of the U.S. Department of the Treasury.</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of these factors could significantly harm our future international expansion and operations and, consequently, our results of operations.</w:t>
      </w:r>
    </w:p>
    <w:p>
      <w:pPr>
        <w:spacing w:after="0" w:line="277"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b w:val="1"/>
          <w:bCs w:val="1"/>
          <w:i w:val="1"/>
          <w:iCs w:val="1"/>
          <w:color w:val="auto"/>
        </w:rPr>
        <w:t>Risks generally associated with a company-wide implementation of an enterprise resource planning (ERP) system may adversely affect our business and results of operations or the effectiveness of our internal controls over financial reporting.</w:t>
      </w:r>
    </w:p>
    <w:p>
      <w:pPr>
        <w:spacing w:after="0" w:line="35"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We are in the process of implementing a company-wide ERP system to upgrade certain existing business, operational, and financial processes. Our ERP implementation is a complex and time-consuming project that we expect will require multiple years to complete. Our results of operations could be adversely affected if we experience time delays or cost overruns during the ERP implementation process, or if the ERP system or associated process changes do not give rise to the benefits that we expect. This project has required and may continue to require investment of capital and human resources, the re-engineering of processes of our business, and the attention of many employees who would otherwise be focused on other aspects of our business. Any deficiencies in the design and implementation of the new ERP system could result in potentially much higher costs than we had incurred and could adversely affect our ability to develop and launch solutions, provide services, fulfill contractual obligations, file reports with the SEC in a timely manner, operate our business or otherwise affect our controls environment. Any of these consequences could have an adverse effect on our results of operations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may be materially adversely affected in the event of computer system failures or security breaches.</w:t>
      </w:r>
    </w:p>
    <w:p>
      <w:pPr>
        <w:spacing w:after="0" w:line="104" w:lineRule="exact"/>
        <w:rPr>
          <w:sz w:val="20"/>
          <w:szCs w:val="20"/>
          <w:color w:val="auto"/>
        </w:rPr>
      </w:pPr>
    </w:p>
    <w:p>
      <w:pPr>
        <w:ind w:right="40" w:firstLine="509"/>
        <w:spacing w:after="0" w:line="299" w:lineRule="auto"/>
        <w:rPr>
          <w:sz w:val="20"/>
          <w:szCs w:val="20"/>
          <w:color w:val="auto"/>
        </w:rPr>
      </w:pPr>
      <w:r>
        <w:rPr>
          <w:rFonts w:ascii="Arial" w:cs="Arial" w:eastAsia="Arial" w:hAnsi="Arial"/>
          <w:sz w:val="16"/>
          <w:szCs w:val="16"/>
          <w:color w:val="auto"/>
        </w:rPr>
        <w:t>Cybersecurity incidents, including phishing attacks and attempts to misappropriate or compromise confidential or proprietary information or sabotage enterprise IT systems are becoming increasingly frequent and more sophisticated. The information and data processed and stored in our technology systems, and those of our strategic partners, CROs, contract manufacturers, suppliers, distributors or other third parties for which we depend to operate our business, may be vulnerable to loss, damage, denial-of-service, unauthorized access or misappropriation. Data security breaches may be due to malware, hacking, business email compromise, ransomware attacks, phishing or other cyberattacks directed by third parties. We, and certain of the third parties for which we depend on to operate our business, have experienced cybersecurity incidents, including third party unauthorized access to and misappropriation of financial information. Further, risks of unauthorized access and cyber-attacks have increased as most of our personnel, and the personnel of many third-parties with which we do business, have adopted remote working arrangements as a result of the COVID-19 pandemic. Improper or inadvertent employee behavior, including data privacy breaches by employees, contractors and others with permitted access to our systems, pose a risk that sensitive data may be exposed to unauthorized persons or to the public. A system failure or security breach that interrupts our operations or the operations at one of our third-party vendors or partners could result in intellectual property and other proprietary or confidential information being lost or stolen or a material disruption of our drug development programs and commercial operations. For example, the loss of clinical trial data from ongoing or planned clinical trials could result in delays in our regulatory approval efforts and significantly increase our costs to recover or reproduce the data. To the extent that any disruption or security breach results in a loss of or damage to our data or applications, loss of trade secrets or inappropriate disclosure of confidential or proprietary information, including protected health information or personal identifiable information of employees or former employees, access to our clinical data, or disruption of the manufacturing process, we could incur liability and the further development of our drug candidates could be delayed. Further, we could incur significant costs to investigate and mitigate such cybersecurity incidents. A security breach that results in the unauthorized access, use or disclosure of personal identifiable information also requires us to notify individuals, governmental authorities, credit reporting agencies, or other parties, as applicable, pursuant to privacy and security laws and regulations or other obligations. Such a security breach could harm our reputation, erode confidence in our information security measures, and lead to regulatory scrutiny and result in penalties, fines, indemnification claims, litigation and potential civil or criminal liability, any of which could materially adversely affect our business.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ind w:right="380"/>
        <w:spacing w:after="0" w:line="293"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35"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Our corporate headquarters and one of our laboratories are located in the San Francisco Bay Area, and our collaboration partner for Crysvita, KKC, is located in Japan, which have both in the past experienced severe earthquakes and other natural disasters. We do not carry earthquake insurance. Earthquakes or other natural disasters could severely disrupt our operations or those of our collaborators, and have a material adverse effect on our business, results of operations, financial condition, and prospects. We have also experienced power outages as a result of wildfires in the San Francisco Bay Area which are likely to continue to occur in the future.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may be inadequate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92" w:lineRule="exact"/>
        <w:rPr>
          <w:sz w:val="20"/>
          <w:szCs w:val="20"/>
          <w:color w:val="auto"/>
        </w:rPr>
      </w:pPr>
    </w:p>
    <w:p>
      <w:pPr>
        <w:ind w:right="500"/>
        <w:spacing w:after="0" w:line="375" w:lineRule="auto"/>
        <w:rPr>
          <w:sz w:val="20"/>
          <w:szCs w:val="20"/>
          <w:color w:val="auto"/>
        </w:rPr>
      </w:pPr>
      <w:r>
        <w:rPr>
          <w:rFonts w:ascii="Arial" w:cs="Arial" w:eastAsia="Arial" w:hAnsi="Arial"/>
          <w:sz w:val="15"/>
          <w:szCs w:val="15"/>
          <w:b w:val="1"/>
          <w:bCs w:val="1"/>
          <w:i w:val="1"/>
          <w:iCs w:val="1"/>
          <w:color w:val="auto"/>
        </w:rPr>
        <w:t>We may acquire companies or products or engage in strategic transactions, which could divert our management’s attention and cause us to incur various costs and expenses, or result in fluctuations with respect to the value of such investment, which could impact our operating results.</w:t>
      </w:r>
    </w:p>
    <w:p>
      <w:pPr>
        <w:spacing w:after="0" w:line="1" w:lineRule="exact"/>
        <w:rPr>
          <w:sz w:val="20"/>
          <w:szCs w:val="20"/>
          <w:color w:val="auto"/>
        </w:rPr>
      </w:pPr>
    </w:p>
    <w:p>
      <w:pPr>
        <w:ind w:right="160" w:firstLine="509"/>
        <w:spacing w:after="0" w:line="308" w:lineRule="auto"/>
        <w:rPr>
          <w:sz w:val="20"/>
          <w:szCs w:val="20"/>
          <w:color w:val="auto"/>
        </w:rPr>
      </w:pPr>
      <w:r>
        <w:rPr>
          <w:rFonts w:ascii="Arial" w:cs="Arial" w:eastAsia="Arial" w:hAnsi="Arial"/>
          <w:sz w:val="16"/>
          <w:szCs w:val="16"/>
          <w:color w:val="auto"/>
        </w:rPr>
        <w:t>We may acquire or invest in businesses or products that we believe could complement or expand our business or otherwise offer growth opportunities. For example, we acquired Dimension in November 2017 and during the third quarter 2019, we entered into an agreement with GeneTx to collaborate on the development of a product for the treatment of Angelman Syndrome which includes an exclusive option to acquire GeneTx. The pursuit of potential acquisitions or investments may divert the attention of management and may cause us to incur various costs and expenses in identifying, investigating, and pursuing them, whether or not they are consummated. We may not be able to identify desirable acquisitions or investments or be successful in completing or realizing anticipated benefits from such transactions. In addition, we may receive inquiries relating to potential strategic transactions, including collaborations, licenses, and acquisitions. Such potential transactions may divert the attention of management and may cause us to incur various costs and expenses in investigating and evaluating such transactions, whether or not they are consummated.</w:t>
      </w:r>
    </w:p>
    <w:p>
      <w:pPr>
        <w:spacing w:after="0" w:line="28" w:lineRule="exact"/>
        <w:rPr>
          <w:sz w:val="20"/>
          <w:szCs w:val="20"/>
          <w:color w:val="auto"/>
        </w:rPr>
      </w:pPr>
    </w:p>
    <w:p>
      <w:pPr>
        <w:ind w:firstLine="509"/>
        <w:spacing w:after="0" w:line="284" w:lineRule="auto"/>
        <w:rPr>
          <w:sz w:val="20"/>
          <w:szCs w:val="20"/>
          <w:color w:val="auto"/>
        </w:rPr>
      </w:pPr>
      <w:r>
        <w:rPr>
          <w:rFonts w:ascii="Arial" w:cs="Arial" w:eastAsia="Arial" w:hAnsi="Arial"/>
          <w:sz w:val="17"/>
          <w:szCs w:val="17"/>
          <w:color w:val="auto"/>
        </w:rPr>
        <w:t>The value of our investments in other companies or businesses may also fluctuate significantly and impact our operating results quarter to quarter or year to year. For instance, in June 2019, we purchased 2.4 million shares of common stock of Arcturus and in May 2020, we exercised our option to purchase an additional 600,000 shares of Arcturus’ common stock pursuant to the terms of our equity purchase agreement with Arcturus; we have subsequently sold an aggregate of 1,600,000 shares. We also purchased 7,825,797 shares of common stock of Solid in October 2020. We have elected to apply the fair value option to account for our equity investments in Arcturus and Solid. As a result, increases or decreases in the stock price of Arcturus and Solid common stock will result in accompanying changes in the fair value of our investments, and cause substantial volatility in, our operating results for the reporting period. For instance, the changes in fair value of the Arcturus and Solid investments recognized in the Condensed Consolidated Statements of Operations for the three and nine months ended September 30, 2021 was a $25.7 million increase and a $26.0 million decrease, respectively, primarily due to the sale of shares of Arcturus stock during the three months ended September 30, 2021 as well as fluctuations in Arcturus and Solid stock price as of September 30, 2021 compared to the prior period. The changes in fair value of the Arcturus investment recognized in the Condensed Consolidated Statements of Operations for the three and nine months ended September 30, 2020 was a $11.5 million decrease and a $91.3 million increase, respectively, primarily due to the lower Arcturus stock price as of September 30, 2020 compared to June 30, 2020, and the higher Arcturus stock price at September 30, 2020, compared to December 31,2019. The gains and losses in fair value of the equity investments for the three and nine months ended September 30, 2021 decreased and increased, respectively the amount of our net loss during those periods. The losses and gains for the three and nine months ended September 30, 2020 increased and decreased, respectively, the amount of our net loss during those periods. If the Arcturus or Solid stock price had been lower at September 30, 2021 and 2020 compared to the prior period, we would have reported an even greater net loss for the three and nine months ended September 30, 2021 and 2020. As the fair value of our investments in Arcturus and Solid is dependent on the stock price of Arcturus and Solid, which has recently seen wide fluctuations, the value of our investments and the impact on our operating results may similarly fluctuate significantly from quarter to quarter and year to year such that period-to-period comparisons may not be a good indication of the future value of the investments and our future operating results.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market price of our common stock has been, and is likely to continue to be, volatile, including for reasons unrelated to changes in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could be subject to wide fluctuations in response to a variety of factors, including but not limited to the following:</w:t>
      </w:r>
    </w:p>
    <w:p>
      <w:pPr>
        <w:spacing w:after="0" w:line="10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adverse results or delays in preclinical or clinical studies;</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any inability to obtain additional funding;</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8" w:name="page69"/>
    <w:bookmarkEnd w:id="68"/>
    <w:p>
      <w:pPr>
        <w:ind w:left="840"/>
        <w:spacing w:after="0" w:line="279" w:lineRule="auto"/>
        <w:rPr>
          <w:sz w:val="20"/>
          <w:szCs w:val="20"/>
          <w:color w:val="auto"/>
        </w:rPr>
      </w:pPr>
      <w:r>
        <w:rPr>
          <w:rFonts w:ascii="Arial" w:cs="Arial" w:eastAsia="Arial" w:hAnsi="Arial"/>
          <w:sz w:val="18"/>
          <w:szCs w:val="18"/>
          <w:color w:val="auto"/>
        </w:rPr>
        <w:t>any delay in filing an IND, NDA, BLA, MAA, or other regulatory submission for any of our product candidates and any adverse development or perceived adverse development with respect to the applicable regulatory agency’s review of that IND, NDA, BLA, MAA, or other regulatory submission;</w:t>
      </w:r>
    </w:p>
    <w:p>
      <w:pPr>
        <w:spacing w:after="0" w:line="4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perception of limited market sizes or pricing for our products and product candidates;</w:t>
      </w:r>
    </w:p>
    <w:p>
      <w:pPr>
        <w:spacing w:after="0" w:line="104" w:lineRule="exact"/>
        <w:rPr>
          <w:sz w:val="20"/>
          <w:szCs w:val="20"/>
          <w:color w:val="auto"/>
        </w:rPr>
      </w:pPr>
    </w:p>
    <w:p>
      <w:pPr>
        <w:ind w:left="840" w:right="80"/>
        <w:spacing w:after="0" w:line="293" w:lineRule="auto"/>
        <w:rPr>
          <w:sz w:val="20"/>
          <w:szCs w:val="20"/>
          <w:color w:val="auto"/>
        </w:rPr>
      </w:pPr>
      <w:r>
        <w:rPr>
          <w:rFonts w:ascii="Arial" w:cs="Arial" w:eastAsia="Arial" w:hAnsi="Arial"/>
          <w:sz w:val="18"/>
          <w:szCs w:val="18"/>
          <w:color w:val="auto"/>
        </w:rPr>
        <w:t>decisions by our collaboration partners with respect to the indications for our products and product candidates in countries where they have the right to commercialize the products and product candidates;</w:t>
      </w:r>
    </w:p>
    <w:p>
      <w:pPr>
        <w:spacing w:after="0" w:line="35" w:lineRule="exact"/>
        <w:rPr>
          <w:sz w:val="20"/>
          <w:szCs w:val="20"/>
          <w:color w:val="auto"/>
        </w:rPr>
      </w:pPr>
    </w:p>
    <w:p>
      <w:pPr>
        <w:ind w:left="840" w:right="580"/>
        <w:spacing w:after="0" w:line="293" w:lineRule="auto"/>
        <w:rPr>
          <w:sz w:val="20"/>
          <w:szCs w:val="20"/>
          <w:color w:val="auto"/>
        </w:rPr>
      </w:pPr>
      <w:r>
        <w:rPr>
          <w:rFonts w:ascii="Arial" w:cs="Arial" w:eastAsia="Arial" w:hAnsi="Arial"/>
          <w:sz w:val="18"/>
          <w:szCs w:val="18"/>
          <w:color w:val="auto"/>
        </w:rPr>
        <w:t>decisions by our collaboration partners regarding market access and pricing in countries where they have the right to commercialize our products and product candidates;</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failure to successfully develop and commercialize our products and product candidates;</w:t>
      </w:r>
    </w:p>
    <w:p>
      <w:pPr>
        <w:spacing w:after="0" w:line="104" w:lineRule="exact"/>
        <w:rPr>
          <w:sz w:val="20"/>
          <w:szCs w:val="20"/>
          <w:color w:val="auto"/>
        </w:rPr>
      </w:pPr>
    </w:p>
    <w:p>
      <w:pPr>
        <w:ind w:left="840" w:right="3480"/>
        <w:spacing w:after="0" w:line="360" w:lineRule="auto"/>
        <w:rPr>
          <w:sz w:val="20"/>
          <w:szCs w:val="20"/>
          <w:color w:val="auto"/>
        </w:rPr>
      </w:pPr>
      <w:r>
        <w:rPr>
          <w:rFonts w:ascii="Arial" w:cs="Arial" w:eastAsia="Arial" w:hAnsi="Arial"/>
          <w:sz w:val="18"/>
          <w:szCs w:val="18"/>
          <w:color w:val="auto"/>
        </w:rPr>
        <w:t>the level of revenue we receive from our commercialized products or from named patient sales; post-marketing safety issues;</w:t>
      </w:r>
    </w:p>
    <w:p>
      <w:pPr>
        <w:ind w:left="840"/>
        <w:spacing w:after="0"/>
        <w:rPr>
          <w:sz w:val="20"/>
          <w:szCs w:val="20"/>
          <w:color w:val="auto"/>
        </w:rPr>
      </w:pPr>
      <w:r>
        <w:rPr>
          <w:rFonts w:ascii="Arial" w:cs="Arial" w:eastAsia="Arial" w:hAnsi="Arial"/>
          <w:sz w:val="18"/>
          <w:szCs w:val="18"/>
          <w:color w:val="auto"/>
        </w:rPr>
        <w:t>failure to maintain our existing strategic collaborations or enter into new collaborations;</w:t>
      </w:r>
    </w:p>
    <w:p>
      <w:pPr>
        <w:spacing w:after="0" w:line="104" w:lineRule="exact"/>
        <w:rPr>
          <w:sz w:val="20"/>
          <w:szCs w:val="20"/>
          <w:color w:val="auto"/>
        </w:rPr>
      </w:pPr>
    </w:p>
    <w:p>
      <w:pPr>
        <w:ind w:left="840" w:right="960"/>
        <w:spacing w:after="0" w:line="360" w:lineRule="auto"/>
        <w:rPr>
          <w:sz w:val="20"/>
          <w:szCs w:val="20"/>
          <w:color w:val="auto"/>
        </w:rPr>
      </w:pPr>
      <w:r>
        <w:rPr>
          <w:rFonts w:ascii="Arial" w:cs="Arial" w:eastAsia="Arial" w:hAnsi="Arial"/>
          <w:sz w:val="18"/>
          <w:szCs w:val="18"/>
          <w:color w:val="auto"/>
        </w:rPr>
        <w:t>failure by us or our licensors and strategic collaboration partners to prosecute, maintain, or enforce our intellectual property rights; changes in laws or regulations applicable to our products;</w:t>
      </w:r>
    </w:p>
    <w:p>
      <w:pPr>
        <w:ind w:left="840" w:right="840"/>
        <w:spacing w:after="0" w:line="360" w:lineRule="auto"/>
        <w:rPr>
          <w:sz w:val="20"/>
          <w:szCs w:val="20"/>
          <w:color w:val="auto"/>
        </w:rPr>
      </w:pPr>
      <w:r>
        <w:rPr>
          <w:rFonts w:ascii="Arial" w:cs="Arial" w:eastAsia="Arial" w:hAnsi="Arial"/>
          <w:sz w:val="18"/>
          <w:szCs w:val="18"/>
          <w:color w:val="auto"/>
        </w:rPr>
        <w:t>any inability to obtain adequate product supply for our products and product candidates or the inability to do so at acceptable prices; adverse regulatory decisions;</w:t>
      </w:r>
    </w:p>
    <w:p>
      <w:pPr>
        <w:ind w:left="840"/>
        <w:spacing w:after="0"/>
        <w:rPr>
          <w:sz w:val="20"/>
          <w:szCs w:val="20"/>
          <w:color w:val="auto"/>
        </w:rPr>
      </w:pPr>
      <w:r>
        <w:rPr>
          <w:rFonts w:ascii="Arial" w:cs="Arial" w:eastAsia="Arial" w:hAnsi="Arial"/>
          <w:sz w:val="18"/>
          <w:szCs w:val="18"/>
          <w:color w:val="auto"/>
        </w:rPr>
        <w:t>introduction of new products, services, or technologies by our competitors;</w:t>
      </w:r>
    </w:p>
    <w:p>
      <w:pPr>
        <w:spacing w:after="0" w:line="104" w:lineRule="exact"/>
        <w:rPr>
          <w:sz w:val="20"/>
          <w:szCs w:val="20"/>
          <w:color w:val="auto"/>
        </w:rPr>
      </w:pPr>
    </w:p>
    <w:p>
      <w:pPr>
        <w:ind w:left="840" w:right="2020"/>
        <w:spacing w:after="0" w:line="405" w:lineRule="auto"/>
        <w:rPr>
          <w:sz w:val="20"/>
          <w:szCs w:val="20"/>
          <w:color w:val="auto"/>
        </w:rPr>
      </w:pPr>
      <w:r>
        <w:rPr>
          <w:rFonts w:ascii="Arial" w:cs="Arial" w:eastAsia="Arial" w:hAnsi="Arial"/>
          <w:sz w:val="16"/>
          <w:szCs w:val="16"/>
          <w:color w:val="auto"/>
        </w:rPr>
        <w:t>changes in or failure to meet or exceed financial projections or other guidance we may provide to the public; changes in or failure to meet or exceed the financial projections or other expectations of the investment community;</w:t>
      </w:r>
    </w:p>
    <w:p>
      <w:pPr>
        <w:ind w:left="840" w:right="840"/>
        <w:spacing w:after="0" w:line="360" w:lineRule="auto"/>
        <w:rPr>
          <w:sz w:val="20"/>
          <w:szCs w:val="20"/>
          <w:color w:val="auto"/>
        </w:rPr>
      </w:pPr>
      <w:r>
        <w:rPr>
          <w:rFonts w:ascii="Arial" w:cs="Arial" w:eastAsia="Arial" w:hAnsi="Arial"/>
          <w:sz w:val="18"/>
          <w:szCs w:val="18"/>
          <w:color w:val="auto"/>
        </w:rPr>
        <w:t>the perception of the pharmaceutical industry or our company by the public, legislatures, regulators, and the investment community; the perception of the pharmaceutical industry’s approach to drug pricing;</w:t>
      </w:r>
    </w:p>
    <w:p>
      <w:pPr>
        <w:ind w:left="840" w:right="440"/>
        <w:spacing w:after="0" w:line="293" w:lineRule="auto"/>
        <w:rPr>
          <w:sz w:val="20"/>
          <w:szCs w:val="20"/>
          <w:color w:val="auto"/>
        </w:rPr>
      </w:pPr>
      <w:r>
        <w:rPr>
          <w:rFonts w:ascii="Arial" w:cs="Arial" w:eastAsia="Arial" w:hAnsi="Arial"/>
          <w:sz w:val="18"/>
          <w:szCs w:val="18"/>
          <w:color w:val="auto"/>
        </w:rPr>
        <w:t>announcements of significant acquisitions, strategic partnerships, joint ventures, or capital commitments by us, our strategic collaboration partners, or our competitors;</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integration and performance of any businesses we have acquired or may acquire;</w:t>
      </w:r>
    </w:p>
    <w:p>
      <w:pPr>
        <w:spacing w:after="0" w:line="104" w:lineRule="exact"/>
        <w:rPr>
          <w:sz w:val="20"/>
          <w:szCs w:val="20"/>
          <w:color w:val="auto"/>
        </w:rPr>
      </w:pPr>
    </w:p>
    <w:p>
      <w:pPr>
        <w:ind w:left="840" w:right="60"/>
        <w:spacing w:after="0" w:line="293" w:lineRule="auto"/>
        <w:rPr>
          <w:sz w:val="20"/>
          <w:szCs w:val="20"/>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additions or departures of key scientific or management personnel;</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significant lawsuits, including patent or stockholder litigation;</w:t>
      </w:r>
    </w:p>
    <w:p>
      <w:pPr>
        <w:spacing w:after="0" w:line="104" w:lineRule="exact"/>
        <w:rPr>
          <w:sz w:val="20"/>
          <w:szCs w:val="20"/>
          <w:color w:val="auto"/>
        </w:rPr>
      </w:pPr>
    </w:p>
    <w:p>
      <w:pPr>
        <w:ind w:left="840" w:right="3480"/>
        <w:spacing w:after="0" w:line="360" w:lineRule="auto"/>
        <w:rPr>
          <w:sz w:val="20"/>
          <w:szCs w:val="20"/>
          <w:color w:val="auto"/>
        </w:rPr>
      </w:pPr>
      <w:r>
        <w:rPr>
          <w:rFonts w:ascii="Arial" w:cs="Arial" w:eastAsia="Arial" w:hAnsi="Arial"/>
          <w:sz w:val="18"/>
          <w:szCs w:val="18"/>
          <w:color w:val="auto"/>
        </w:rPr>
        <w:t>securities or industry analysts’ reports regarding our stock, or their failure to issue such reports; changes in the market valuations of similar companies;</w:t>
      </w:r>
    </w:p>
    <w:p>
      <w:pPr>
        <w:ind w:left="840" w:right="3220"/>
        <w:spacing w:after="0" w:line="360" w:lineRule="auto"/>
        <w:rPr>
          <w:sz w:val="20"/>
          <w:szCs w:val="20"/>
          <w:color w:val="auto"/>
        </w:rPr>
      </w:pPr>
      <w:r>
        <w:rPr>
          <w:rFonts w:ascii="Arial" w:cs="Arial" w:eastAsia="Arial" w:hAnsi="Arial"/>
          <w:sz w:val="18"/>
          <w:szCs w:val="18"/>
          <w:color w:val="auto"/>
        </w:rPr>
        <w:t>general market or macroeconomic conditions, including the impact from the COVID-19 pandemic; sales of our common stock by us or our stockholders in the future; and trading volume of our common stock.</w:t>
      </w:r>
    </w:p>
    <w:p>
      <w:pPr>
        <w:jc w:val="both"/>
        <w:ind w:right="140" w:firstLine="509"/>
        <w:spacing w:after="0" w:line="266" w:lineRule="auto"/>
        <w:rPr>
          <w:sz w:val="20"/>
          <w:szCs w:val="20"/>
          <w:color w:val="auto"/>
        </w:rPr>
      </w:pPr>
      <w:r>
        <w:rPr>
          <w:rFonts w:ascii="Arial" w:cs="Arial" w:eastAsia="Arial" w:hAnsi="Arial"/>
          <w:sz w:val="18"/>
          <w:szCs w:val="18"/>
          <w:color w:val="auto"/>
        </w:rPr>
        <w:t>In addition, biotechnology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9" w:name="page70"/>
    <w:bookmarkEnd w:id="69"/>
    <w:p>
      <w:pPr>
        <w:ind w:right="100"/>
        <w:spacing w:after="0" w:line="293"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35"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56" w:lineRule="exact"/>
        <w:rPr>
          <w:sz w:val="20"/>
          <w:szCs w:val="20"/>
          <w:color w:val="auto"/>
        </w:rPr>
      </w:pPr>
    </w:p>
    <w:p>
      <w:pPr>
        <w:ind w:right="180" w:firstLine="509"/>
        <w:spacing w:after="0" w:line="272" w:lineRule="auto"/>
        <w:rPr>
          <w:sz w:val="20"/>
          <w:szCs w:val="20"/>
          <w:color w:val="auto"/>
        </w:rPr>
      </w:pPr>
      <w:r>
        <w:rPr>
          <w:rFonts w:ascii="Arial" w:cs="Arial" w:eastAsia="Arial" w:hAnsi="Arial"/>
          <w:sz w:val="18"/>
          <w:szCs w:val="18"/>
          <w:color w:val="auto"/>
        </w:rPr>
        <w:t>Pursuant to our 2014 Incentive Plan, or the 2014 Plan, our management is authorized to grant stock options and other equity-based awards to our employees, directors, and consultants. At September 30, 2021, 4,086,908 shares were available for future grants under the 2014 Plan. Through January 1, 2024, the number of shares available for future grant under the 2014 Plan will automatically increase on January 1 of each year by the lesser of 2,500,000 shares or 4% of all shares of our capital stock outstanding as of December 31 of the prior calendar year, subject to the ability of our compensation committee to take action to reduce the size of the increase in any given year.</w:t>
      </w:r>
    </w:p>
    <w:p>
      <w:pPr>
        <w:spacing w:after="0" w:line="56"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Pursuant to our 2014 Employee Stock Purchase Plan, or 2014 ESPP, eligible employees can acquire shares of our common stock at a discount to the prevailing market price. At September 30, 2021, 3,956,907 shares were available for issuance under the 2014 ESPP. Through January 1, 2024, the number of shares available for issuance under the 2014 ESPP will automatically increase on January 1 of each year by the lesser of 1,200,000 shares or 1% of all shares of our capital stock outstanding as of December 31 of the prior calendar year, subject to the ability of our compensation committee to take action to reduce the size of the increase in any given year.</w:t>
      </w:r>
    </w:p>
    <w:p>
      <w:pPr>
        <w:spacing w:after="0" w:line="56" w:lineRule="exact"/>
        <w:rPr>
          <w:sz w:val="20"/>
          <w:szCs w:val="20"/>
          <w:color w:val="auto"/>
        </w:rPr>
      </w:pPr>
    </w:p>
    <w:p>
      <w:pPr>
        <w:ind w:right="140" w:firstLine="509"/>
        <w:spacing w:after="0" w:line="292" w:lineRule="auto"/>
        <w:rPr>
          <w:sz w:val="20"/>
          <w:szCs w:val="20"/>
          <w:color w:val="auto"/>
        </w:rPr>
      </w:pPr>
      <w:r>
        <w:rPr>
          <w:rFonts w:ascii="Arial" w:cs="Arial" w:eastAsia="Arial" w:hAnsi="Arial"/>
          <w:sz w:val="17"/>
          <w:szCs w:val="17"/>
          <w:color w:val="auto"/>
        </w:rPr>
        <w:t>In February 2021, our board of directors adopted an employment inducement plan with a maximum of 500,000 shares available for grant under the plan. At September 30, 2021, 468,963 shares were available for issuance under the inducement plan. We have registered all the shares under our inducement plan. In addition, we currently plan to register the increased number of shares available under the 2014 Plan and the 2014 ESPP each year. If our board of directors elects to increase the number of shares available for future grant under the 2014 Plan, the 2014 ESPP or the inducement plan, our stockholders may experience additional dilution, which could cause our stock price to fall.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04"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all available funds and any future earnings, if any, for the development, operation, and expansion of our business and do not anticipate declaring or paying any cash dividends for the foreseeable future. Any return to stockholders will therefore be limited to the appreciation of their stock.</w:t>
      </w:r>
    </w:p>
    <w:p>
      <w:pPr>
        <w:spacing w:after="0" w:line="210"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by-laws, as well as provisions of Delaware law, could make it more difficult for a third-party to acquire us or increase the cost of acquiring us, even if doing so would benefit our stockholders, or remove our current management.</w:t>
      </w:r>
    </w:p>
    <w:p>
      <w:pPr>
        <w:spacing w:after="0" w:line="1"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48" w:lineRule="exact"/>
        <w:rPr>
          <w:sz w:val="20"/>
          <w:szCs w:val="20"/>
          <w:color w:val="auto"/>
        </w:rPr>
      </w:pPr>
    </w:p>
    <w:p>
      <w:pPr>
        <w:ind w:left="840" w:right="80"/>
        <w:spacing w:after="0" w:line="293" w:lineRule="auto"/>
        <w:rPr>
          <w:sz w:val="20"/>
          <w:szCs w:val="20"/>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create a classified board of directors whose members serve staggered three-year terms;</w:t>
      </w:r>
    </w:p>
    <w:p>
      <w:pPr>
        <w:spacing w:after="0" w:line="104" w:lineRule="exact"/>
        <w:rPr>
          <w:sz w:val="20"/>
          <w:szCs w:val="20"/>
          <w:color w:val="auto"/>
        </w:rPr>
      </w:pPr>
    </w:p>
    <w:p>
      <w:pPr>
        <w:ind w:left="840" w:right="520"/>
        <w:spacing w:after="0" w:line="360" w:lineRule="auto"/>
        <w:rPr>
          <w:sz w:val="20"/>
          <w:szCs w:val="20"/>
          <w:color w:val="auto"/>
        </w:rPr>
      </w:pPr>
      <w:r>
        <w:rPr>
          <w:rFonts w:ascii="Arial" w:cs="Arial" w:eastAsia="Arial" w:hAnsi="Arial"/>
          <w:sz w:val="18"/>
          <w:szCs w:val="18"/>
          <w:color w:val="auto"/>
        </w:rPr>
        <w:t>specify that special meetings of our stockholders can be called only by our board of directors or the chairperson of our board of directors; prohibit stockholder action by written consent;</w:t>
      </w:r>
    </w:p>
    <w:p>
      <w:pPr>
        <w:ind w:left="840"/>
        <w:spacing w:after="0" w:line="293" w:lineRule="auto"/>
        <w:rPr>
          <w:sz w:val="20"/>
          <w:szCs w:val="20"/>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provide that our directors may be removed only for cause;</w:t>
      </w:r>
    </w:p>
    <w:p>
      <w:pPr>
        <w:spacing w:after="0" w:line="104" w:lineRule="exact"/>
        <w:rPr>
          <w:sz w:val="20"/>
          <w:szCs w:val="20"/>
          <w:color w:val="auto"/>
        </w:rPr>
      </w:pPr>
    </w:p>
    <w:p>
      <w:pPr>
        <w:ind w:left="840" w:right="2000"/>
        <w:spacing w:after="0" w:line="405" w:lineRule="auto"/>
        <w:rPr>
          <w:sz w:val="20"/>
          <w:szCs w:val="20"/>
          <w:color w:val="auto"/>
        </w:rPr>
      </w:pPr>
      <w:r>
        <w:rPr>
          <w:rFonts w:ascii="Arial" w:cs="Arial" w:eastAsia="Arial" w:hAnsi="Arial"/>
          <w:sz w:val="16"/>
          <w:szCs w:val="16"/>
          <w:color w:val="auto"/>
        </w:rPr>
        <w:t>provide that vacancies on our board of directors may be filled only by a resolution adopted by the board of directors; expressly authorize our board of directors to modify, alter or repeal our amended and restated by-laws; and</w:t>
      </w:r>
    </w:p>
    <w:p>
      <w:pPr>
        <w:ind w:left="840" w:right="20"/>
        <w:spacing w:after="0" w:line="293" w:lineRule="auto"/>
        <w:rPr>
          <w:sz w:val="20"/>
          <w:szCs w:val="20"/>
          <w:color w:val="auto"/>
        </w:rPr>
      </w:pPr>
      <w:r>
        <w:rPr>
          <w:rFonts w:ascii="Arial" w:cs="Arial" w:eastAsia="Arial" w:hAnsi="Arial"/>
          <w:sz w:val="18"/>
          <w:szCs w:val="18"/>
          <w:color w:val="auto"/>
        </w:rPr>
        <w:t>require holders of 75% of our outstanding common stock to amend specified provisions of our amended and restated certificate of incorporation and amended and restated by-laws.</w:t>
      </w:r>
    </w:p>
    <w:p>
      <w:pPr>
        <w:spacing w:after="0" w:line="35" w:lineRule="exact"/>
        <w:rPr>
          <w:sz w:val="20"/>
          <w:szCs w:val="20"/>
          <w:color w:val="auto"/>
        </w:rPr>
      </w:pPr>
    </w:p>
    <w:p>
      <w:pPr>
        <w:jc w:val="center"/>
        <w:ind w:right="280"/>
        <w:spacing w:after="0" w:line="293" w:lineRule="auto"/>
        <w:rPr>
          <w:sz w:val="20"/>
          <w:szCs w:val="20"/>
          <w:color w:val="auto"/>
        </w:rPr>
      </w:pPr>
      <w:r>
        <w:rPr>
          <w:rFonts w:ascii="Arial" w:cs="Arial" w:eastAsia="Arial" w:hAnsi="Arial"/>
          <w:sz w:val="18"/>
          <w:szCs w:val="18"/>
          <w:color w:val="auto"/>
        </w:rPr>
        <w:t>These provisions, alone or together, could delay, deter, or prevent hostile takeovers and changes in control or changes in our management.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0" w:name="page71"/>
    <w:bookmarkEnd w:id="70"/>
    <w:p>
      <w:pPr>
        <w:ind w:right="80" w:firstLine="509"/>
        <w:spacing w:after="0" w:line="329"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Further, no stockholder is permitted to cumulate votes at any election of directors because this right is not included in our amended and restated certificate of incorporation.</w:t>
      </w:r>
    </w:p>
    <w:p>
      <w:pPr>
        <w:spacing w:after="0" w:line="13"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10" w:lineRule="exact"/>
        <w:rPr>
          <w:sz w:val="20"/>
          <w:szCs w:val="20"/>
          <w:color w:val="auto"/>
        </w:rPr>
      </w:pPr>
    </w:p>
    <w:p>
      <w:pPr>
        <w:jc w:val="both"/>
        <w:ind w:right="60"/>
        <w:spacing w:after="0" w:line="27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sole and exclusive forum for substantially all disputes between us and our stockholders, which could limit our stockholders’ ability to obtain a favorable judicial forum for disputes with us or our directors, officers or employees.</w:t>
      </w:r>
    </w:p>
    <w:p>
      <w:pPr>
        <w:spacing w:after="0" w:line="48"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sole and exclusive forum for (1) any derivative action or proceeding brought on our behalf, (2) any action asserting a claim of breach of fiduciary duty owed by any of our directors, officers, or other employees to us or to our stockholders, (3) any action asserting a claim against us arising under the Delaware General Corporation Law or under our amended and restated certificate of incorporation or bylaws, or (4) any action against us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70"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If we are unable to maintain effective internal control over financial reporting, investors may lose confidence in the accuracy and completeness of our financial reports and the market price of our stock may decrease.</w:t>
      </w:r>
    </w:p>
    <w:p>
      <w:pPr>
        <w:spacing w:after="0" w:line="35"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controls and procedures. In particular, we are required to perform system and process evaluation and testing of our internal controls over financial reporting to allow management to report on the effectiveness of our internal controls over financial reporting, as required by Section 404(a) of the Sarbanes-Oxley Act.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that will need to be evaluated frequently.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104"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We have a multinational tax structure and are subject to income tax in the United States and various foreign jurisdictions. Our effective tax rate is influenced by many factors including changes in our operating structure, changes in the mix of our earnings among countries, our allocation of profits and losses among our subsidiaries, our intercompany transfer pricing agreements and rules relating to transfer pricing, the availability of U.S. research and development tax credits, and future changes in tax laws and regulations in the U.S. and foreign countries. Significant judgment is required in determining our tax liabilities including management’s judgment for uncertain tax positions. The Internal Revenue Service, other domestic taxing authorities, or foreign taxing authorities may disagree with our interpretation of tax laws as applied to our operations. Our reported effective tax rate and after-tax cash flows may be materially and adversely affected by tax assessments in excess of amounts accrued for our financial statements. This could materially increase our future effective tax rate thereby reducing net income and adversely impacting our results of operations for future periods.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04"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We have incurred substantial losses during our history. To the extent that we continue to generate taxable losses, unused taxable losses will, subject to certain limitations, carry forward to offset future taxable income, if any, until such unused losses expire. Under Sections 382 and 383 of the Internal Revenue Code of 1986, as amended, or the IRC, if a corporation undergoes an “ownership change,” generally defined as a greater than 50% change (by value) in its equity ownership over a three-year period, the corporation’s ability to use its pre-change net operating loss carryforwards, or NOL carryforwards, and other pre-change tax attributes (such as research tax credits) to offset its post-change income may be limited. An analysis to determine limitations upon our NOL carryforwards and other pre-change tax attributes for ownership changes that have occurred previously has been performed, resulting in a permanent decrease of federal and state NOL carryforwards in the amount of $7.2 million and a permanent decrease in federal research tax credit carryforwards in the amount of $0.2 million. As a result of these decreases and others that may occur as a result of future ownership changes, our ability to use our pre-change NOL carryforwards and other tax attribute carryforwards to offset U.S. federal taxable income and tax liabilities is limited and may become subject to even greater limitations, which could potentially accelerate or permanently increase future federal tax liabilities for us. In addition, there may be periods during which the use of state income tax NOL carryforwards and other state tax attribute carryforwards (such as state research tax credits) are suspended or otherwise limited, which could potentially accelerate or permanently increase future state tax liabilities for us.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substantially increase our costs and harm our business.</w:t>
      </w:r>
    </w:p>
    <w:p>
      <w:pPr>
        <w:spacing w:after="0" w:line="104"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We have been, and may in the future become, party to lawsuits including, without limitation, actions and proceedings in the ordinary course of business relating to our directors, officers, stockholders, intellectual property, and employment matters, which will cause us to incur legal fees and other costs related thereto, including potential expenses for the reimbursement of legal fees of officers and directors under indemnification obligations. The expense of defending against such litigation may be significant and there can be no assurance that we will be successful in any defense. Further, the amount of time that may be required to resolve such lawsuits is unpredictable, and these actions may divert management’s attention from the day-to-day operations of our business, which could adversely affect our business, results of operations, and cash flows. Litigation is subject to inherent uncertainties, and an adverse result in such matters that may arise from time to time could have a material adverse effect on our business, results of operations, and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40" w:type="dxa"/>
            <w:vAlign w:val="bottom"/>
          </w:tcPr>
          <w:p>
            <w:pPr>
              <w:ind w:left="80"/>
              <w:spacing w:after="0"/>
              <w:rPr>
                <w:sz w:val="20"/>
                <w:szCs w:val="20"/>
                <w:color w:val="auto"/>
              </w:rPr>
            </w:pPr>
            <w:r>
              <w:rPr>
                <w:rFonts w:ascii="Arial" w:cs="Arial" w:eastAsia="Arial" w:hAnsi="Arial"/>
                <w:sz w:val="16"/>
                <w:szCs w:val="16"/>
                <w:b w:val="1"/>
                <w:bCs w:val="1"/>
                <w:color w:val="auto"/>
                <w:w w:val="90"/>
              </w:rPr>
              <w:t>Incorporated by Reference</w:t>
            </w: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1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center"/>
              <w:ind w:left="199"/>
              <w:spacing w:after="0"/>
              <w:rPr>
                <w:sz w:val="20"/>
                <w:szCs w:val="20"/>
                <w:color w:val="auto"/>
              </w:rPr>
            </w:pPr>
            <w:r>
              <w:rPr>
                <w:rFonts w:ascii="Arial" w:cs="Arial" w:eastAsia="Arial" w:hAnsi="Arial"/>
                <w:sz w:val="16"/>
                <w:szCs w:val="16"/>
                <w:b w:val="1"/>
                <w:bCs w:val="1"/>
                <w:color w:val="auto"/>
                <w:w w:val="91"/>
              </w:rPr>
              <w:t>Furnished or</w:t>
            </w:r>
          </w:p>
        </w:tc>
      </w:tr>
      <w:tr>
        <w:trPr>
          <w:trHeight w:val="210"/>
        </w:trPr>
        <w:tc>
          <w:tcPr>
            <w:tcW w:w="1880" w:type="dxa"/>
            <w:vAlign w:val="bottom"/>
          </w:tcPr>
          <w:p>
            <w:pPr>
              <w:ind w:left="200"/>
              <w:spacing w:after="0"/>
              <w:rPr>
                <w:sz w:val="20"/>
                <w:szCs w:val="20"/>
                <w:color w:val="auto"/>
              </w:rPr>
            </w:pPr>
            <w:r>
              <w:rPr>
                <w:rFonts w:ascii="Arial" w:cs="Arial" w:eastAsia="Arial" w:hAnsi="Arial"/>
                <w:sz w:val="16"/>
                <w:szCs w:val="16"/>
                <w:b w:val="1"/>
                <w:bCs w:val="1"/>
                <w:color w:val="auto"/>
              </w:rPr>
              <w:t>Exhibit Number</w:t>
            </w:r>
          </w:p>
        </w:tc>
        <w:tc>
          <w:tcPr>
            <w:tcW w:w="1200" w:type="dxa"/>
            <w:vAlign w:val="bottom"/>
          </w:tcPr>
          <w:p>
            <w:pPr>
              <w:spacing w:after="0"/>
              <w:rPr>
                <w:sz w:val="18"/>
                <w:szCs w:val="18"/>
                <w:color w:val="auto"/>
              </w:rPr>
            </w:pPr>
          </w:p>
        </w:tc>
        <w:tc>
          <w:tcPr>
            <w:tcW w:w="2680" w:type="dxa"/>
            <w:vAlign w:val="bottom"/>
            <w:gridSpan w:val="10"/>
          </w:tcPr>
          <w:p>
            <w:pPr>
              <w:ind w:left="120"/>
              <w:spacing w:after="0"/>
              <w:rPr>
                <w:sz w:val="20"/>
                <w:szCs w:val="20"/>
                <w:color w:val="auto"/>
              </w:rPr>
            </w:pPr>
            <w:r>
              <w:rPr>
                <w:rFonts w:ascii="Arial" w:cs="Arial" w:eastAsia="Arial" w:hAnsi="Arial"/>
                <w:sz w:val="16"/>
                <w:szCs w:val="16"/>
                <w:b w:val="1"/>
                <w:bCs w:val="1"/>
                <w:color w:val="auto"/>
              </w:rPr>
              <w:t>Exhibit Description</w:t>
            </w:r>
          </w:p>
        </w:tc>
        <w:tc>
          <w:tcPr>
            <w:tcW w:w="1200" w:type="dxa"/>
            <w:vAlign w:val="bottom"/>
          </w:tcPr>
          <w:p>
            <w:pPr>
              <w:jc w:val="center"/>
              <w:ind w:left="419"/>
              <w:spacing w:after="0"/>
              <w:rPr>
                <w:sz w:val="20"/>
                <w:szCs w:val="20"/>
                <w:color w:val="auto"/>
              </w:rPr>
            </w:pPr>
            <w:r>
              <w:rPr>
                <w:rFonts w:ascii="Arial" w:cs="Arial" w:eastAsia="Arial" w:hAnsi="Arial"/>
                <w:sz w:val="16"/>
                <w:szCs w:val="16"/>
                <w:b w:val="1"/>
                <w:bCs w:val="1"/>
                <w:color w:val="auto"/>
                <w:w w:val="94"/>
              </w:rPr>
              <w:t>Form</w:t>
            </w:r>
          </w:p>
        </w:tc>
        <w:tc>
          <w:tcPr>
            <w:tcW w:w="1940" w:type="dxa"/>
            <w:vAlign w:val="bottom"/>
          </w:tcPr>
          <w:p>
            <w:pPr>
              <w:ind w:left="720"/>
              <w:spacing w:after="0"/>
              <w:rPr>
                <w:sz w:val="20"/>
                <w:szCs w:val="20"/>
                <w:color w:val="auto"/>
              </w:rPr>
            </w:pPr>
            <w:r>
              <w:rPr>
                <w:rFonts w:ascii="Arial" w:cs="Arial" w:eastAsia="Arial" w:hAnsi="Arial"/>
                <w:sz w:val="16"/>
                <w:szCs w:val="16"/>
                <w:b w:val="1"/>
                <w:bCs w:val="1"/>
                <w:color w:val="auto"/>
              </w:rPr>
              <w:t>Date</w:t>
            </w:r>
          </w:p>
        </w:tc>
        <w:tc>
          <w:tcPr>
            <w:tcW w:w="880" w:type="dxa"/>
            <w:vAlign w:val="bottom"/>
          </w:tcPr>
          <w:p>
            <w:pPr>
              <w:jc w:val="center"/>
              <w:ind w:right="199"/>
              <w:spacing w:after="0"/>
              <w:rPr>
                <w:sz w:val="20"/>
                <w:szCs w:val="20"/>
                <w:color w:val="auto"/>
              </w:rPr>
            </w:pPr>
            <w:r>
              <w:rPr>
                <w:rFonts w:ascii="Arial" w:cs="Arial" w:eastAsia="Arial" w:hAnsi="Arial"/>
                <w:sz w:val="16"/>
                <w:szCs w:val="16"/>
                <w:b w:val="1"/>
                <w:bCs w:val="1"/>
                <w:color w:val="auto"/>
                <w:w w:val="92"/>
              </w:rPr>
              <w:t>Number</w:t>
            </w:r>
          </w:p>
        </w:tc>
        <w:tc>
          <w:tcPr>
            <w:tcW w:w="1340" w:type="dxa"/>
            <w:vAlign w:val="bottom"/>
          </w:tcPr>
          <w:p>
            <w:pPr>
              <w:jc w:val="center"/>
              <w:ind w:left="219"/>
              <w:spacing w:after="0"/>
              <w:rPr>
                <w:sz w:val="20"/>
                <w:szCs w:val="20"/>
                <w:color w:val="auto"/>
              </w:rPr>
            </w:pPr>
            <w:r>
              <w:rPr>
                <w:rFonts w:ascii="Arial" w:cs="Arial" w:eastAsia="Arial" w:hAnsi="Arial"/>
                <w:sz w:val="16"/>
                <w:szCs w:val="16"/>
                <w:b w:val="1"/>
                <w:bCs w:val="1"/>
                <w:color w:val="auto"/>
                <w:w w:val="95"/>
              </w:rPr>
              <w:t>Filed Herewith</w:t>
            </w:r>
          </w:p>
        </w:tc>
      </w:tr>
      <w:tr>
        <w:trPr>
          <w:trHeight w:val="195"/>
        </w:trPr>
        <w:tc>
          <w:tcPr>
            <w:tcW w:w="1880" w:type="dxa"/>
            <w:vAlign w:val="bottom"/>
          </w:tcPr>
          <w:p>
            <w:pPr>
              <w:spacing w:after="0"/>
              <w:rPr>
                <w:sz w:val="20"/>
                <w:szCs w:val="20"/>
                <w:color w:val="auto"/>
              </w:rPr>
            </w:pPr>
            <w:r>
              <w:rPr>
                <w:rFonts w:ascii="Arial" w:cs="Arial" w:eastAsia="Arial" w:hAnsi="Arial"/>
                <w:sz w:val="16"/>
                <w:szCs w:val="16"/>
                <w:color w:val="auto"/>
              </w:rPr>
              <w:t>3.1</w:t>
            </w:r>
          </w:p>
        </w:tc>
        <w:tc>
          <w:tcPr>
            <w:tcW w:w="3880" w:type="dxa"/>
            <w:vAlign w:val="bottom"/>
            <w:gridSpan w:val="11"/>
          </w:tcPr>
          <w:p>
            <w:pPr>
              <w:spacing w:after="0"/>
              <w:rPr>
                <w:rFonts w:ascii="Arial" w:cs="Arial" w:eastAsia="Arial" w:hAnsi="Arial"/>
                <w:sz w:val="16"/>
                <w:szCs w:val="16"/>
                <w:color w:val="0000FF"/>
              </w:rPr>
            </w:pPr>
            <w:hyperlink r:id="rId291">
              <w:r>
                <w:rPr>
                  <w:rFonts w:ascii="Arial" w:cs="Arial" w:eastAsia="Arial" w:hAnsi="Arial"/>
                  <w:sz w:val="16"/>
                  <w:szCs w:val="16"/>
                  <w:color w:val="0000FF"/>
                </w:rPr>
                <w:t>Amended and Restated Certificate of Incorporation</w:t>
              </w:r>
            </w:hyperlink>
          </w:p>
        </w:tc>
        <w:tc>
          <w:tcPr>
            <w:tcW w:w="1200" w:type="dxa"/>
            <w:vAlign w:val="bottom"/>
          </w:tcPr>
          <w:p>
            <w:pPr>
              <w:jc w:val="center"/>
              <w:ind w:left="419"/>
              <w:spacing w:after="0"/>
              <w:rPr>
                <w:sz w:val="20"/>
                <w:szCs w:val="20"/>
                <w:color w:val="auto"/>
              </w:rPr>
            </w:pPr>
            <w:r>
              <w:rPr>
                <w:rFonts w:ascii="Arial" w:cs="Arial" w:eastAsia="Arial" w:hAnsi="Arial"/>
                <w:sz w:val="16"/>
                <w:szCs w:val="16"/>
                <w:color w:val="auto"/>
              </w:rPr>
              <w:t>8-K</w:t>
            </w:r>
          </w:p>
        </w:tc>
        <w:tc>
          <w:tcPr>
            <w:tcW w:w="1940" w:type="dxa"/>
            <w:vAlign w:val="bottom"/>
          </w:tcPr>
          <w:p>
            <w:pPr>
              <w:jc w:val="center"/>
              <w:ind w:right="79"/>
              <w:spacing w:after="0"/>
              <w:rPr>
                <w:sz w:val="20"/>
                <w:szCs w:val="20"/>
                <w:color w:val="auto"/>
              </w:rPr>
            </w:pPr>
            <w:r>
              <w:rPr>
                <w:rFonts w:ascii="Arial" w:cs="Arial" w:eastAsia="Arial" w:hAnsi="Arial"/>
                <w:sz w:val="16"/>
                <w:szCs w:val="16"/>
                <w:color w:val="auto"/>
                <w:w w:val="93"/>
              </w:rPr>
              <w:t>2/5/2014</w:t>
            </w:r>
          </w:p>
        </w:tc>
        <w:tc>
          <w:tcPr>
            <w:tcW w:w="880" w:type="dxa"/>
            <w:vAlign w:val="bottom"/>
          </w:tcPr>
          <w:p>
            <w:pPr>
              <w:jc w:val="center"/>
              <w:ind w:right="199"/>
              <w:spacing w:after="0"/>
              <w:rPr>
                <w:sz w:val="20"/>
                <w:szCs w:val="20"/>
                <w:color w:val="auto"/>
              </w:rPr>
            </w:pPr>
            <w:r>
              <w:rPr>
                <w:rFonts w:ascii="Arial" w:cs="Arial" w:eastAsia="Arial" w:hAnsi="Arial"/>
                <w:sz w:val="16"/>
                <w:szCs w:val="16"/>
                <w:color w:val="auto"/>
                <w:w w:val="89"/>
              </w:rPr>
              <w:t>3.1</w:t>
            </w:r>
          </w:p>
        </w:tc>
        <w:tc>
          <w:tcPr>
            <w:tcW w:w="1340" w:type="dxa"/>
            <w:vAlign w:val="bottom"/>
          </w:tcPr>
          <w:p>
            <w:pPr>
              <w:spacing w:after="0"/>
              <w:rPr>
                <w:sz w:val="16"/>
                <w:szCs w:val="16"/>
                <w:color w:val="auto"/>
              </w:rPr>
            </w:pPr>
          </w:p>
        </w:tc>
      </w:tr>
      <w:tr>
        <w:trPr>
          <w:trHeight w:val="20"/>
        </w:trPr>
        <w:tc>
          <w:tcPr>
            <w:tcW w:w="18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9"/>
        </w:trPr>
        <w:tc>
          <w:tcPr>
            <w:tcW w:w="1880" w:type="dxa"/>
            <w:vAlign w:val="bottom"/>
          </w:tcPr>
          <w:p>
            <w:pPr>
              <w:spacing w:after="0"/>
              <w:rPr>
                <w:sz w:val="20"/>
                <w:szCs w:val="20"/>
                <w:color w:val="auto"/>
              </w:rPr>
            </w:pPr>
            <w:r>
              <w:rPr>
                <w:rFonts w:ascii="Arial" w:cs="Arial" w:eastAsia="Arial" w:hAnsi="Arial"/>
                <w:sz w:val="16"/>
                <w:szCs w:val="16"/>
                <w:color w:val="auto"/>
              </w:rPr>
              <w:t>3.2</w:t>
            </w:r>
          </w:p>
        </w:tc>
        <w:tc>
          <w:tcPr>
            <w:tcW w:w="3880" w:type="dxa"/>
            <w:vAlign w:val="bottom"/>
            <w:gridSpan w:val="11"/>
          </w:tcPr>
          <w:p>
            <w:pPr>
              <w:spacing w:after="0"/>
              <w:rPr>
                <w:rFonts w:ascii="Arial" w:cs="Arial" w:eastAsia="Arial" w:hAnsi="Arial"/>
                <w:sz w:val="16"/>
                <w:szCs w:val="16"/>
                <w:color w:val="0000FF"/>
              </w:rPr>
            </w:pPr>
            <w:hyperlink r:id="rId292">
              <w:r>
                <w:rPr>
                  <w:rFonts w:ascii="Arial" w:cs="Arial" w:eastAsia="Arial" w:hAnsi="Arial"/>
                  <w:sz w:val="16"/>
                  <w:szCs w:val="16"/>
                  <w:color w:val="0000FF"/>
                </w:rPr>
                <w:t>Amended and Restated Bylaws</w:t>
              </w:r>
            </w:hyperlink>
          </w:p>
        </w:tc>
        <w:tc>
          <w:tcPr>
            <w:tcW w:w="1200" w:type="dxa"/>
            <w:vAlign w:val="bottom"/>
          </w:tcPr>
          <w:p>
            <w:pPr>
              <w:jc w:val="center"/>
              <w:ind w:left="419"/>
              <w:spacing w:after="0"/>
              <w:rPr>
                <w:sz w:val="20"/>
                <w:szCs w:val="20"/>
                <w:color w:val="auto"/>
              </w:rPr>
            </w:pPr>
            <w:r>
              <w:rPr>
                <w:rFonts w:ascii="Arial" w:cs="Arial" w:eastAsia="Arial" w:hAnsi="Arial"/>
                <w:sz w:val="16"/>
                <w:szCs w:val="16"/>
                <w:color w:val="auto"/>
              </w:rPr>
              <w:t>8-K</w:t>
            </w:r>
          </w:p>
        </w:tc>
        <w:tc>
          <w:tcPr>
            <w:tcW w:w="1940" w:type="dxa"/>
            <w:vAlign w:val="bottom"/>
          </w:tcPr>
          <w:p>
            <w:pPr>
              <w:jc w:val="center"/>
              <w:ind w:right="79"/>
              <w:spacing w:after="0"/>
              <w:rPr>
                <w:sz w:val="20"/>
                <w:szCs w:val="20"/>
                <w:color w:val="auto"/>
              </w:rPr>
            </w:pPr>
            <w:r>
              <w:rPr>
                <w:rFonts w:ascii="Arial" w:cs="Arial" w:eastAsia="Arial" w:hAnsi="Arial"/>
                <w:sz w:val="16"/>
                <w:szCs w:val="16"/>
                <w:color w:val="auto"/>
                <w:w w:val="93"/>
              </w:rPr>
              <w:t>2/5/2014</w:t>
            </w:r>
          </w:p>
        </w:tc>
        <w:tc>
          <w:tcPr>
            <w:tcW w:w="880" w:type="dxa"/>
            <w:vAlign w:val="bottom"/>
          </w:tcPr>
          <w:p>
            <w:pPr>
              <w:jc w:val="center"/>
              <w:ind w:right="199"/>
              <w:spacing w:after="0"/>
              <w:rPr>
                <w:sz w:val="20"/>
                <w:szCs w:val="20"/>
                <w:color w:val="auto"/>
              </w:rPr>
            </w:pPr>
            <w:r>
              <w:rPr>
                <w:rFonts w:ascii="Arial" w:cs="Arial" w:eastAsia="Arial" w:hAnsi="Arial"/>
                <w:sz w:val="16"/>
                <w:szCs w:val="16"/>
                <w:color w:val="auto"/>
                <w:w w:val="89"/>
              </w:rPr>
              <w:t>3.2</w:t>
            </w:r>
          </w:p>
        </w:tc>
        <w:tc>
          <w:tcPr>
            <w:tcW w:w="1340" w:type="dxa"/>
            <w:vAlign w:val="bottom"/>
          </w:tcPr>
          <w:p>
            <w:pPr>
              <w:spacing w:after="0"/>
              <w:rPr>
                <w:sz w:val="18"/>
                <w:szCs w:val="18"/>
                <w:color w:val="auto"/>
              </w:rPr>
            </w:pPr>
          </w:p>
        </w:tc>
      </w:tr>
      <w:tr>
        <w:trPr>
          <w:trHeight w:val="20"/>
        </w:trPr>
        <w:tc>
          <w:tcPr>
            <w:tcW w:w="18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880" w:type="dxa"/>
            <w:vAlign w:val="bottom"/>
          </w:tcPr>
          <w:p>
            <w:pPr>
              <w:spacing w:after="0"/>
              <w:rPr>
                <w:sz w:val="20"/>
                <w:szCs w:val="20"/>
                <w:color w:val="auto"/>
              </w:rPr>
            </w:pPr>
            <w:r>
              <w:rPr>
                <w:rFonts w:ascii="Arial" w:cs="Arial" w:eastAsia="Arial" w:hAnsi="Arial"/>
                <w:sz w:val="16"/>
                <w:szCs w:val="16"/>
                <w:color w:val="auto"/>
              </w:rPr>
              <w:t>4.1</w:t>
            </w:r>
          </w:p>
        </w:tc>
        <w:tc>
          <w:tcPr>
            <w:tcW w:w="3880" w:type="dxa"/>
            <w:vAlign w:val="bottom"/>
            <w:gridSpan w:val="11"/>
          </w:tcPr>
          <w:p>
            <w:pPr>
              <w:spacing w:after="0"/>
              <w:rPr>
                <w:rFonts w:ascii="Arial" w:cs="Arial" w:eastAsia="Arial" w:hAnsi="Arial"/>
                <w:sz w:val="16"/>
                <w:szCs w:val="16"/>
                <w:color w:val="0000FF"/>
              </w:rPr>
            </w:pPr>
            <w:hyperlink r:id="rId293">
              <w:r>
                <w:rPr>
                  <w:rFonts w:ascii="Arial" w:cs="Arial" w:eastAsia="Arial" w:hAnsi="Arial"/>
                  <w:sz w:val="16"/>
                  <w:szCs w:val="16"/>
                  <w:color w:val="0000FF"/>
                </w:rPr>
                <w:t>Form of Common Stock Certificate</w:t>
              </w:r>
            </w:hyperlink>
          </w:p>
        </w:tc>
        <w:tc>
          <w:tcPr>
            <w:tcW w:w="1200" w:type="dxa"/>
            <w:vAlign w:val="bottom"/>
          </w:tcPr>
          <w:p>
            <w:pPr>
              <w:jc w:val="center"/>
              <w:ind w:left="419"/>
              <w:spacing w:after="0"/>
              <w:rPr>
                <w:sz w:val="20"/>
                <w:szCs w:val="20"/>
                <w:color w:val="auto"/>
              </w:rPr>
            </w:pPr>
            <w:r>
              <w:rPr>
                <w:rFonts w:ascii="Arial" w:cs="Arial" w:eastAsia="Arial" w:hAnsi="Arial"/>
                <w:sz w:val="16"/>
                <w:szCs w:val="16"/>
                <w:color w:val="auto"/>
                <w:w w:val="88"/>
              </w:rPr>
              <w:t>S-1</w:t>
            </w:r>
          </w:p>
        </w:tc>
        <w:tc>
          <w:tcPr>
            <w:tcW w:w="1940" w:type="dxa"/>
            <w:vAlign w:val="bottom"/>
          </w:tcPr>
          <w:p>
            <w:pPr>
              <w:jc w:val="center"/>
              <w:ind w:right="79"/>
              <w:spacing w:after="0"/>
              <w:rPr>
                <w:sz w:val="20"/>
                <w:szCs w:val="20"/>
                <w:color w:val="auto"/>
              </w:rPr>
            </w:pPr>
            <w:r>
              <w:rPr>
                <w:rFonts w:ascii="Arial" w:cs="Arial" w:eastAsia="Arial" w:hAnsi="Arial"/>
                <w:sz w:val="16"/>
                <w:szCs w:val="16"/>
                <w:color w:val="auto"/>
                <w:w w:val="92"/>
              </w:rPr>
              <w:t>11/8/2013</w:t>
            </w:r>
          </w:p>
        </w:tc>
        <w:tc>
          <w:tcPr>
            <w:tcW w:w="880" w:type="dxa"/>
            <w:vAlign w:val="bottom"/>
          </w:tcPr>
          <w:p>
            <w:pPr>
              <w:jc w:val="center"/>
              <w:ind w:right="199"/>
              <w:spacing w:after="0"/>
              <w:rPr>
                <w:sz w:val="20"/>
                <w:szCs w:val="20"/>
                <w:color w:val="auto"/>
              </w:rPr>
            </w:pPr>
            <w:r>
              <w:rPr>
                <w:rFonts w:ascii="Arial" w:cs="Arial" w:eastAsia="Arial" w:hAnsi="Arial"/>
                <w:sz w:val="16"/>
                <w:szCs w:val="16"/>
                <w:color w:val="auto"/>
                <w:w w:val="89"/>
              </w:rPr>
              <w:t>4.2</w:t>
            </w:r>
          </w:p>
        </w:tc>
        <w:tc>
          <w:tcPr>
            <w:tcW w:w="1340" w:type="dxa"/>
            <w:vAlign w:val="bottom"/>
          </w:tcPr>
          <w:p>
            <w:pPr>
              <w:spacing w:after="0"/>
              <w:rPr>
                <w:sz w:val="18"/>
                <w:szCs w:val="18"/>
                <w:color w:val="auto"/>
              </w:rPr>
            </w:pPr>
          </w:p>
        </w:tc>
      </w:tr>
      <w:tr>
        <w:trPr>
          <w:trHeight w:val="20"/>
        </w:trPr>
        <w:tc>
          <w:tcPr>
            <w:tcW w:w="18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9"/>
        </w:trPr>
        <w:tc>
          <w:tcPr>
            <w:tcW w:w="1880" w:type="dxa"/>
            <w:vAlign w:val="bottom"/>
          </w:tcPr>
          <w:p>
            <w:pPr>
              <w:spacing w:after="0"/>
              <w:rPr>
                <w:sz w:val="20"/>
                <w:szCs w:val="20"/>
                <w:color w:val="auto"/>
              </w:rPr>
            </w:pPr>
            <w:r>
              <w:rPr>
                <w:rFonts w:ascii="Arial" w:cs="Arial" w:eastAsia="Arial" w:hAnsi="Arial"/>
                <w:sz w:val="16"/>
                <w:szCs w:val="16"/>
                <w:color w:val="auto"/>
              </w:rPr>
              <w:t>4.2</w:t>
            </w:r>
          </w:p>
        </w:tc>
        <w:tc>
          <w:tcPr>
            <w:tcW w:w="3880" w:type="dxa"/>
            <w:vAlign w:val="bottom"/>
            <w:gridSpan w:val="11"/>
          </w:tcPr>
          <w:p>
            <w:pPr>
              <w:spacing w:after="0"/>
              <w:rPr>
                <w:rFonts w:ascii="Arial" w:cs="Arial" w:eastAsia="Arial" w:hAnsi="Arial"/>
                <w:sz w:val="16"/>
                <w:szCs w:val="16"/>
                <w:color w:val="0000FF"/>
              </w:rPr>
            </w:pPr>
            <w:hyperlink r:id="rId294">
              <w:r>
                <w:rPr>
                  <w:rFonts w:ascii="Arial" w:cs="Arial" w:eastAsia="Arial" w:hAnsi="Arial"/>
                  <w:sz w:val="16"/>
                  <w:szCs w:val="16"/>
                  <w:color w:val="0000FF"/>
                </w:rPr>
                <w:t>Form of Indenture</w:t>
              </w:r>
            </w:hyperlink>
          </w:p>
        </w:tc>
        <w:tc>
          <w:tcPr>
            <w:tcW w:w="1200" w:type="dxa"/>
            <w:vAlign w:val="bottom"/>
          </w:tcPr>
          <w:p>
            <w:pPr>
              <w:jc w:val="center"/>
              <w:ind w:left="419"/>
              <w:spacing w:after="0"/>
              <w:rPr>
                <w:sz w:val="20"/>
                <w:szCs w:val="20"/>
                <w:color w:val="auto"/>
              </w:rPr>
            </w:pPr>
            <w:r>
              <w:rPr>
                <w:rFonts w:ascii="Arial" w:cs="Arial" w:eastAsia="Arial" w:hAnsi="Arial"/>
                <w:sz w:val="16"/>
                <w:szCs w:val="16"/>
                <w:color w:val="auto"/>
                <w:w w:val="93"/>
              </w:rPr>
              <w:t>S-3ASR</w:t>
            </w:r>
          </w:p>
        </w:tc>
        <w:tc>
          <w:tcPr>
            <w:tcW w:w="1940" w:type="dxa"/>
            <w:vAlign w:val="bottom"/>
          </w:tcPr>
          <w:p>
            <w:pPr>
              <w:jc w:val="center"/>
              <w:ind w:right="79"/>
              <w:spacing w:after="0"/>
              <w:rPr>
                <w:sz w:val="20"/>
                <w:szCs w:val="20"/>
                <w:color w:val="auto"/>
              </w:rPr>
            </w:pPr>
            <w:r>
              <w:rPr>
                <w:rFonts w:ascii="Arial" w:cs="Arial" w:eastAsia="Arial" w:hAnsi="Arial"/>
                <w:sz w:val="16"/>
                <w:szCs w:val="16"/>
                <w:color w:val="auto"/>
                <w:w w:val="92"/>
              </w:rPr>
              <w:t>2/12/2021</w:t>
            </w:r>
          </w:p>
        </w:tc>
        <w:tc>
          <w:tcPr>
            <w:tcW w:w="880" w:type="dxa"/>
            <w:vAlign w:val="bottom"/>
          </w:tcPr>
          <w:p>
            <w:pPr>
              <w:jc w:val="center"/>
              <w:ind w:right="199"/>
              <w:spacing w:after="0"/>
              <w:rPr>
                <w:sz w:val="20"/>
                <w:szCs w:val="20"/>
                <w:color w:val="auto"/>
              </w:rPr>
            </w:pPr>
            <w:r>
              <w:rPr>
                <w:rFonts w:ascii="Arial" w:cs="Arial" w:eastAsia="Arial" w:hAnsi="Arial"/>
                <w:sz w:val="16"/>
                <w:szCs w:val="16"/>
                <w:color w:val="auto"/>
                <w:w w:val="89"/>
              </w:rPr>
              <w:t>4.2</w:t>
            </w:r>
          </w:p>
        </w:tc>
        <w:tc>
          <w:tcPr>
            <w:tcW w:w="1340" w:type="dxa"/>
            <w:vAlign w:val="bottom"/>
          </w:tcPr>
          <w:p>
            <w:pPr>
              <w:spacing w:after="0"/>
              <w:rPr>
                <w:sz w:val="18"/>
                <w:szCs w:val="18"/>
                <w:color w:val="auto"/>
              </w:rPr>
            </w:pPr>
          </w:p>
        </w:tc>
      </w:tr>
      <w:tr>
        <w:trPr>
          <w:trHeight w:val="20"/>
        </w:trPr>
        <w:tc>
          <w:tcPr>
            <w:tcW w:w="18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9"/>
        </w:trPr>
        <w:tc>
          <w:tcPr>
            <w:tcW w:w="1880" w:type="dxa"/>
            <w:vAlign w:val="bottom"/>
          </w:tcPr>
          <w:p>
            <w:pPr>
              <w:spacing w:after="0"/>
              <w:rPr>
                <w:sz w:val="20"/>
                <w:szCs w:val="20"/>
                <w:color w:val="auto"/>
              </w:rPr>
            </w:pPr>
            <w:r>
              <w:rPr>
                <w:rFonts w:ascii="Arial" w:cs="Arial" w:eastAsia="Arial" w:hAnsi="Arial"/>
                <w:sz w:val="16"/>
                <w:szCs w:val="16"/>
                <w:color w:val="auto"/>
              </w:rPr>
              <w:t>10.1#</w:t>
            </w:r>
          </w:p>
        </w:tc>
        <w:tc>
          <w:tcPr>
            <w:tcW w:w="3880" w:type="dxa"/>
            <w:vAlign w:val="bottom"/>
            <w:gridSpan w:val="11"/>
          </w:tcPr>
          <w:p>
            <w:pPr>
              <w:spacing w:after="0"/>
              <w:rPr>
                <w:rFonts w:ascii="Arial" w:cs="Arial" w:eastAsia="Arial" w:hAnsi="Arial"/>
                <w:sz w:val="16"/>
                <w:szCs w:val="16"/>
                <w:color w:val="0000FF"/>
                <w:w w:val="96"/>
              </w:rPr>
            </w:pPr>
            <w:hyperlink w:anchor="page75">
              <w:r>
                <w:rPr>
                  <w:rFonts w:ascii="Arial" w:cs="Arial" w:eastAsia="Arial" w:hAnsi="Arial"/>
                  <w:sz w:val="16"/>
                  <w:szCs w:val="16"/>
                  <w:color w:val="0000FF"/>
                  <w:w w:val="96"/>
                </w:rPr>
                <w:t>Amendment No. 1 to the Ultragenyx Pharmaceutical Inc.</w:t>
              </w:r>
            </w:hyperlink>
          </w:p>
        </w:tc>
        <w:tc>
          <w:tcPr>
            <w:tcW w:w="1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center"/>
              <w:ind w:left="219"/>
              <w:spacing w:after="0"/>
              <w:rPr>
                <w:sz w:val="20"/>
                <w:szCs w:val="20"/>
                <w:color w:val="auto"/>
              </w:rPr>
            </w:pPr>
            <w:r>
              <w:rPr>
                <w:rFonts w:ascii="Arial" w:cs="Arial" w:eastAsia="Arial" w:hAnsi="Arial"/>
                <w:sz w:val="16"/>
                <w:szCs w:val="16"/>
                <w:color w:val="auto"/>
              </w:rPr>
              <w:t>X</w:t>
            </w:r>
          </w:p>
        </w:tc>
      </w:tr>
      <w:tr>
        <w:trPr>
          <w:trHeight w:val="20"/>
        </w:trPr>
        <w:tc>
          <w:tcPr>
            <w:tcW w:w="1880" w:type="dxa"/>
            <w:vAlign w:val="bottom"/>
          </w:tcPr>
          <w:p>
            <w:pPr>
              <w:spacing w:after="0" w:line="20" w:lineRule="exact"/>
              <w:rPr>
                <w:sz w:val="1"/>
                <w:szCs w:val="1"/>
                <w:color w:val="auto"/>
              </w:rPr>
            </w:pPr>
          </w:p>
        </w:tc>
        <w:tc>
          <w:tcPr>
            <w:tcW w:w="188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3"/>
        </w:trPr>
        <w:tc>
          <w:tcPr>
            <w:tcW w:w="1880" w:type="dxa"/>
            <w:vAlign w:val="bottom"/>
          </w:tcPr>
          <w:p>
            <w:pPr>
              <w:spacing w:after="0"/>
              <w:rPr>
                <w:sz w:val="15"/>
                <w:szCs w:val="15"/>
                <w:color w:val="auto"/>
              </w:rPr>
            </w:pPr>
          </w:p>
        </w:tc>
        <w:tc>
          <w:tcPr>
            <w:tcW w:w="3880" w:type="dxa"/>
            <w:vAlign w:val="bottom"/>
            <w:gridSpan w:val="11"/>
          </w:tcPr>
          <w:p>
            <w:pPr>
              <w:spacing w:after="0" w:line="183" w:lineRule="exact"/>
              <w:rPr>
                <w:rFonts w:ascii="Arial" w:cs="Arial" w:eastAsia="Arial" w:hAnsi="Arial"/>
                <w:sz w:val="16"/>
                <w:szCs w:val="16"/>
                <w:color w:val="0000FF"/>
              </w:rPr>
            </w:pPr>
            <w:hyperlink w:anchor="page75">
              <w:r>
                <w:rPr>
                  <w:rFonts w:ascii="Arial" w:cs="Arial" w:eastAsia="Arial" w:hAnsi="Arial"/>
                  <w:sz w:val="16"/>
                  <w:szCs w:val="16"/>
                  <w:color w:val="0000FF"/>
                </w:rPr>
                <w:t>Deferred Compensation Plan</w:t>
              </w:r>
            </w:hyperlink>
          </w:p>
        </w:tc>
        <w:tc>
          <w:tcPr>
            <w:tcW w:w="1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188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EE"/>
            </w:tcBorders>
            <w:gridSpan w:val="2"/>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880" w:type="dxa"/>
            <w:vAlign w:val="bottom"/>
          </w:tcPr>
          <w:p>
            <w:pPr>
              <w:spacing w:after="0"/>
              <w:rPr>
                <w:sz w:val="20"/>
                <w:szCs w:val="20"/>
                <w:color w:val="auto"/>
              </w:rPr>
            </w:pPr>
            <w:r>
              <w:rPr>
                <w:rFonts w:ascii="Arial" w:cs="Arial" w:eastAsia="Arial" w:hAnsi="Arial"/>
                <w:sz w:val="16"/>
                <w:szCs w:val="16"/>
                <w:color w:val="auto"/>
              </w:rPr>
              <w:t>31.1</w:t>
            </w:r>
          </w:p>
        </w:tc>
        <w:tc>
          <w:tcPr>
            <w:tcW w:w="3880" w:type="dxa"/>
            <w:vAlign w:val="bottom"/>
            <w:gridSpan w:val="11"/>
          </w:tcPr>
          <w:p>
            <w:pPr>
              <w:spacing w:after="0"/>
              <w:rPr>
                <w:rFonts w:ascii="Arial" w:cs="Arial" w:eastAsia="Arial" w:hAnsi="Arial"/>
                <w:sz w:val="16"/>
                <w:szCs w:val="16"/>
                <w:color w:val="0000FF"/>
                <w:w w:val="93"/>
              </w:rPr>
            </w:pPr>
            <w:hyperlink w:anchor="page77">
              <w:r>
                <w:rPr>
                  <w:rFonts w:ascii="Arial" w:cs="Arial" w:eastAsia="Arial" w:hAnsi="Arial"/>
                  <w:sz w:val="16"/>
                  <w:szCs w:val="16"/>
                  <w:color w:val="0000FF"/>
                  <w:w w:val="93"/>
                </w:rPr>
                <w:t>Certification of Principal Executive Officer Required Under</w:t>
              </w:r>
            </w:hyperlink>
          </w:p>
        </w:tc>
        <w:tc>
          <w:tcPr>
            <w:tcW w:w="1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center"/>
              <w:ind w:left="219"/>
              <w:spacing w:after="0"/>
              <w:rPr>
                <w:sz w:val="20"/>
                <w:szCs w:val="20"/>
                <w:color w:val="auto"/>
              </w:rPr>
            </w:pPr>
            <w:r>
              <w:rPr>
                <w:rFonts w:ascii="Arial" w:cs="Arial" w:eastAsia="Arial" w:hAnsi="Arial"/>
                <w:sz w:val="16"/>
                <w:szCs w:val="16"/>
                <w:color w:val="auto"/>
              </w:rPr>
              <w:t>X</w:t>
            </w:r>
          </w:p>
        </w:tc>
      </w:tr>
      <w:tr>
        <w:trPr>
          <w:trHeight w:val="20"/>
        </w:trPr>
        <w:tc>
          <w:tcPr>
            <w:tcW w:w="1880" w:type="dxa"/>
            <w:vAlign w:val="bottom"/>
          </w:tcPr>
          <w:p>
            <w:pPr>
              <w:spacing w:after="0" w:line="20" w:lineRule="exact"/>
              <w:rPr>
                <w:sz w:val="1"/>
                <w:szCs w:val="1"/>
                <w:color w:val="auto"/>
              </w:rPr>
            </w:pPr>
          </w:p>
        </w:tc>
        <w:tc>
          <w:tcPr>
            <w:tcW w:w="334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3"/>
        </w:trPr>
        <w:tc>
          <w:tcPr>
            <w:tcW w:w="1880" w:type="dxa"/>
            <w:vAlign w:val="bottom"/>
          </w:tcPr>
          <w:p>
            <w:pPr>
              <w:spacing w:after="0"/>
              <w:rPr>
                <w:sz w:val="15"/>
                <w:szCs w:val="15"/>
                <w:color w:val="auto"/>
              </w:rPr>
            </w:pPr>
          </w:p>
        </w:tc>
        <w:tc>
          <w:tcPr>
            <w:tcW w:w="3880" w:type="dxa"/>
            <w:vAlign w:val="bottom"/>
            <w:gridSpan w:val="11"/>
          </w:tcPr>
          <w:p>
            <w:pPr>
              <w:spacing w:after="0" w:line="183" w:lineRule="exact"/>
              <w:rPr>
                <w:rFonts w:ascii="Arial" w:cs="Arial" w:eastAsia="Arial" w:hAnsi="Arial"/>
                <w:sz w:val="16"/>
                <w:szCs w:val="16"/>
                <w:color w:val="0000FF"/>
                <w:w w:val="99"/>
              </w:rPr>
            </w:pPr>
            <w:hyperlink w:anchor="page77">
              <w:r>
                <w:rPr>
                  <w:rFonts w:ascii="Arial" w:cs="Arial" w:eastAsia="Arial" w:hAnsi="Arial"/>
                  <w:sz w:val="16"/>
                  <w:szCs w:val="16"/>
                  <w:color w:val="0000FF"/>
                  <w:w w:val="99"/>
                </w:rPr>
                <w:t>Rule 13a-14(a) or Rule 15d-14(a) of the Exchange Act</w:t>
              </w:r>
            </w:hyperlink>
          </w:p>
        </w:tc>
        <w:tc>
          <w:tcPr>
            <w:tcW w:w="1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1880" w:type="dxa"/>
            <w:vAlign w:val="bottom"/>
            <w:tcBorders>
              <w:right w:val="single" w:sz="8" w:color="0000FF"/>
            </w:tcBorders>
          </w:tcPr>
          <w:p>
            <w:pPr>
              <w:spacing w:after="0" w:line="20" w:lineRule="exact"/>
              <w:rPr>
                <w:sz w:val="1"/>
                <w:szCs w:val="1"/>
                <w:color w:val="auto"/>
              </w:rPr>
            </w:pPr>
          </w:p>
        </w:tc>
        <w:tc>
          <w:tcPr>
            <w:tcW w:w="3340" w:type="dxa"/>
            <w:vAlign w:val="bottom"/>
            <w:tcBorders>
              <w:right w:val="single" w:sz="8" w:color="0000EE"/>
            </w:tcBorders>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9"/>
        </w:trPr>
        <w:tc>
          <w:tcPr>
            <w:tcW w:w="1880" w:type="dxa"/>
            <w:vAlign w:val="bottom"/>
          </w:tcPr>
          <w:p>
            <w:pPr>
              <w:spacing w:after="0"/>
              <w:rPr>
                <w:sz w:val="20"/>
                <w:szCs w:val="20"/>
                <w:color w:val="auto"/>
              </w:rPr>
            </w:pPr>
            <w:r>
              <w:rPr>
                <w:rFonts w:ascii="Arial" w:cs="Arial" w:eastAsia="Arial" w:hAnsi="Arial"/>
                <w:sz w:val="16"/>
                <w:szCs w:val="16"/>
                <w:color w:val="auto"/>
              </w:rPr>
              <w:t>31.2</w:t>
            </w:r>
          </w:p>
        </w:tc>
        <w:tc>
          <w:tcPr>
            <w:tcW w:w="3880" w:type="dxa"/>
            <w:vAlign w:val="bottom"/>
            <w:gridSpan w:val="11"/>
          </w:tcPr>
          <w:p>
            <w:pPr>
              <w:spacing w:after="0"/>
              <w:rPr>
                <w:rFonts w:ascii="Arial" w:cs="Arial" w:eastAsia="Arial" w:hAnsi="Arial"/>
                <w:sz w:val="16"/>
                <w:szCs w:val="16"/>
                <w:color w:val="0000FF"/>
                <w:w w:val="94"/>
              </w:rPr>
            </w:pPr>
            <w:hyperlink w:anchor="page78">
              <w:r>
                <w:rPr>
                  <w:rFonts w:ascii="Arial" w:cs="Arial" w:eastAsia="Arial" w:hAnsi="Arial"/>
                  <w:sz w:val="16"/>
                  <w:szCs w:val="16"/>
                  <w:color w:val="0000FF"/>
                  <w:w w:val="94"/>
                </w:rPr>
                <w:t>Certification of Principal Financial Officer Required Under</w:t>
              </w:r>
            </w:hyperlink>
          </w:p>
        </w:tc>
        <w:tc>
          <w:tcPr>
            <w:tcW w:w="1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center"/>
              <w:ind w:left="219"/>
              <w:spacing w:after="0"/>
              <w:rPr>
                <w:sz w:val="20"/>
                <w:szCs w:val="20"/>
                <w:color w:val="auto"/>
              </w:rPr>
            </w:pPr>
            <w:r>
              <w:rPr>
                <w:rFonts w:ascii="Arial" w:cs="Arial" w:eastAsia="Arial" w:hAnsi="Arial"/>
                <w:sz w:val="16"/>
                <w:szCs w:val="16"/>
                <w:color w:val="auto"/>
              </w:rPr>
              <w:t>X</w:t>
            </w:r>
          </w:p>
        </w:tc>
      </w:tr>
      <w:tr>
        <w:trPr>
          <w:trHeight w:val="20"/>
        </w:trPr>
        <w:tc>
          <w:tcPr>
            <w:tcW w:w="1880" w:type="dxa"/>
            <w:vAlign w:val="bottom"/>
          </w:tcPr>
          <w:p>
            <w:pPr>
              <w:spacing w:after="0" w:line="20" w:lineRule="exact"/>
              <w:rPr>
                <w:sz w:val="1"/>
                <w:szCs w:val="1"/>
                <w:color w:val="auto"/>
              </w:rPr>
            </w:pPr>
          </w:p>
        </w:tc>
        <w:tc>
          <w:tcPr>
            <w:tcW w:w="3340" w:type="dxa"/>
            <w:vAlign w:val="bottom"/>
            <w:tcBorders>
              <w:right w:val="single" w:sz="8" w:color="0000FF"/>
            </w:tcBorders>
            <w:gridSpan w:val="6"/>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3"/>
        </w:trPr>
        <w:tc>
          <w:tcPr>
            <w:tcW w:w="1880" w:type="dxa"/>
            <w:vAlign w:val="bottom"/>
          </w:tcPr>
          <w:p>
            <w:pPr>
              <w:spacing w:after="0"/>
              <w:rPr>
                <w:sz w:val="15"/>
                <w:szCs w:val="15"/>
                <w:color w:val="auto"/>
              </w:rPr>
            </w:pPr>
          </w:p>
        </w:tc>
        <w:tc>
          <w:tcPr>
            <w:tcW w:w="3880" w:type="dxa"/>
            <w:vAlign w:val="bottom"/>
            <w:gridSpan w:val="11"/>
          </w:tcPr>
          <w:p>
            <w:pPr>
              <w:spacing w:after="0" w:line="183" w:lineRule="exact"/>
              <w:rPr>
                <w:rFonts w:ascii="Arial" w:cs="Arial" w:eastAsia="Arial" w:hAnsi="Arial"/>
                <w:sz w:val="16"/>
                <w:szCs w:val="16"/>
                <w:color w:val="0000FF"/>
                <w:w w:val="99"/>
              </w:rPr>
            </w:pPr>
            <w:hyperlink w:anchor="page78">
              <w:r>
                <w:rPr>
                  <w:rFonts w:ascii="Arial" w:cs="Arial" w:eastAsia="Arial" w:hAnsi="Arial"/>
                  <w:sz w:val="16"/>
                  <w:szCs w:val="16"/>
                  <w:color w:val="0000FF"/>
                  <w:w w:val="99"/>
                </w:rPr>
                <w:t>Rule 13a-14(a) or Rule 15d-14(a) of the Exchange Act</w:t>
              </w:r>
            </w:hyperlink>
          </w:p>
        </w:tc>
        <w:tc>
          <w:tcPr>
            <w:tcW w:w="1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1880" w:type="dxa"/>
            <w:vAlign w:val="bottom"/>
            <w:tcBorders>
              <w:right w:val="single" w:sz="8" w:color="0000FF"/>
            </w:tcBorders>
          </w:tcPr>
          <w:p>
            <w:pPr>
              <w:spacing w:after="0" w:line="20" w:lineRule="exact"/>
              <w:rPr>
                <w:sz w:val="1"/>
                <w:szCs w:val="1"/>
                <w:color w:val="auto"/>
              </w:rPr>
            </w:pPr>
          </w:p>
        </w:tc>
        <w:tc>
          <w:tcPr>
            <w:tcW w:w="3340" w:type="dxa"/>
            <w:vAlign w:val="bottom"/>
            <w:tcBorders>
              <w:right w:val="single" w:sz="8" w:color="0000EE"/>
            </w:tcBorders>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9"/>
        </w:trPr>
        <w:tc>
          <w:tcPr>
            <w:tcW w:w="1880" w:type="dxa"/>
            <w:vAlign w:val="bottom"/>
          </w:tcPr>
          <w:p>
            <w:pPr>
              <w:spacing w:after="0"/>
              <w:rPr>
                <w:sz w:val="20"/>
                <w:szCs w:val="20"/>
                <w:color w:val="auto"/>
              </w:rPr>
            </w:pPr>
            <w:r>
              <w:rPr>
                <w:rFonts w:ascii="Arial" w:cs="Arial" w:eastAsia="Arial" w:hAnsi="Arial"/>
                <w:sz w:val="16"/>
                <w:szCs w:val="16"/>
                <w:color w:val="auto"/>
              </w:rPr>
              <w:t>32.1*</w:t>
            </w:r>
          </w:p>
        </w:tc>
        <w:tc>
          <w:tcPr>
            <w:tcW w:w="3880" w:type="dxa"/>
            <w:vAlign w:val="bottom"/>
            <w:gridSpan w:val="11"/>
          </w:tcPr>
          <w:p>
            <w:pPr>
              <w:spacing w:after="0"/>
              <w:rPr>
                <w:rFonts w:ascii="Arial" w:cs="Arial" w:eastAsia="Arial" w:hAnsi="Arial"/>
                <w:sz w:val="16"/>
                <w:szCs w:val="16"/>
                <w:color w:val="0000FF"/>
                <w:w w:val="98"/>
              </w:rPr>
            </w:pPr>
            <w:hyperlink w:anchor="page79">
              <w:r>
                <w:rPr>
                  <w:rFonts w:ascii="Arial" w:cs="Arial" w:eastAsia="Arial" w:hAnsi="Arial"/>
                  <w:sz w:val="16"/>
                  <w:szCs w:val="16"/>
                  <w:color w:val="0000FF"/>
                  <w:w w:val="98"/>
                </w:rPr>
                <w:t>Certification of Principal Executive Officer and Principal</w:t>
              </w:r>
            </w:hyperlink>
          </w:p>
        </w:tc>
        <w:tc>
          <w:tcPr>
            <w:tcW w:w="1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center"/>
              <w:ind w:left="219"/>
              <w:spacing w:after="0"/>
              <w:rPr>
                <w:sz w:val="20"/>
                <w:szCs w:val="20"/>
                <w:color w:val="auto"/>
              </w:rPr>
            </w:pPr>
            <w:r>
              <w:rPr>
                <w:rFonts w:ascii="Arial" w:cs="Arial" w:eastAsia="Arial" w:hAnsi="Arial"/>
                <w:sz w:val="16"/>
                <w:szCs w:val="16"/>
                <w:color w:val="auto"/>
              </w:rPr>
              <w:t>X</w:t>
            </w:r>
          </w:p>
        </w:tc>
      </w:tr>
      <w:tr>
        <w:trPr>
          <w:trHeight w:val="20"/>
        </w:trPr>
        <w:tc>
          <w:tcPr>
            <w:tcW w:w="1880" w:type="dxa"/>
            <w:vAlign w:val="bottom"/>
          </w:tcPr>
          <w:p>
            <w:pPr>
              <w:spacing w:after="0" w:line="20" w:lineRule="exact"/>
              <w:rPr>
                <w:sz w:val="1"/>
                <w:szCs w:val="1"/>
                <w:color w:val="auto"/>
              </w:rPr>
            </w:pPr>
          </w:p>
        </w:tc>
        <w:tc>
          <w:tcPr>
            <w:tcW w:w="3340" w:type="dxa"/>
            <w:vAlign w:val="bottom"/>
            <w:tcBorders>
              <w:right w:val="single" w:sz="8" w:color="0000FF"/>
            </w:tcBorders>
            <w:gridSpan w:val="6"/>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3"/>
        </w:trPr>
        <w:tc>
          <w:tcPr>
            <w:tcW w:w="1880" w:type="dxa"/>
            <w:vAlign w:val="bottom"/>
          </w:tcPr>
          <w:p>
            <w:pPr>
              <w:spacing w:after="0"/>
              <w:rPr>
                <w:sz w:val="15"/>
                <w:szCs w:val="15"/>
                <w:color w:val="auto"/>
              </w:rPr>
            </w:pPr>
          </w:p>
        </w:tc>
        <w:tc>
          <w:tcPr>
            <w:tcW w:w="3880" w:type="dxa"/>
            <w:vAlign w:val="bottom"/>
            <w:gridSpan w:val="11"/>
          </w:tcPr>
          <w:p>
            <w:pPr>
              <w:spacing w:after="0" w:line="183" w:lineRule="exact"/>
              <w:rPr>
                <w:rFonts w:ascii="Arial" w:cs="Arial" w:eastAsia="Arial" w:hAnsi="Arial"/>
                <w:sz w:val="16"/>
                <w:szCs w:val="16"/>
                <w:color w:val="0000FF"/>
                <w:w w:val="95"/>
              </w:rPr>
            </w:pPr>
            <w:hyperlink w:anchor="page79">
              <w:r>
                <w:rPr>
                  <w:rFonts w:ascii="Arial" w:cs="Arial" w:eastAsia="Arial" w:hAnsi="Arial"/>
                  <w:sz w:val="16"/>
                  <w:szCs w:val="16"/>
                  <w:color w:val="0000FF"/>
                  <w:w w:val="95"/>
                </w:rPr>
                <w:t>Financial Officer Required Under Rule 13a-14(b) or Rule</w:t>
              </w:r>
            </w:hyperlink>
          </w:p>
        </w:tc>
        <w:tc>
          <w:tcPr>
            <w:tcW w:w="1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1880" w:type="dxa"/>
            <w:vAlign w:val="bottom"/>
          </w:tcPr>
          <w:p>
            <w:pPr>
              <w:spacing w:after="0" w:line="20" w:lineRule="exact"/>
              <w:rPr>
                <w:sz w:val="1"/>
                <w:szCs w:val="1"/>
                <w:color w:val="auto"/>
              </w:rPr>
            </w:pPr>
          </w:p>
        </w:tc>
        <w:tc>
          <w:tcPr>
            <w:tcW w:w="334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3"/>
        </w:trPr>
        <w:tc>
          <w:tcPr>
            <w:tcW w:w="1880" w:type="dxa"/>
            <w:vAlign w:val="bottom"/>
          </w:tcPr>
          <w:p>
            <w:pPr>
              <w:spacing w:after="0"/>
              <w:rPr>
                <w:sz w:val="15"/>
                <w:szCs w:val="15"/>
                <w:color w:val="auto"/>
              </w:rPr>
            </w:pPr>
          </w:p>
        </w:tc>
        <w:tc>
          <w:tcPr>
            <w:tcW w:w="3880" w:type="dxa"/>
            <w:vAlign w:val="bottom"/>
            <w:gridSpan w:val="11"/>
          </w:tcPr>
          <w:p>
            <w:pPr>
              <w:spacing w:after="0" w:line="183" w:lineRule="exact"/>
              <w:rPr>
                <w:rFonts w:ascii="Arial" w:cs="Arial" w:eastAsia="Arial" w:hAnsi="Arial"/>
                <w:sz w:val="16"/>
                <w:szCs w:val="16"/>
                <w:color w:val="0000FF"/>
              </w:rPr>
            </w:pPr>
            <w:hyperlink w:anchor="page79">
              <w:r>
                <w:rPr>
                  <w:rFonts w:ascii="Arial" w:cs="Arial" w:eastAsia="Arial" w:hAnsi="Arial"/>
                  <w:sz w:val="16"/>
                  <w:szCs w:val="16"/>
                  <w:color w:val="0000FF"/>
                </w:rPr>
                <w:t>15d-14(b) of the Exchange Act and 18 U.S.C. 1350</w:t>
              </w:r>
            </w:hyperlink>
          </w:p>
        </w:tc>
        <w:tc>
          <w:tcPr>
            <w:tcW w:w="1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1880" w:type="dxa"/>
            <w:vAlign w:val="bottom"/>
            <w:tcBorders>
              <w:right w:val="single" w:sz="8" w:color="0000EE"/>
            </w:tcBorders>
          </w:tcPr>
          <w:p>
            <w:pPr>
              <w:spacing w:after="0" w:line="20" w:lineRule="exact"/>
              <w:rPr>
                <w:sz w:val="1"/>
                <w:szCs w:val="1"/>
                <w:color w:val="auto"/>
              </w:rPr>
            </w:pPr>
          </w:p>
        </w:tc>
        <w:tc>
          <w:tcPr>
            <w:tcW w:w="3340" w:type="dxa"/>
            <w:vAlign w:val="bottom"/>
            <w:tcBorders>
              <w:right w:val="single" w:sz="8" w:color="0000EE"/>
            </w:tcBorders>
            <w:gridSpan w:val="6"/>
            <w:shd w:val="clear" w:color="auto" w:fill="0000FF"/>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47"/>
        </w:trPr>
        <w:tc>
          <w:tcPr>
            <w:tcW w:w="1880" w:type="dxa"/>
            <w:vAlign w:val="bottom"/>
          </w:tcPr>
          <w:p>
            <w:pPr>
              <w:spacing w:after="0"/>
              <w:rPr>
                <w:sz w:val="20"/>
                <w:szCs w:val="20"/>
                <w:color w:val="auto"/>
              </w:rPr>
            </w:pPr>
            <w:r>
              <w:rPr>
                <w:rFonts w:ascii="Arial" w:cs="Arial" w:eastAsia="Arial" w:hAnsi="Arial"/>
                <w:sz w:val="16"/>
                <w:szCs w:val="16"/>
                <w:color w:val="auto"/>
              </w:rPr>
              <w:t>101.INS</w:t>
            </w:r>
          </w:p>
        </w:tc>
        <w:tc>
          <w:tcPr>
            <w:tcW w:w="3880" w:type="dxa"/>
            <w:vAlign w:val="bottom"/>
            <w:gridSpan w:val="11"/>
          </w:tcPr>
          <w:p>
            <w:pPr>
              <w:spacing w:after="0"/>
              <w:rPr>
                <w:sz w:val="20"/>
                <w:szCs w:val="20"/>
                <w:color w:val="auto"/>
              </w:rPr>
            </w:pPr>
            <w:r>
              <w:rPr>
                <w:rFonts w:ascii="Arial" w:cs="Arial" w:eastAsia="Arial" w:hAnsi="Arial"/>
                <w:sz w:val="16"/>
                <w:szCs w:val="16"/>
                <w:color w:val="auto"/>
              </w:rPr>
              <w:t>XBRL Instance Document, formatted in Inline XBRL</w:t>
            </w:r>
          </w:p>
        </w:tc>
        <w:tc>
          <w:tcPr>
            <w:tcW w:w="1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jc w:val="center"/>
              <w:ind w:left="219"/>
              <w:spacing w:after="0"/>
              <w:rPr>
                <w:sz w:val="20"/>
                <w:szCs w:val="20"/>
                <w:color w:val="auto"/>
              </w:rPr>
            </w:pPr>
            <w:r>
              <w:rPr>
                <w:rFonts w:ascii="Arial" w:cs="Arial" w:eastAsia="Arial" w:hAnsi="Arial"/>
                <w:sz w:val="16"/>
                <w:szCs w:val="16"/>
                <w:color w:val="auto"/>
              </w:rPr>
              <w:t>X</w:t>
            </w:r>
          </w:p>
        </w:tc>
      </w:tr>
      <w:tr>
        <w:trPr>
          <w:trHeight w:val="229"/>
        </w:trPr>
        <w:tc>
          <w:tcPr>
            <w:tcW w:w="1880" w:type="dxa"/>
            <w:vAlign w:val="bottom"/>
          </w:tcPr>
          <w:p>
            <w:pPr>
              <w:spacing w:after="0"/>
              <w:rPr>
                <w:sz w:val="20"/>
                <w:szCs w:val="20"/>
                <w:color w:val="auto"/>
              </w:rPr>
            </w:pPr>
            <w:r>
              <w:rPr>
                <w:rFonts w:ascii="Arial" w:cs="Arial" w:eastAsia="Arial" w:hAnsi="Arial"/>
                <w:sz w:val="16"/>
                <w:szCs w:val="16"/>
                <w:color w:val="auto"/>
              </w:rPr>
              <w:t>101.SCH</w:t>
            </w:r>
          </w:p>
        </w:tc>
        <w:tc>
          <w:tcPr>
            <w:tcW w:w="388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 Document</w:t>
            </w:r>
          </w:p>
        </w:tc>
        <w:tc>
          <w:tcPr>
            <w:tcW w:w="1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center"/>
              <w:ind w:left="219"/>
              <w:spacing w:after="0"/>
              <w:rPr>
                <w:sz w:val="20"/>
                <w:szCs w:val="20"/>
                <w:color w:val="auto"/>
              </w:rPr>
            </w:pPr>
            <w:r>
              <w:rPr>
                <w:rFonts w:ascii="Arial" w:cs="Arial" w:eastAsia="Arial" w:hAnsi="Arial"/>
                <w:sz w:val="16"/>
                <w:szCs w:val="16"/>
                <w:color w:val="auto"/>
              </w:rPr>
              <w:t>X</w:t>
            </w:r>
          </w:p>
        </w:tc>
      </w:tr>
      <w:tr>
        <w:trPr>
          <w:trHeight w:val="226"/>
        </w:trPr>
        <w:tc>
          <w:tcPr>
            <w:tcW w:w="1880" w:type="dxa"/>
            <w:vAlign w:val="bottom"/>
          </w:tcPr>
          <w:p>
            <w:pPr>
              <w:spacing w:after="0"/>
              <w:rPr>
                <w:sz w:val="20"/>
                <w:szCs w:val="20"/>
                <w:color w:val="auto"/>
              </w:rPr>
            </w:pPr>
            <w:r>
              <w:rPr>
                <w:rFonts w:ascii="Arial" w:cs="Arial" w:eastAsia="Arial" w:hAnsi="Arial"/>
                <w:sz w:val="16"/>
                <w:szCs w:val="16"/>
                <w:color w:val="auto"/>
              </w:rPr>
              <w:t>101.CAL</w:t>
            </w:r>
          </w:p>
        </w:tc>
        <w:tc>
          <w:tcPr>
            <w:tcW w:w="3880" w:type="dxa"/>
            <w:vAlign w:val="bottom"/>
            <w:gridSpan w:val="11"/>
          </w:tcPr>
          <w:p>
            <w:pPr>
              <w:spacing w:after="0"/>
              <w:rPr>
                <w:sz w:val="20"/>
                <w:szCs w:val="20"/>
                <w:color w:val="auto"/>
              </w:rPr>
            </w:pPr>
            <w:r>
              <w:rPr>
                <w:rFonts w:ascii="Arial" w:cs="Arial" w:eastAsia="Arial" w:hAnsi="Arial"/>
                <w:sz w:val="16"/>
                <w:szCs w:val="16"/>
                <w:color w:val="auto"/>
                <w:w w:val="98"/>
              </w:rPr>
              <w:t>Inline XBRL Taxonomy Extension Calculation Linkbase</w:t>
            </w:r>
          </w:p>
        </w:tc>
        <w:tc>
          <w:tcPr>
            <w:tcW w:w="1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center"/>
              <w:ind w:left="219"/>
              <w:spacing w:after="0"/>
              <w:rPr>
                <w:sz w:val="20"/>
                <w:szCs w:val="20"/>
                <w:color w:val="auto"/>
              </w:rPr>
            </w:pPr>
            <w:r>
              <w:rPr>
                <w:rFonts w:ascii="Arial" w:cs="Arial" w:eastAsia="Arial" w:hAnsi="Arial"/>
                <w:sz w:val="16"/>
                <w:szCs w:val="16"/>
                <w:color w:val="auto"/>
              </w:rPr>
              <w:t>X</w:t>
            </w:r>
          </w:p>
        </w:tc>
      </w:tr>
      <w:tr>
        <w:trPr>
          <w:trHeight w:val="206"/>
        </w:trPr>
        <w:tc>
          <w:tcPr>
            <w:tcW w:w="1880" w:type="dxa"/>
            <w:vAlign w:val="bottom"/>
          </w:tcPr>
          <w:p>
            <w:pPr>
              <w:spacing w:after="0"/>
              <w:rPr>
                <w:sz w:val="17"/>
                <w:szCs w:val="17"/>
                <w:color w:val="auto"/>
              </w:rPr>
            </w:pPr>
          </w:p>
        </w:tc>
        <w:tc>
          <w:tcPr>
            <w:tcW w:w="38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6"/>
        </w:trPr>
        <w:tc>
          <w:tcPr>
            <w:tcW w:w="1880" w:type="dxa"/>
            <w:vAlign w:val="bottom"/>
          </w:tcPr>
          <w:p>
            <w:pPr>
              <w:spacing w:after="0"/>
              <w:rPr>
                <w:sz w:val="20"/>
                <w:szCs w:val="20"/>
                <w:color w:val="auto"/>
              </w:rPr>
            </w:pPr>
            <w:r>
              <w:rPr>
                <w:rFonts w:ascii="Arial" w:cs="Arial" w:eastAsia="Arial" w:hAnsi="Arial"/>
                <w:sz w:val="16"/>
                <w:szCs w:val="16"/>
                <w:color w:val="auto"/>
              </w:rPr>
              <w:t>101.DEF</w:t>
            </w:r>
          </w:p>
        </w:tc>
        <w:tc>
          <w:tcPr>
            <w:tcW w:w="3880" w:type="dxa"/>
            <w:vAlign w:val="bottom"/>
            <w:gridSpan w:val="11"/>
          </w:tcPr>
          <w:p>
            <w:pPr>
              <w:spacing w:after="0"/>
              <w:rPr>
                <w:sz w:val="20"/>
                <w:szCs w:val="20"/>
                <w:color w:val="auto"/>
              </w:rPr>
            </w:pPr>
            <w:r>
              <w:rPr>
                <w:rFonts w:ascii="Arial" w:cs="Arial" w:eastAsia="Arial" w:hAnsi="Arial"/>
                <w:sz w:val="16"/>
                <w:szCs w:val="16"/>
                <w:color w:val="auto"/>
              </w:rPr>
              <w:t>Inline XBRL Taxonomy Extension Definition Linkbase</w:t>
            </w:r>
          </w:p>
        </w:tc>
        <w:tc>
          <w:tcPr>
            <w:tcW w:w="1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center"/>
              <w:ind w:left="219"/>
              <w:spacing w:after="0"/>
              <w:rPr>
                <w:sz w:val="20"/>
                <w:szCs w:val="20"/>
                <w:color w:val="auto"/>
              </w:rPr>
            </w:pPr>
            <w:r>
              <w:rPr>
                <w:rFonts w:ascii="Arial" w:cs="Arial" w:eastAsia="Arial" w:hAnsi="Arial"/>
                <w:sz w:val="16"/>
                <w:szCs w:val="16"/>
                <w:color w:val="auto"/>
              </w:rPr>
              <w:t>X</w:t>
            </w:r>
          </w:p>
        </w:tc>
      </w:tr>
      <w:tr>
        <w:trPr>
          <w:trHeight w:val="206"/>
        </w:trPr>
        <w:tc>
          <w:tcPr>
            <w:tcW w:w="1880" w:type="dxa"/>
            <w:vAlign w:val="bottom"/>
          </w:tcPr>
          <w:p>
            <w:pPr>
              <w:spacing w:after="0"/>
              <w:rPr>
                <w:sz w:val="17"/>
                <w:szCs w:val="17"/>
                <w:color w:val="auto"/>
              </w:rPr>
            </w:pPr>
          </w:p>
        </w:tc>
        <w:tc>
          <w:tcPr>
            <w:tcW w:w="38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6"/>
        </w:trPr>
        <w:tc>
          <w:tcPr>
            <w:tcW w:w="1880" w:type="dxa"/>
            <w:vAlign w:val="bottom"/>
          </w:tcPr>
          <w:p>
            <w:pPr>
              <w:spacing w:after="0"/>
              <w:rPr>
                <w:sz w:val="20"/>
                <w:szCs w:val="20"/>
                <w:color w:val="auto"/>
              </w:rPr>
            </w:pPr>
            <w:r>
              <w:rPr>
                <w:rFonts w:ascii="Arial" w:cs="Arial" w:eastAsia="Arial" w:hAnsi="Arial"/>
                <w:sz w:val="16"/>
                <w:szCs w:val="16"/>
                <w:color w:val="auto"/>
              </w:rPr>
              <w:t>101.LAB</w:t>
            </w:r>
          </w:p>
        </w:tc>
        <w:tc>
          <w:tcPr>
            <w:tcW w:w="3880" w:type="dxa"/>
            <w:vAlign w:val="bottom"/>
            <w:gridSpan w:val="11"/>
          </w:tcPr>
          <w:p>
            <w:pPr>
              <w:spacing w:after="0"/>
              <w:rPr>
                <w:sz w:val="20"/>
                <w:szCs w:val="20"/>
                <w:color w:val="auto"/>
              </w:rPr>
            </w:pPr>
            <w:r>
              <w:rPr>
                <w:rFonts w:ascii="Arial" w:cs="Arial" w:eastAsia="Arial" w:hAnsi="Arial"/>
                <w:sz w:val="16"/>
                <w:szCs w:val="16"/>
                <w:color w:val="auto"/>
              </w:rPr>
              <w:t>Inline XBRL Taxonomy Extension Labels Linkbase</w:t>
            </w:r>
          </w:p>
        </w:tc>
        <w:tc>
          <w:tcPr>
            <w:tcW w:w="1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center"/>
              <w:ind w:left="219"/>
              <w:spacing w:after="0"/>
              <w:rPr>
                <w:sz w:val="20"/>
                <w:szCs w:val="20"/>
                <w:color w:val="auto"/>
              </w:rPr>
            </w:pPr>
            <w:r>
              <w:rPr>
                <w:rFonts w:ascii="Arial" w:cs="Arial" w:eastAsia="Arial" w:hAnsi="Arial"/>
                <w:sz w:val="16"/>
                <w:szCs w:val="16"/>
                <w:color w:val="auto"/>
              </w:rPr>
              <w:t>X</w:t>
            </w:r>
          </w:p>
        </w:tc>
      </w:tr>
      <w:tr>
        <w:trPr>
          <w:trHeight w:val="206"/>
        </w:trPr>
        <w:tc>
          <w:tcPr>
            <w:tcW w:w="1880" w:type="dxa"/>
            <w:vAlign w:val="bottom"/>
          </w:tcPr>
          <w:p>
            <w:pPr>
              <w:spacing w:after="0"/>
              <w:rPr>
                <w:sz w:val="17"/>
                <w:szCs w:val="17"/>
                <w:color w:val="auto"/>
              </w:rPr>
            </w:pPr>
          </w:p>
        </w:tc>
        <w:tc>
          <w:tcPr>
            <w:tcW w:w="38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6"/>
        </w:trPr>
        <w:tc>
          <w:tcPr>
            <w:tcW w:w="1880" w:type="dxa"/>
            <w:vAlign w:val="bottom"/>
          </w:tcPr>
          <w:p>
            <w:pPr>
              <w:spacing w:after="0"/>
              <w:rPr>
                <w:sz w:val="20"/>
                <w:szCs w:val="20"/>
                <w:color w:val="auto"/>
              </w:rPr>
            </w:pPr>
            <w:r>
              <w:rPr>
                <w:rFonts w:ascii="Arial" w:cs="Arial" w:eastAsia="Arial" w:hAnsi="Arial"/>
                <w:sz w:val="16"/>
                <w:szCs w:val="16"/>
                <w:color w:val="auto"/>
              </w:rPr>
              <w:t>101.PRE</w:t>
            </w:r>
          </w:p>
        </w:tc>
        <w:tc>
          <w:tcPr>
            <w:tcW w:w="3880" w:type="dxa"/>
            <w:vAlign w:val="bottom"/>
            <w:gridSpan w:val="11"/>
          </w:tcPr>
          <w:p>
            <w:pPr>
              <w:spacing w:after="0"/>
              <w:rPr>
                <w:sz w:val="20"/>
                <w:szCs w:val="20"/>
                <w:color w:val="auto"/>
              </w:rPr>
            </w:pPr>
            <w:r>
              <w:rPr>
                <w:rFonts w:ascii="Arial" w:cs="Arial" w:eastAsia="Arial" w:hAnsi="Arial"/>
                <w:sz w:val="16"/>
                <w:szCs w:val="16"/>
                <w:color w:val="auto"/>
                <w:w w:val="95"/>
              </w:rPr>
              <w:t>Inline XBRL Taxonomy Extension Presentation Linkbase</w:t>
            </w:r>
          </w:p>
        </w:tc>
        <w:tc>
          <w:tcPr>
            <w:tcW w:w="1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center"/>
              <w:ind w:left="219"/>
              <w:spacing w:after="0"/>
              <w:rPr>
                <w:sz w:val="20"/>
                <w:szCs w:val="20"/>
                <w:color w:val="auto"/>
              </w:rPr>
            </w:pPr>
            <w:r>
              <w:rPr>
                <w:rFonts w:ascii="Arial" w:cs="Arial" w:eastAsia="Arial" w:hAnsi="Arial"/>
                <w:sz w:val="16"/>
                <w:szCs w:val="16"/>
                <w:color w:val="auto"/>
              </w:rPr>
              <w:t>X</w:t>
            </w:r>
          </w:p>
        </w:tc>
      </w:tr>
      <w:tr>
        <w:trPr>
          <w:trHeight w:val="206"/>
        </w:trPr>
        <w:tc>
          <w:tcPr>
            <w:tcW w:w="1880" w:type="dxa"/>
            <w:vAlign w:val="bottom"/>
          </w:tcPr>
          <w:p>
            <w:pPr>
              <w:spacing w:after="0"/>
              <w:rPr>
                <w:sz w:val="17"/>
                <w:szCs w:val="17"/>
                <w:color w:val="auto"/>
              </w:rPr>
            </w:pPr>
          </w:p>
        </w:tc>
        <w:tc>
          <w:tcPr>
            <w:tcW w:w="38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6"/>
        </w:trPr>
        <w:tc>
          <w:tcPr>
            <w:tcW w:w="1880" w:type="dxa"/>
            <w:vAlign w:val="bottom"/>
          </w:tcPr>
          <w:p>
            <w:pPr>
              <w:spacing w:after="0"/>
              <w:rPr>
                <w:sz w:val="20"/>
                <w:szCs w:val="20"/>
                <w:color w:val="auto"/>
              </w:rPr>
            </w:pPr>
            <w:r>
              <w:rPr>
                <w:rFonts w:ascii="Arial" w:cs="Arial" w:eastAsia="Arial" w:hAnsi="Arial"/>
                <w:sz w:val="16"/>
                <w:szCs w:val="16"/>
                <w:color w:val="auto"/>
              </w:rPr>
              <w:t>104</w:t>
            </w:r>
          </w:p>
        </w:tc>
        <w:tc>
          <w:tcPr>
            <w:tcW w:w="3880" w:type="dxa"/>
            <w:vAlign w:val="bottom"/>
            <w:gridSpan w:val="11"/>
          </w:tcPr>
          <w:p>
            <w:pPr>
              <w:spacing w:after="0"/>
              <w:rPr>
                <w:sz w:val="20"/>
                <w:szCs w:val="20"/>
                <w:color w:val="auto"/>
              </w:rPr>
            </w:pPr>
            <w:r>
              <w:rPr>
                <w:rFonts w:ascii="Arial" w:cs="Arial" w:eastAsia="Arial" w:hAnsi="Arial"/>
                <w:sz w:val="16"/>
                <w:szCs w:val="16"/>
                <w:color w:val="auto"/>
                <w:w w:val="92"/>
              </w:rPr>
              <w:t>Cover Page Interactive Data File, formatted in Inline XBRL</w:t>
            </w:r>
          </w:p>
        </w:tc>
        <w:tc>
          <w:tcPr>
            <w:tcW w:w="1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6"/>
        </w:trPr>
        <w:tc>
          <w:tcPr>
            <w:tcW w:w="1880" w:type="dxa"/>
            <w:vAlign w:val="bottom"/>
          </w:tcPr>
          <w:p>
            <w:pPr>
              <w:spacing w:after="0"/>
              <w:rPr>
                <w:sz w:val="17"/>
                <w:szCs w:val="17"/>
                <w:color w:val="auto"/>
              </w:rPr>
            </w:pPr>
          </w:p>
        </w:tc>
        <w:tc>
          <w:tcPr>
            <w:tcW w:w="3880" w:type="dxa"/>
            <w:vAlign w:val="bottom"/>
            <w:gridSpan w:val="11"/>
          </w:tcPr>
          <w:p>
            <w:pPr>
              <w:spacing w:after="0"/>
              <w:rPr>
                <w:sz w:val="20"/>
                <w:szCs w:val="20"/>
                <w:color w:val="auto"/>
              </w:rPr>
            </w:pPr>
            <w:r>
              <w:rPr>
                <w:rFonts w:ascii="Arial" w:cs="Arial" w:eastAsia="Arial" w:hAnsi="Arial"/>
                <w:sz w:val="16"/>
                <w:szCs w:val="16"/>
                <w:color w:val="auto"/>
              </w:rPr>
              <w:t>(included in Exhibit 101).</w:t>
            </w:r>
          </w:p>
        </w:tc>
        <w:tc>
          <w:tcPr>
            <w:tcW w:w="1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r>
    </w:tbl>
    <w:p>
      <w:pPr>
        <w:spacing w:after="0" w:line="248"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52" w:lineRule="exact"/>
        <w:rPr>
          <w:sz w:val="20"/>
          <w:szCs w:val="20"/>
          <w:color w:val="auto"/>
        </w:rPr>
      </w:pPr>
    </w:p>
    <w:p>
      <w:pPr>
        <w:ind w:firstLine="8"/>
        <w:spacing w:after="0" w:line="279"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certification attached as Exhibit 32.1 that accompanies this Quarterly Report is furnished to, and not deemed filed with, the SEC and is not to be incorporated by reference into any filing of the Registrant under the Securities Act or the Exchange Act, whether made before or after the date of this Form 10-Q, irrespective of any general incorporation language contained in such filing.</w:t>
      </w: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sectPr>
      </w:pPr>
    </w:p>
    <w:bookmarkStart w:id="73" w:name="page74"/>
    <w:bookmarkEnd w:id="73"/>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ULTRAGENYX PHARMACEUTICAL INC.</w:t>
      </w:r>
    </w:p>
    <w:p>
      <w:pPr>
        <w:sectPr>
          <w:pgSz w:w="11900" w:h="16838" w:orient="portrait"/>
          <w:cols w:equalWidth="0" w:num="1">
            <w:col w:w="10800"/>
          </w:cols>
          <w:pgMar w:left="320" w:top="243" w:right="779" w:bottom="1440" w:gutter="0" w:footer="0" w:header="0"/>
        </w:sectPr>
      </w:pPr>
    </w:p>
    <w:p>
      <w:pPr>
        <w:spacing w:after="0" w:line="360" w:lineRule="exact"/>
        <w:rPr>
          <w:sz w:val="20"/>
          <w:szCs w:val="20"/>
          <w:color w:val="auto"/>
        </w:rPr>
      </w:pPr>
    </w:p>
    <w:p>
      <w:pPr>
        <w:ind w:left="20"/>
        <w:spacing w:after="0"/>
        <w:tabs>
          <w:tab w:leader="none" w:pos="6100" w:val="left"/>
        </w:tabs>
        <w:rPr>
          <w:sz w:val="20"/>
          <w:szCs w:val="20"/>
          <w:color w:val="auto"/>
        </w:rPr>
      </w:pPr>
      <w:r>
        <w:rPr>
          <w:rFonts w:ascii="Arial" w:cs="Arial" w:eastAsia="Arial" w:hAnsi="Arial"/>
          <w:sz w:val="18"/>
          <w:szCs w:val="18"/>
          <w:color w:val="auto"/>
        </w:rPr>
        <w:t>Date: November 2, 2021</w:t>
      </w:r>
      <w:r>
        <w:rPr>
          <w:sz w:val="20"/>
          <w:szCs w:val="20"/>
          <w:color w:val="auto"/>
        </w:rPr>
        <w:tab/>
      </w:r>
      <w:r>
        <w:rPr>
          <w:rFonts w:ascii="Arial" w:cs="Arial" w:eastAsia="Arial" w:hAnsi="Arial"/>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6100" w:val="left"/>
        </w:tabs>
        <w:rPr>
          <w:sz w:val="20"/>
          <w:szCs w:val="20"/>
          <w:color w:val="auto"/>
        </w:rPr>
      </w:pPr>
      <w:r>
        <w:rPr>
          <w:rFonts w:ascii="Arial" w:cs="Arial" w:eastAsia="Arial" w:hAnsi="Arial"/>
          <w:sz w:val="18"/>
          <w:szCs w:val="18"/>
          <w:color w:val="auto"/>
        </w:rPr>
        <w:t>Date: November 2, 2021</w:t>
      </w:r>
      <w:r>
        <w:rPr>
          <w:sz w:val="20"/>
          <w:szCs w:val="20"/>
          <w:color w:val="auto"/>
        </w:rPr>
        <w:tab/>
      </w:r>
      <w:r>
        <w:rPr>
          <w:rFonts w:ascii="Arial" w:cs="Arial" w:eastAsia="Arial" w:hAnsi="Arial"/>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6100" w:val="left"/>
        </w:tabs>
        <w:rPr>
          <w:sz w:val="20"/>
          <w:szCs w:val="20"/>
          <w:color w:val="auto"/>
        </w:rPr>
      </w:pPr>
      <w:r>
        <w:rPr>
          <w:rFonts w:ascii="Arial" w:cs="Arial" w:eastAsia="Arial" w:hAnsi="Arial"/>
          <w:sz w:val="18"/>
          <w:szCs w:val="18"/>
          <w:color w:val="auto"/>
        </w:rPr>
        <w:t>Date: November 2, 2021</w:t>
      </w:r>
      <w:r>
        <w:rPr>
          <w:sz w:val="20"/>
          <w:szCs w:val="20"/>
          <w:color w:val="auto"/>
        </w:rPr>
        <w:tab/>
      </w:r>
      <w:r>
        <w:rPr>
          <w:rFonts w:ascii="Arial" w:cs="Arial" w:eastAsia="Arial" w:hAnsi="Arial"/>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 Emil D.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23495</wp:posOffset>
            </wp:positionV>
            <wp:extent cx="302577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Emil D. Kakkis, M.D., Ph.D.</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(Principal Executive Officer)</w:t>
      </w: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23495</wp:posOffset>
            </wp:positionV>
            <wp:extent cx="302577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4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Mardi C. Dier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(Principal Financial Officer)</w:t>
      </w:r>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 Theodore A. Huizenga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23495</wp:posOffset>
            </wp:positionV>
            <wp:extent cx="302577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4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Theodore A. Huizenga</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Senior Vice President and Chief Accounting Officer</w:t>
      </w:r>
    </w:p>
    <w:p>
      <w:pPr>
        <w:spacing w:after="0" w:line="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2">
            <w:col w:w="6380" w:space="560"/>
            <w:col w:w="3860"/>
          </w:cols>
          <w:pgMar w:left="320" w:top="243" w:right="779" w:bottom="1440" w:gutter="0" w:footer="0" w:header="0"/>
          <w:type w:val="continuous"/>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t>Exhibit 10.1</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ULTRAGENYX PHARMACEUTICAL INC.</w:t>
      </w:r>
    </w:p>
    <w:p>
      <w:pPr>
        <w:spacing w:after="0" w:line="17"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DEFERRED COMPENSATION PLAN</w:t>
      </w:r>
    </w:p>
    <w:p>
      <w:pPr>
        <w:spacing w:after="0" w:line="277"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AMENDMENT NO. 1</w:t>
      </w:r>
    </w:p>
    <w:p>
      <w:pPr>
        <w:spacing w:after="0" w:line="293" w:lineRule="exact"/>
        <w:rPr>
          <w:sz w:val="20"/>
          <w:szCs w:val="20"/>
          <w:color w:val="auto"/>
        </w:rPr>
      </w:pPr>
    </w:p>
    <w:p>
      <w:pPr>
        <w:jc w:val="center"/>
        <w:ind w:right="380"/>
        <w:spacing w:after="0"/>
        <w:rPr>
          <w:sz w:val="20"/>
          <w:szCs w:val="20"/>
          <w:color w:val="auto"/>
        </w:rPr>
      </w:pPr>
      <w:r>
        <w:rPr>
          <w:rFonts w:ascii="Arial" w:cs="Arial" w:eastAsia="Arial" w:hAnsi="Arial"/>
          <w:sz w:val="22"/>
          <w:szCs w:val="22"/>
          <w:u w:val="single" w:color="auto"/>
          <w:color w:val="auto"/>
        </w:rPr>
        <w:t>October 1, 2021</w:t>
      </w:r>
    </w:p>
    <w:p>
      <w:pPr>
        <w:spacing w:after="0" w:line="281" w:lineRule="exact"/>
        <w:rPr>
          <w:sz w:val="20"/>
          <w:szCs w:val="20"/>
          <w:color w:val="auto"/>
        </w:rPr>
      </w:pPr>
    </w:p>
    <w:p>
      <w:pPr>
        <w:ind w:right="880"/>
        <w:spacing w:after="0" w:line="364" w:lineRule="auto"/>
        <w:rPr>
          <w:sz w:val="20"/>
          <w:szCs w:val="20"/>
          <w:color w:val="auto"/>
        </w:rPr>
      </w:pPr>
      <w:r>
        <w:rPr>
          <w:rFonts w:ascii="Arial" w:cs="Arial" w:eastAsia="Arial" w:hAnsi="Arial"/>
          <w:sz w:val="19"/>
          <w:szCs w:val="19"/>
          <w:color w:val="auto"/>
        </w:rPr>
        <w:t>Section 9.2 of the Ultragenyx Pharmaceutical Inc. Deferred Compensation Plan (the “</w:t>
      </w:r>
      <w:r>
        <w:rPr>
          <w:rFonts w:ascii="Arial" w:cs="Arial" w:eastAsia="Arial" w:hAnsi="Arial"/>
          <w:sz w:val="19"/>
          <w:szCs w:val="19"/>
          <w:b w:val="1"/>
          <w:bCs w:val="1"/>
          <w:color w:val="auto"/>
        </w:rPr>
        <w:t>Plan</w:t>
      </w:r>
      <w:r>
        <w:rPr>
          <w:rFonts w:ascii="Arial" w:cs="Arial" w:eastAsia="Arial" w:hAnsi="Arial"/>
          <w:sz w:val="19"/>
          <w:szCs w:val="19"/>
          <w:color w:val="auto"/>
        </w:rPr>
        <w:t>”) authorizes Ultragenyx Pharmaceutical Inc. (the “</w:t>
      </w:r>
      <w:r>
        <w:rPr>
          <w:rFonts w:ascii="Arial" w:cs="Arial" w:eastAsia="Arial" w:hAnsi="Arial"/>
          <w:sz w:val="19"/>
          <w:szCs w:val="19"/>
          <w:b w:val="1"/>
          <w:bCs w:val="1"/>
          <w:color w:val="auto"/>
        </w:rPr>
        <w:t>Company</w:t>
      </w:r>
      <w:r>
        <w:rPr>
          <w:rFonts w:ascii="Arial" w:cs="Arial" w:eastAsia="Arial" w:hAnsi="Arial"/>
          <w:sz w:val="19"/>
          <w:szCs w:val="19"/>
          <w:color w:val="auto"/>
        </w:rPr>
        <w:t>”) to amend the Plan at any time. Accordingly, the Plan is amended to provide</w:t>
      </w:r>
    </w:p>
    <w:p>
      <w:pPr>
        <w:spacing w:after="0" w:line="153" w:lineRule="exact"/>
        <w:rPr>
          <w:sz w:val="20"/>
          <w:szCs w:val="20"/>
          <w:color w:val="auto"/>
        </w:rPr>
      </w:pPr>
    </w:p>
    <w:p>
      <w:pPr>
        <w:ind w:left="700" w:right="120"/>
        <w:spacing w:after="0" w:line="258" w:lineRule="auto"/>
        <w:rPr>
          <w:sz w:val="20"/>
          <w:szCs w:val="20"/>
          <w:color w:val="auto"/>
        </w:rPr>
      </w:pPr>
      <w:r>
        <w:rPr>
          <w:rFonts w:ascii="Arial" w:cs="Arial" w:eastAsia="Arial" w:hAnsi="Arial"/>
          <w:sz w:val="22"/>
          <w:szCs w:val="22"/>
          <w:color w:val="auto"/>
        </w:rPr>
        <w:t>for a one-time transition election during the 2021 annual enrollment for deferrals of outstanding restricted stock unit awards, and</w:t>
      </w:r>
    </w:p>
    <w:p>
      <w:pPr>
        <w:spacing w:after="0" w:line="1" w:lineRule="exact"/>
        <w:rPr>
          <w:sz w:val="20"/>
          <w:szCs w:val="20"/>
          <w:color w:val="auto"/>
        </w:rPr>
      </w:pPr>
    </w:p>
    <w:p>
      <w:pPr>
        <w:jc w:val="both"/>
        <w:ind w:left="700" w:right="260"/>
        <w:spacing w:after="0" w:line="264" w:lineRule="auto"/>
        <w:rPr>
          <w:sz w:val="20"/>
          <w:szCs w:val="20"/>
          <w:color w:val="auto"/>
        </w:rPr>
      </w:pPr>
      <w:r>
        <w:rPr>
          <w:rFonts w:ascii="Arial" w:cs="Arial" w:eastAsia="Arial" w:hAnsi="Arial"/>
          <w:sz w:val="22"/>
          <w:szCs w:val="22"/>
          <w:color w:val="auto"/>
        </w:rPr>
        <w:t>for a one-time election made at the time a Compensation Deferral Agreement becomes effective to diversify at the time of vesting any deferred restricted stock units that are deferred under the terms of such Compensation Deferral Agreement.</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Accordingly, the Plan is amended as follows: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  Section 4.2 is amended by adding the following subsection (f) to read as follows:</w:t>
      </w:r>
    </w:p>
    <w:p>
      <w:pPr>
        <w:spacing w:after="0" w:line="287" w:lineRule="exact"/>
        <w:rPr>
          <w:sz w:val="20"/>
          <w:szCs w:val="20"/>
          <w:color w:val="auto"/>
        </w:rPr>
      </w:pPr>
    </w:p>
    <w:p>
      <w:pPr>
        <w:ind w:left="380" w:right="760"/>
        <w:spacing w:after="0" w:line="302" w:lineRule="auto"/>
        <w:rPr>
          <w:sz w:val="20"/>
          <w:szCs w:val="20"/>
          <w:color w:val="auto"/>
        </w:rPr>
      </w:pPr>
      <w:r>
        <w:rPr>
          <w:rFonts w:ascii="Arial" w:cs="Arial" w:eastAsia="Arial" w:hAnsi="Arial"/>
          <w:sz w:val="19"/>
          <w:szCs w:val="19"/>
          <w:color w:val="auto"/>
        </w:rPr>
        <w:t xml:space="preserve">“(f) </w:t>
      </w:r>
      <w:r>
        <w:rPr>
          <w:rFonts w:ascii="Arial" w:cs="Arial" w:eastAsia="Arial" w:hAnsi="Arial"/>
          <w:sz w:val="19"/>
          <w:szCs w:val="19"/>
          <w:i w:val="1"/>
          <w:iCs w:val="1"/>
          <w:color w:val="auto"/>
        </w:rPr>
        <w:t>Short-Term Deferrals.</w:t>
      </w:r>
      <w:r>
        <w:rPr>
          <w:rFonts w:ascii="Arial" w:cs="Arial" w:eastAsia="Arial" w:hAnsi="Arial"/>
          <w:sz w:val="19"/>
          <w:szCs w:val="19"/>
          <w:color w:val="auto"/>
        </w:rPr>
        <w:t xml:space="preserve"> For the enrollment conducted in 2021 for the 2022 Plan year only, the Committee will permit the deferral of restricted stock unit awards that have been granted in 2019, 2020 and 2021 and remain outstanding as of the date of such enrollment (collectively, “</w:t>
      </w:r>
      <w:r>
        <w:rPr>
          <w:rFonts w:ascii="Arial" w:cs="Arial" w:eastAsia="Arial" w:hAnsi="Arial"/>
          <w:sz w:val="19"/>
          <w:szCs w:val="19"/>
          <w:b w:val="1"/>
          <w:bCs w:val="1"/>
          <w:color w:val="auto"/>
        </w:rPr>
        <w:t>Awards</w:t>
      </w:r>
      <w:r>
        <w:rPr>
          <w:rFonts w:ascii="Arial" w:cs="Arial" w:eastAsia="Arial" w:hAnsi="Arial"/>
          <w:sz w:val="19"/>
          <w:szCs w:val="19"/>
          <w:color w:val="auto"/>
        </w:rPr>
        <w:t>”). The deferrable amount shall be a single percentage of 25%, 50%, 75% or 100%, as elected by the Eligible Employee, of the portion of the Awards that meets the definition of a “short-term deferral” described in Treas. Reg. Section 1.409A-1(b)(4). Deferral of such Awards shall be made in accordance with the rules of Section 6.10, applied as if the date the Substantial Risk of Forfeiture lapses is the date payments were originally scheduled to commence; provided, however, that the provisions of Section 6.10(b) shall not apply to payments attributable to a change in control event (as defined in Treas. Reg. Section 1.409A-3(i)(5)). A Compensation Deferral Agreement submitted in accordance with this subsection (f) becomes irrevocable on the latest date it could be submitted under Section 6.10. Amounts deferred under this subsection (f) may be allocated to a Specified Date Account only.”</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2.  Section 7.6 is amended to read in its entirety as follows:</w:t>
      </w:r>
    </w:p>
    <w:p>
      <w:pPr>
        <w:spacing w:after="0" w:line="287" w:lineRule="exact"/>
        <w:rPr>
          <w:sz w:val="20"/>
          <w:szCs w:val="20"/>
          <w:color w:val="auto"/>
        </w:rPr>
      </w:pPr>
    </w:p>
    <w:p>
      <w:pPr>
        <w:jc w:val="both"/>
        <w:ind w:left="380" w:right="860"/>
        <w:spacing w:after="0" w:line="262"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Company Stock</w:t>
      </w:r>
      <w:r>
        <w:rPr>
          <w:rFonts w:ascii="Arial" w:cs="Arial" w:eastAsia="Arial" w:hAnsi="Arial"/>
          <w:sz w:val="22"/>
          <w:szCs w:val="22"/>
          <w:color w:val="auto"/>
        </w:rPr>
        <w:t>. Unless the Participant makes an election to diversify as described further below, deferred restricted stock units will be credited as such, based on the deferred number of units awarded to the Participant under the terms of the Company’s equity compensation plan. Fractional units will be rounded down to the next whole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362585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96" w:right="339" w:bottom="1440" w:gutter="0" w:footer="0" w:header="0"/>
        </w:sectPr>
      </w:pPr>
    </w:p>
    <w:bookmarkStart w:id="75" w:name="page76"/>
    <w:bookmarkEnd w:id="75"/>
    <w:p>
      <w:pPr>
        <w:ind w:left="760" w:right="460"/>
        <w:spacing w:after="0" w:line="317" w:lineRule="auto"/>
        <w:rPr>
          <w:sz w:val="20"/>
          <w:szCs w:val="20"/>
          <w:color w:val="auto"/>
        </w:rPr>
      </w:pPr>
      <w:r>
        <w:rPr>
          <w:rFonts w:ascii="Arial" w:cs="Arial" w:eastAsia="Arial" w:hAnsi="Arial"/>
          <w:sz w:val="19"/>
          <w:szCs w:val="19"/>
          <w:color w:val="auto"/>
        </w:rPr>
        <w:t>At the time a Participant submits a Compensation Deferral Agreement deferring restricted stock units, he or she may make a one-time election to diversify all of the units deferred under such Compensation Deferral Agreement. If a diversification election is made, diversification will occur at the time of vesting as provided under Sections 7.4 and 7.5. Diversified units may not be reallocated to stock units at a later time.</w:t>
      </w:r>
    </w:p>
    <w:p>
      <w:pPr>
        <w:spacing w:after="0" w:line="196" w:lineRule="exact"/>
        <w:rPr>
          <w:sz w:val="20"/>
          <w:szCs w:val="20"/>
          <w:color w:val="auto"/>
        </w:rPr>
      </w:pPr>
    </w:p>
    <w:p>
      <w:pPr>
        <w:jc w:val="both"/>
        <w:ind w:left="760" w:right="460"/>
        <w:spacing w:after="0" w:line="266" w:lineRule="auto"/>
        <w:rPr>
          <w:sz w:val="20"/>
          <w:szCs w:val="20"/>
          <w:color w:val="auto"/>
        </w:rPr>
      </w:pPr>
      <w:r>
        <w:rPr>
          <w:rFonts w:ascii="Arial" w:cs="Arial" w:eastAsia="Arial" w:hAnsi="Arial"/>
          <w:sz w:val="22"/>
          <w:szCs w:val="22"/>
          <w:color w:val="auto"/>
        </w:rPr>
        <w:t>Each deferred restricted stock unit that is not subject to a diversification election will be paid in the form of one share of Company stock. A Participant may not allocate such restricted stock units to another investment option under the Plan.</w:t>
      </w:r>
    </w:p>
    <w:p>
      <w:pPr>
        <w:spacing w:after="0" w:line="239" w:lineRule="exact"/>
        <w:rPr>
          <w:sz w:val="20"/>
          <w:szCs w:val="20"/>
          <w:color w:val="auto"/>
        </w:rPr>
      </w:pPr>
    </w:p>
    <w:p>
      <w:pPr>
        <w:ind w:left="760" w:right="620"/>
        <w:spacing w:after="0" w:line="276" w:lineRule="auto"/>
        <w:rPr>
          <w:sz w:val="20"/>
          <w:szCs w:val="20"/>
          <w:color w:val="auto"/>
        </w:rPr>
      </w:pPr>
      <w:r>
        <w:rPr>
          <w:rFonts w:ascii="Arial" w:cs="Arial" w:eastAsia="Arial" w:hAnsi="Arial"/>
          <w:sz w:val="22"/>
          <w:szCs w:val="22"/>
          <w:color w:val="auto"/>
        </w:rPr>
        <w:t>Dividend equivalents will be credited as provided in the equity compensation plan and treated as Earnings for purposes of determining the time and form of payment from the Plan.</w:t>
      </w:r>
    </w:p>
    <w:p>
      <w:pPr>
        <w:spacing w:after="0" w:line="228" w:lineRule="exact"/>
        <w:rPr>
          <w:sz w:val="20"/>
          <w:szCs w:val="20"/>
          <w:color w:val="auto"/>
        </w:rPr>
      </w:pPr>
    </w:p>
    <w:p>
      <w:pPr>
        <w:ind w:left="760" w:right="420"/>
        <w:spacing w:after="0" w:line="317" w:lineRule="auto"/>
        <w:rPr>
          <w:sz w:val="20"/>
          <w:szCs w:val="20"/>
          <w:color w:val="auto"/>
        </w:rPr>
      </w:pPr>
      <w:r>
        <w:rPr>
          <w:rFonts w:ascii="Arial" w:cs="Arial" w:eastAsia="Arial" w:hAnsi="Arial"/>
          <w:sz w:val="19"/>
          <w:szCs w:val="19"/>
          <w:color w:val="auto"/>
        </w:rPr>
        <w:t>If Company stock is offered as an investment option for cash Deferrals or Company Contributions, amounts allocated to or from Company stock will be converted from cash to units or units to cash as is applicable. Each unit will be equal in value to one share of Company common stock based on the closing price of the Company’s common stock on the day the allocation instructions from the Participant are effective.”</w:t>
      </w:r>
    </w:p>
    <w:p>
      <w:pPr>
        <w:spacing w:after="0" w:line="196"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Except as amended hereby, the terms of the Plan remain in full force and effect. Capitalized terms used but not defined herein shall have the meanings set forth in the Plan.</w:t>
      </w:r>
    </w:p>
    <w:p>
      <w:pPr>
        <w:spacing w:after="0" w:line="222" w:lineRule="exact"/>
        <w:rPr>
          <w:sz w:val="20"/>
          <w:szCs w:val="20"/>
          <w:color w:val="auto"/>
        </w:rPr>
      </w:pPr>
    </w:p>
    <w:p>
      <w:pPr>
        <w:ind w:right="100"/>
        <w:spacing w:after="0" w:line="282" w:lineRule="auto"/>
        <w:rPr>
          <w:sz w:val="20"/>
          <w:szCs w:val="20"/>
          <w:color w:val="auto"/>
        </w:rPr>
      </w:pPr>
      <w:r>
        <w:rPr>
          <w:rFonts w:ascii="Arial" w:cs="Arial" w:eastAsia="Arial" w:hAnsi="Arial"/>
          <w:sz w:val="22"/>
          <w:szCs w:val="22"/>
          <w:b w:val="1"/>
          <w:bCs w:val="1"/>
          <w:color w:val="auto"/>
        </w:rPr>
        <w:t>IN WITNESS WHEREOF, the undersigned executed this Plan as of the 6th day of October, 2021, to be effective as of October 1, 2021.</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ULTRAGENYX PHARMACEUTICAL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Ernie Meyer</w:t>
      </w:r>
      <w:r>
        <w:rPr>
          <w:rFonts w:ascii="Arial" w:cs="Arial" w:eastAsia="Arial" w:hAnsi="Arial"/>
          <w:sz w:val="22"/>
          <w:szCs w:val="22"/>
          <w:color w:val="auto"/>
        </w:rPr>
        <w:t xml:space="preserve"> (Signature)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Ernie Meyer,</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EVP, 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02" w:right="71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Emil D. Kakkis, certify that:</w:t>
      </w:r>
    </w:p>
    <w:p>
      <w:pPr>
        <w:spacing w:after="0" w:line="131"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Ultragenyx Pharmaceutical Inc.;</w:t>
      </w:r>
    </w:p>
    <w:p>
      <w:pPr>
        <w:spacing w:after="0" w:line="130"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440" w:right="320" w:hanging="432"/>
        <w:spacing w:after="0" w:line="279"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960" w:right="80" w:hanging="441"/>
        <w:spacing w:after="0" w:line="279"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960" w:right="380" w:hanging="441"/>
        <w:spacing w:after="0" w:line="279"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960" w:right="560" w:hanging="441"/>
        <w:spacing w:after="0" w:line="359"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960" w:right="60" w:hanging="441"/>
        <w:spacing w:after="0" w:line="279"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440" w:right="220" w:hanging="432"/>
        <w:spacing w:after="0" w:line="324"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9" w:lineRule="exact"/>
        <w:rPr>
          <w:rFonts w:ascii="Arial" w:cs="Arial" w:eastAsia="Arial" w:hAnsi="Arial"/>
          <w:sz w:val="17"/>
          <w:szCs w:val="17"/>
          <w:color w:val="auto"/>
        </w:rPr>
      </w:pPr>
    </w:p>
    <w:p>
      <w:pPr>
        <w:ind w:left="960" w:right="800" w:hanging="441"/>
        <w:spacing w:after="0" w:line="359"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960" w:right="480" w:hanging="441"/>
        <w:spacing w:after="0" w:line="293"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Dated: November 2, 2021</w:t>
      </w:r>
      <w:r>
        <w:rPr>
          <w:sz w:val="20"/>
          <w:szCs w:val="20"/>
          <w:color w:val="auto"/>
        </w:rPr>
        <w:tab/>
      </w:r>
      <w:r>
        <w:rPr>
          <w:rFonts w:ascii="Arial" w:cs="Arial" w:eastAsia="Arial" w:hAnsi="Arial"/>
          <w:sz w:val="17"/>
          <w:szCs w:val="17"/>
          <w:color w:val="auto"/>
        </w:rPr>
        <w:t>/s/ Emil D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Emil D. Kakkis, M.D., Ph.D.</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Mardi C. Dier, certify that:</w:t>
      </w:r>
    </w:p>
    <w:p>
      <w:pPr>
        <w:spacing w:after="0" w:line="131"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Ultragenyx Pharmaceutical Inc.;</w:t>
      </w:r>
    </w:p>
    <w:p>
      <w:pPr>
        <w:spacing w:after="0" w:line="130"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440" w:right="320" w:hanging="432"/>
        <w:spacing w:after="0" w:line="279"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960" w:right="80" w:hanging="441"/>
        <w:spacing w:after="0" w:line="279"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960" w:right="380" w:hanging="441"/>
        <w:spacing w:after="0" w:line="279"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960" w:right="560" w:hanging="441"/>
        <w:spacing w:after="0" w:line="359" w:lineRule="auto"/>
        <w:tabs>
          <w:tab w:leader="none" w:pos="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960" w:right="60" w:hanging="441"/>
        <w:spacing w:after="0" w:line="279"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440" w:right="220" w:hanging="432"/>
        <w:spacing w:after="0" w:line="324"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9" w:lineRule="exact"/>
        <w:rPr>
          <w:rFonts w:ascii="Arial" w:cs="Arial" w:eastAsia="Arial" w:hAnsi="Arial"/>
          <w:sz w:val="17"/>
          <w:szCs w:val="17"/>
          <w:color w:val="auto"/>
        </w:rPr>
      </w:pPr>
    </w:p>
    <w:p>
      <w:pPr>
        <w:ind w:left="960" w:right="800" w:hanging="441"/>
        <w:spacing w:after="0" w:line="359" w:lineRule="auto"/>
        <w:tabs>
          <w:tab w:leader="none" w:pos="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960" w:right="480" w:hanging="441"/>
        <w:spacing w:after="0" w:line="293"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Dated: November 2, 2021</w:t>
      </w:r>
      <w:r>
        <w:rPr>
          <w:sz w:val="20"/>
          <w:szCs w:val="20"/>
          <w:color w:val="auto"/>
        </w:rPr>
        <w:tab/>
      </w:r>
      <w:r>
        <w:rPr>
          <w:rFonts w:ascii="Arial" w:cs="Arial" w:eastAsia="Arial" w:hAnsi="Arial"/>
          <w:sz w:val="16"/>
          <w:szCs w:val="16"/>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Mardi C. Dier</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SECTION 906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SARBANES-OXLEY ACT OF 2002 (18 U.S.C. SECTION 1350)</w:t>
      </w:r>
    </w:p>
    <w:p>
      <w:pPr>
        <w:spacing w:after="0" w:line="238" w:lineRule="exact"/>
        <w:rPr>
          <w:sz w:val="20"/>
          <w:szCs w:val="20"/>
          <w:color w:val="auto"/>
        </w:rPr>
      </w:pPr>
    </w:p>
    <w:p>
      <w:pPr>
        <w:ind w:right="220" w:firstLine="509"/>
        <w:spacing w:after="0" w:line="275" w:lineRule="auto"/>
        <w:rPr>
          <w:sz w:val="20"/>
          <w:szCs w:val="20"/>
          <w:color w:val="auto"/>
        </w:rPr>
      </w:pPr>
      <w:r>
        <w:rPr>
          <w:rFonts w:ascii="Arial" w:cs="Arial" w:eastAsia="Arial" w:hAnsi="Arial"/>
          <w:sz w:val="18"/>
          <w:szCs w:val="18"/>
          <w:color w:val="auto"/>
        </w:rPr>
        <w:t>In connection with the accompanying Quarterly Report of Ultragenyx Pharmaceutical Inc. (the “Company”) on Form 10-Q for the quarter ended September 30, 2021 (the “Report”), I, Emil D. Kakkis, M.D., Ph.D., as President and Chief Executive Officer of the Company, and Mardi C. Dier, as Executive Vice President and Chief Financial Officer of the Company, certify, pursuant to 18 U.S.C. Section 1350, as adopted pursuant to Section 906 of the Sarbanes-Oxley Act of 2002, that:</w:t>
      </w:r>
    </w:p>
    <w:p>
      <w:pPr>
        <w:spacing w:after="0" w:line="77" w:lineRule="exact"/>
        <w:rPr>
          <w:sz w:val="20"/>
          <w:szCs w:val="20"/>
          <w:color w:val="auto"/>
        </w:rPr>
      </w:pPr>
    </w:p>
    <w:p>
      <w:pPr>
        <w:ind w:left="960" w:hanging="441"/>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620" w:hanging="441"/>
        <w:spacing w:after="0" w:line="29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6100" w:val="left"/>
        </w:tabs>
        <w:rPr>
          <w:sz w:val="20"/>
          <w:szCs w:val="20"/>
          <w:color w:val="auto"/>
        </w:rPr>
      </w:pPr>
      <w:r>
        <w:rPr>
          <w:rFonts w:ascii="Arial" w:cs="Arial" w:eastAsia="Arial" w:hAnsi="Arial"/>
          <w:sz w:val="18"/>
          <w:szCs w:val="18"/>
          <w:color w:val="auto"/>
        </w:rPr>
        <w:t>Dated: November 2, 2021</w:t>
      </w:r>
      <w:r>
        <w:rPr>
          <w:sz w:val="20"/>
          <w:szCs w:val="20"/>
          <w:color w:val="auto"/>
        </w:rPr>
        <w:tab/>
      </w:r>
      <w:r>
        <w:rPr>
          <w:rFonts w:ascii="Arial" w:cs="Arial" w:eastAsia="Arial" w:hAnsi="Arial"/>
          <w:sz w:val="16"/>
          <w:szCs w:val="16"/>
          <w:color w:val="auto"/>
        </w:rPr>
        <w:t>/s/ Emil D.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580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Emil D. Kakkis, M.D., Ph.D.</w:t>
      </w:r>
    </w:p>
    <w:p>
      <w:pPr>
        <w:spacing w:after="0" w:line="5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tabs>
          <w:tab w:leader="none" w:pos="6100" w:val="left"/>
        </w:tabs>
        <w:rPr>
          <w:sz w:val="20"/>
          <w:szCs w:val="20"/>
          <w:color w:val="auto"/>
        </w:rPr>
      </w:pPr>
      <w:r>
        <w:rPr>
          <w:rFonts w:ascii="Arial" w:cs="Arial" w:eastAsia="Arial" w:hAnsi="Arial"/>
          <w:sz w:val="18"/>
          <w:szCs w:val="18"/>
          <w:color w:val="auto"/>
        </w:rPr>
        <w:t>Dated: November 2, 2021</w:t>
      </w:r>
      <w:r>
        <w:rPr>
          <w:sz w:val="20"/>
          <w:szCs w:val="20"/>
          <w:color w:val="auto"/>
        </w:rPr>
        <w:tab/>
      </w:r>
      <w:r>
        <w:rPr>
          <w:rFonts w:ascii="Arial" w:cs="Arial" w:eastAsia="Arial" w:hAnsi="Arial"/>
          <w:sz w:val="16"/>
          <w:szCs w:val="16"/>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580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Mardi C. Dier</w:t>
      </w:r>
    </w:p>
    <w:p>
      <w:pPr>
        <w:spacing w:after="0" w:line="5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4"/>
    </w:lvl>
  </w:abstractNum>
  <w:abstractNum w:abstractNumId="6">
    <w:nsid w:val="1F16E9E8"/>
    <w:multiLevelType w:val="hybridMultilevel"/>
    <w:lvl w:ilvl="0">
      <w:lvlJc w:val="left"/>
      <w:lvlText w:val="%1."/>
      <w:numFmt w:val="decimal"/>
      <w:start w:val="6"/>
    </w:lvl>
  </w:abstractNum>
  <w:abstractNum w:abstractNumId="7">
    <w:nsid w:val="1190CDE7"/>
    <w:multiLevelType w:val="hybridMultilevel"/>
    <w:lvl w:ilvl="0">
      <w:lvlJc w:val="left"/>
      <w:lvlText w:val="%1."/>
      <w:numFmt w:val="decimal"/>
      <w:start w:val="7"/>
    </w:lvl>
  </w:abstractNum>
  <w:abstractNum w:abstractNumId="8">
    <w:nsid w:val="66EF438D"/>
    <w:multiLevelType w:val="hybridMultilevel"/>
    <w:lvl w:ilvl="0">
      <w:lvlJc w:val="left"/>
      <w:lvlText w:val="%1."/>
      <w:numFmt w:val="decimal"/>
      <w:start w:val="8"/>
    </w:lvl>
  </w:abstractNum>
  <w:abstractNum w:abstractNumId="9">
    <w:nsid w:val="140E0F76"/>
    <w:multiLevelType w:val="hybridMultilevel"/>
    <w:lvl w:ilvl="0">
      <w:lvlJc w:val="left"/>
      <w:lvlText w:val="%1."/>
      <w:numFmt w:val="decimal"/>
      <w:start w:val="9"/>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291" Type="http://schemas.openxmlformats.org/officeDocument/2006/relationships/hyperlink" Target="https://www.sec.gov/Archives/edgar/data/1515673/000119312514036944/d670959dex31.htm" TargetMode="External"/><Relationship Id="rId292" Type="http://schemas.openxmlformats.org/officeDocument/2006/relationships/hyperlink" Target="https://www.sec.gov/Archives/edgar/data/1515673/000119312514036944/d670959dex32.htm" TargetMode="External"/><Relationship Id="rId293" Type="http://schemas.openxmlformats.org/officeDocument/2006/relationships/hyperlink" Target="https://www.sec.gov/Archives/edgar/data/1515673/000119312513435507/d601113dex42.htm" TargetMode="External"/><Relationship Id="rId294" Type="http://schemas.openxmlformats.org/officeDocument/2006/relationships/hyperlink" Target="https://www.sec.gov/Archives/edgar/data/1515673/000119312521038956/d141963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2021-11-03T05:18:56Z</dcterms:created>
  <dcterms:modified xsi:type="dcterms:W3CDTF">2021-11-03T05:18:56Z</dcterms:modified>
</cp:coreProperties>
</file>