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147320</wp:posOffset>
            </wp:positionH>
            <wp:positionV relativeFrom="page">
              <wp:posOffset>147320</wp:posOffset>
            </wp:positionV>
            <wp:extent cx="72663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169545</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12" w:lineRule="exact"/>
        <w:rPr>
          <w:sz w:val="24"/>
          <w:szCs w:val="24"/>
          <w:color w:val="auto"/>
        </w:rPr>
      </w:pPr>
    </w:p>
    <w:p>
      <w:pPr>
        <w:jc w:val="center"/>
        <w:ind w:right="-7"/>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7"/>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83185</wp:posOffset>
            </wp:positionV>
            <wp:extent cx="14503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178" w:lineRule="exact"/>
        <w:rPr>
          <w:sz w:val="24"/>
          <w:szCs w:val="24"/>
          <w:color w:val="auto"/>
        </w:rPr>
      </w:pPr>
    </w:p>
    <w:p>
      <w:pPr>
        <w:jc w:val="center"/>
        <w:ind w:right="-7"/>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97155</wp:posOffset>
            </wp:positionV>
            <wp:extent cx="14503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222" w:lineRule="exact"/>
        <w:rPr>
          <w:sz w:val="24"/>
          <w:szCs w:val="24"/>
          <w:color w:val="auto"/>
        </w:rPr>
      </w:pPr>
    </w:p>
    <w:p>
      <w:pPr>
        <w:ind w:left="8"/>
        <w:spacing w:after="0"/>
        <w:rPr>
          <w:sz w:val="20"/>
          <w:szCs w:val="20"/>
          <w:color w:val="auto"/>
        </w:rPr>
      </w:pPr>
      <w:r>
        <w:rPr>
          <w:rFonts w:ascii="Arial" w:cs="Arial" w:eastAsia="Arial" w:hAnsi="Arial"/>
          <w:sz w:val="15"/>
          <w:szCs w:val="15"/>
          <w:b w:val="1"/>
          <w:bCs w:val="1"/>
          <w:color w:val="auto"/>
        </w:rPr>
        <w:t>(Mark One)</w:t>
      </w:r>
    </w:p>
    <w:p>
      <w:pPr>
        <w:spacing w:after="0" w:line="24" w:lineRule="exact"/>
        <w:rPr>
          <w:sz w:val="24"/>
          <w:szCs w:val="24"/>
          <w:color w:val="auto"/>
        </w:rPr>
      </w:pPr>
    </w:p>
    <w:p>
      <w:pPr>
        <w:ind w:left="528" w:hanging="528"/>
        <w:spacing w:after="0"/>
        <w:tabs>
          <w:tab w:leader="none" w:pos="52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3"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For the quarterly period ended June 30, 2018</w:t>
      </w:r>
    </w:p>
    <w:p>
      <w:pPr>
        <w:spacing w:after="0" w:line="104"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OR</w:t>
      </w:r>
    </w:p>
    <w:p>
      <w:pPr>
        <w:spacing w:after="0" w:line="96" w:lineRule="exact"/>
        <w:rPr>
          <w:sz w:val="24"/>
          <w:szCs w:val="24"/>
          <w:color w:val="auto"/>
        </w:rPr>
      </w:pPr>
    </w:p>
    <w:p>
      <w:pPr>
        <w:ind w:left="528" w:hanging="528"/>
        <w:spacing w:after="0"/>
        <w:tabs>
          <w:tab w:leader="none" w:pos="52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808" w:type="dxa"/>
        <w:tblCellMar>
          <w:top w:w="0" w:type="dxa"/>
          <w:left w:w="0" w:type="dxa"/>
          <w:bottom w:w="0" w:type="dxa"/>
          <w:right w:w="0" w:type="dxa"/>
        </w:tblCellMar>
      </w:tblPr>
      <w:tr>
        <w:trPr>
          <w:trHeight w:val="172"/>
        </w:trPr>
        <w:tc>
          <w:tcPr>
            <w:tcW w:w="2000" w:type="dxa"/>
            <w:vAlign w:val="bottom"/>
          </w:tcPr>
          <w:p>
            <w:pPr>
              <w:jc w:val="right"/>
              <w:spacing w:after="0"/>
              <w:rPr>
                <w:sz w:val="20"/>
                <w:szCs w:val="20"/>
                <w:color w:val="auto"/>
              </w:rPr>
            </w:pPr>
            <w:r>
              <w:rPr>
                <w:rFonts w:ascii="Arial" w:cs="Arial" w:eastAsia="Arial" w:hAnsi="Arial"/>
                <w:sz w:val="15"/>
                <w:szCs w:val="15"/>
                <w:b w:val="1"/>
                <w:bCs w:val="1"/>
                <w:color w:val="auto"/>
                <w:w w:val="92"/>
              </w:rPr>
              <w:t>For the transition period from</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to</w:t>
            </w: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rPr>
              <w:t>.</w:t>
            </w:r>
          </w:p>
        </w:tc>
      </w:tr>
      <w:tr>
        <w:trPr>
          <w:trHeight w:val="20"/>
        </w:trPr>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Commission File</w:t>
            </w:r>
          </w:p>
        </w:tc>
        <w:tc>
          <w:tcPr>
            <w:tcW w:w="1000" w:type="dxa"/>
            <w:vAlign w:val="bottom"/>
            <w:gridSpan w:val="3"/>
          </w:tcPr>
          <w:p>
            <w:pPr>
              <w:jc w:val="right"/>
              <w:spacing w:after="0"/>
              <w:rPr>
                <w:sz w:val="20"/>
                <w:szCs w:val="20"/>
                <w:color w:val="auto"/>
              </w:rPr>
            </w:pPr>
            <w:r>
              <w:rPr>
                <w:rFonts w:ascii="Arial" w:cs="Arial" w:eastAsia="Arial" w:hAnsi="Arial"/>
                <w:sz w:val="15"/>
                <w:szCs w:val="15"/>
                <w:b w:val="1"/>
                <w:bCs w:val="1"/>
                <w:color w:val="auto"/>
                <w:w w:val="91"/>
              </w:rPr>
              <w:t>No. 001-36276</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73025</wp:posOffset>
            </wp:positionV>
            <wp:extent cx="14503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163" w:lineRule="exact"/>
        <w:rPr>
          <w:sz w:val="24"/>
          <w:szCs w:val="24"/>
          <w:color w:val="auto"/>
        </w:rPr>
      </w:pPr>
    </w:p>
    <w:p>
      <w:pPr>
        <w:jc w:val="center"/>
        <w:ind w:right="-7"/>
        <w:spacing w:after="0"/>
        <w:rPr>
          <w:sz w:val="20"/>
          <w:szCs w:val="20"/>
          <w:color w:val="auto"/>
        </w:rPr>
      </w:pPr>
      <w:r>
        <w:rPr>
          <w:rFonts w:ascii="Arial" w:cs="Arial" w:eastAsia="Arial" w:hAnsi="Arial"/>
          <w:sz w:val="37"/>
          <w:szCs w:val="37"/>
          <w:b w:val="1"/>
          <w:bCs w:val="1"/>
          <w:color w:val="auto"/>
        </w:rPr>
        <w:t>ULTRAGENYX PHARMACEUTICAL INC.</w:t>
      </w:r>
    </w:p>
    <w:p>
      <w:pPr>
        <w:spacing w:after="0" w:line="39" w:lineRule="exact"/>
        <w:rPr>
          <w:sz w:val="24"/>
          <w:szCs w:val="24"/>
          <w:color w:val="auto"/>
        </w:rPr>
      </w:pPr>
    </w:p>
    <w:p>
      <w:pPr>
        <w:jc w:val="center"/>
        <w:ind w:right="-7"/>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87630</wp:posOffset>
            </wp:positionV>
            <wp:extent cx="14503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218" w:lineRule="exact"/>
        <w:rPr>
          <w:sz w:val="24"/>
          <w:szCs w:val="24"/>
          <w:color w:val="auto"/>
        </w:rPr>
      </w:pPr>
    </w:p>
    <w:tbl>
      <w:tblPr>
        <w:tblLayout w:type="fixed"/>
        <w:tblInd w:w="1908" w:type="dxa"/>
        <w:tblCellMar>
          <w:top w:w="0" w:type="dxa"/>
          <w:left w:w="0" w:type="dxa"/>
          <w:bottom w:w="0" w:type="dxa"/>
          <w:right w:w="0" w:type="dxa"/>
        </w:tblCellMar>
      </w:tblPr>
      <w:tr>
        <w:trPr>
          <w:trHeight w:val="183"/>
        </w:trPr>
        <w:tc>
          <w:tcPr>
            <w:tcW w:w="2240" w:type="dxa"/>
            <w:vAlign w:val="bottom"/>
          </w:tcPr>
          <w:p>
            <w:pPr>
              <w:jc w:val="center"/>
              <w:ind w:right="271"/>
              <w:spacing w:after="0"/>
              <w:rPr>
                <w:sz w:val="20"/>
                <w:szCs w:val="20"/>
                <w:color w:val="auto"/>
              </w:rPr>
            </w:pPr>
            <w:r>
              <w:rPr>
                <w:rFonts w:ascii="Arial" w:cs="Arial" w:eastAsia="Arial" w:hAnsi="Arial"/>
                <w:sz w:val="15"/>
                <w:szCs w:val="15"/>
                <w:b w:val="1"/>
                <w:bCs w:val="1"/>
                <w:color w:val="auto"/>
                <w:w w:val="94"/>
              </w:rPr>
              <w:t>Delaware</w:t>
            </w:r>
          </w:p>
        </w:tc>
        <w:tc>
          <w:tcPr>
            <w:tcW w:w="5000" w:type="dxa"/>
            <w:vAlign w:val="bottom"/>
          </w:tcPr>
          <w:p>
            <w:pPr>
              <w:jc w:val="center"/>
              <w:ind w:left="4032"/>
              <w:spacing w:after="0"/>
              <w:rPr>
                <w:sz w:val="20"/>
                <w:szCs w:val="20"/>
                <w:color w:val="auto"/>
              </w:rPr>
            </w:pPr>
            <w:r>
              <w:rPr>
                <w:rFonts w:ascii="Arial" w:cs="Arial" w:eastAsia="Arial" w:hAnsi="Arial"/>
                <w:sz w:val="15"/>
                <w:szCs w:val="15"/>
                <w:b w:val="1"/>
                <w:bCs w:val="1"/>
                <w:color w:val="auto"/>
                <w:w w:val="92"/>
              </w:rPr>
              <w:t>27-2546083</w:t>
            </w:r>
          </w:p>
        </w:tc>
      </w:tr>
      <w:tr>
        <w:trPr>
          <w:trHeight w:val="127"/>
        </w:trPr>
        <w:tc>
          <w:tcPr>
            <w:tcW w:w="2240" w:type="dxa"/>
            <w:vAlign w:val="bottom"/>
          </w:tcPr>
          <w:p>
            <w:pPr>
              <w:jc w:val="center"/>
              <w:ind w:right="251"/>
              <w:spacing w:after="0" w:line="127" w:lineRule="exact"/>
              <w:rPr>
                <w:sz w:val="20"/>
                <w:szCs w:val="20"/>
                <w:color w:val="auto"/>
              </w:rPr>
            </w:pPr>
            <w:r>
              <w:rPr>
                <w:rFonts w:ascii="Arial" w:cs="Arial" w:eastAsia="Arial" w:hAnsi="Arial"/>
                <w:sz w:val="12"/>
                <w:szCs w:val="12"/>
                <w:color w:val="auto"/>
                <w:w w:val="95"/>
              </w:rPr>
              <w:t>(State or other jurisdiction of</w:t>
            </w:r>
          </w:p>
        </w:tc>
        <w:tc>
          <w:tcPr>
            <w:tcW w:w="5000" w:type="dxa"/>
            <w:vAlign w:val="bottom"/>
          </w:tcPr>
          <w:p>
            <w:pPr>
              <w:ind w:left="4140"/>
              <w:spacing w:after="0" w:line="127" w:lineRule="exact"/>
              <w:rPr>
                <w:sz w:val="20"/>
                <w:szCs w:val="20"/>
                <w:color w:val="auto"/>
              </w:rPr>
            </w:pPr>
            <w:r>
              <w:rPr>
                <w:rFonts w:ascii="Arial" w:cs="Arial" w:eastAsia="Arial" w:hAnsi="Arial"/>
                <w:sz w:val="12"/>
                <w:szCs w:val="12"/>
                <w:color w:val="auto"/>
                <w:w w:val="95"/>
              </w:rPr>
              <w:t>(I.R.S. Employer</w:t>
            </w:r>
          </w:p>
        </w:tc>
      </w:tr>
      <w:tr>
        <w:trPr>
          <w:trHeight w:val="156"/>
        </w:trPr>
        <w:tc>
          <w:tcPr>
            <w:tcW w:w="2240" w:type="dxa"/>
            <w:vAlign w:val="bottom"/>
          </w:tcPr>
          <w:p>
            <w:pPr>
              <w:jc w:val="center"/>
              <w:ind w:right="251"/>
              <w:spacing w:after="0"/>
              <w:rPr>
                <w:sz w:val="20"/>
                <w:szCs w:val="20"/>
                <w:color w:val="auto"/>
              </w:rPr>
            </w:pPr>
            <w:r>
              <w:rPr>
                <w:rFonts w:ascii="Arial" w:cs="Arial" w:eastAsia="Arial" w:hAnsi="Arial"/>
                <w:sz w:val="12"/>
                <w:szCs w:val="12"/>
                <w:color w:val="auto"/>
                <w:w w:val="94"/>
              </w:rPr>
              <w:t>incorporation or organization)</w:t>
            </w:r>
          </w:p>
        </w:tc>
        <w:tc>
          <w:tcPr>
            <w:tcW w:w="5000" w:type="dxa"/>
            <w:vAlign w:val="bottom"/>
          </w:tcPr>
          <w:p>
            <w:pPr>
              <w:jc w:val="center"/>
              <w:ind w:left="4032"/>
              <w:spacing w:after="0"/>
              <w:rPr>
                <w:sz w:val="20"/>
                <w:szCs w:val="20"/>
                <w:color w:val="auto"/>
              </w:rPr>
            </w:pPr>
            <w:r>
              <w:rPr>
                <w:rFonts w:ascii="Arial" w:cs="Arial" w:eastAsia="Arial" w:hAnsi="Arial"/>
                <w:sz w:val="12"/>
                <w:szCs w:val="12"/>
                <w:color w:val="auto"/>
                <w:w w:val="96"/>
              </w:rPr>
              <w:t>Identification No.)</w:t>
            </w:r>
          </w:p>
        </w:tc>
      </w:tr>
      <w:tr>
        <w:trPr>
          <w:trHeight w:val="261"/>
        </w:trPr>
        <w:tc>
          <w:tcPr>
            <w:tcW w:w="2240" w:type="dxa"/>
            <w:vAlign w:val="bottom"/>
          </w:tcPr>
          <w:p>
            <w:pPr>
              <w:jc w:val="center"/>
              <w:ind w:right="211"/>
              <w:spacing w:after="0"/>
              <w:rPr>
                <w:sz w:val="20"/>
                <w:szCs w:val="20"/>
                <w:color w:val="auto"/>
              </w:rPr>
            </w:pPr>
            <w:r>
              <w:rPr>
                <w:rFonts w:ascii="Arial" w:cs="Arial" w:eastAsia="Arial" w:hAnsi="Arial"/>
                <w:sz w:val="15"/>
                <w:szCs w:val="15"/>
                <w:b w:val="1"/>
                <w:bCs w:val="1"/>
                <w:color w:val="auto"/>
                <w:w w:val="94"/>
              </w:rPr>
              <w:t>60 Leveroni Court</w:t>
            </w:r>
          </w:p>
        </w:tc>
        <w:tc>
          <w:tcPr>
            <w:tcW w:w="5000" w:type="dxa"/>
            <w:vAlign w:val="bottom"/>
          </w:tcPr>
          <w:p>
            <w:pPr>
              <w:spacing w:after="0"/>
              <w:rPr>
                <w:sz w:val="22"/>
                <w:szCs w:val="22"/>
                <w:color w:val="auto"/>
              </w:rPr>
            </w:pPr>
          </w:p>
        </w:tc>
      </w:tr>
      <w:tr>
        <w:trPr>
          <w:trHeight w:val="183"/>
        </w:trPr>
        <w:tc>
          <w:tcPr>
            <w:tcW w:w="2240" w:type="dxa"/>
            <w:vAlign w:val="bottom"/>
          </w:tcPr>
          <w:p>
            <w:pPr>
              <w:jc w:val="center"/>
              <w:ind w:right="191"/>
              <w:spacing w:after="0"/>
              <w:rPr>
                <w:sz w:val="20"/>
                <w:szCs w:val="20"/>
                <w:color w:val="auto"/>
              </w:rPr>
            </w:pPr>
            <w:r>
              <w:rPr>
                <w:rFonts w:ascii="Arial" w:cs="Arial" w:eastAsia="Arial" w:hAnsi="Arial"/>
                <w:sz w:val="15"/>
                <w:szCs w:val="15"/>
                <w:b w:val="1"/>
                <w:bCs w:val="1"/>
                <w:color w:val="auto"/>
                <w:w w:val="95"/>
              </w:rPr>
              <w:t>Novato, California</w:t>
            </w:r>
          </w:p>
        </w:tc>
        <w:tc>
          <w:tcPr>
            <w:tcW w:w="5000" w:type="dxa"/>
            <w:vAlign w:val="bottom"/>
          </w:tcPr>
          <w:p>
            <w:pPr>
              <w:jc w:val="center"/>
              <w:ind w:left="3992"/>
              <w:spacing w:after="0"/>
              <w:rPr>
                <w:sz w:val="20"/>
                <w:szCs w:val="20"/>
                <w:color w:val="auto"/>
              </w:rPr>
            </w:pPr>
            <w:r>
              <w:rPr>
                <w:rFonts w:ascii="Arial" w:cs="Arial" w:eastAsia="Arial" w:hAnsi="Arial"/>
                <w:sz w:val="15"/>
                <w:szCs w:val="15"/>
                <w:b w:val="1"/>
                <w:bCs w:val="1"/>
                <w:color w:val="auto"/>
                <w:w w:val="91"/>
              </w:rPr>
              <w:t>94949</w:t>
            </w:r>
          </w:p>
        </w:tc>
      </w:tr>
      <w:tr>
        <w:trPr>
          <w:trHeight w:val="156"/>
        </w:trPr>
        <w:tc>
          <w:tcPr>
            <w:tcW w:w="2240" w:type="dxa"/>
            <w:vAlign w:val="bottom"/>
          </w:tcPr>
          <w:p>
            <w:pPr>
              <w:jc w:val="center"/>
              <w:ind w:right="211"/>
              <w:spacing w:after="0"/>
              <w:rPr>
                <w:sz w:val="20"/>
                <w:szCs w:val="20"/>
                <w:color w:val="auto"/>
              </w:rPr>
            </w:pPr>
            <w:r>
              <w:rPr>
                <w:rFonts w:ascii="Arial" w:cs="Arial" w:eastAsia="Arial" w:hAnsi="Arial"/>
                <w:sz w:val="12"/>
                <w:szCs w:val="12"/>
                <w:color w:val="auto"/>
                <w:w w:val="95"/>
              </w:rPr>
              <w:t>(Address of principal executive offices)</w:t>
            </w:r>
          </w:p>
        </w:tc>
        <w:tc>
          <w:tcPr>
            <w:tcW w:w="5000" w:type="dxa"/>
            <w:vAlign w:val="bottom"/>
          </w:tcPr>
          <w:p>
            <w:pPr>
              <w:jc w:val="center"/>
              <w:ind w:left="3992"/>
              <w:spacing w:after="0"/>
              <w:rPr>
                <w:sz w:val="20"/>
                <w:szCs w:val="20"/>
                <w:color w:val="auto"/>
              </w:rPr>
            </w:pPr>
            <w:r>
              <w:rPr>
                <w:rFonts w:ascii="Arial" w:cs="Arial" w:eastAsia="Arial" w:hAnsi="Arial"/>
                <w:sz w:val="12"/>
                <w:szCs w:val="12"/>
                <w:i w:val="1"/>
                <w:iCs w:val="1"/>
                <w:color w:val="auto"/>
                <w:w w:val="95"/>
              </w:rPr>
              <w:t>(Zip Code)</w:t>
            </w:r>
          </w:p>
        </w:tc>
      </w:tr>
      <w:tr>
        <w:trPr>
          <w:trHeight w:val="306"/>
        </w:trPr>
        <w:tc>
          <w:tcPr>
            <w:tcW w:w="2240" w:type="dxa"/>
            <w:vAlign w:val="bottom"/>
          </w:tcPr>
          <w:p>
            <w:pPr>
              <w:spacing w:after="0"/>
              <w:rPr>
                <w:sz w:val="24"/>
                <w:szCs w:val="24"/>
                <w:color w:val="auto"/>
              </w:rPr>
            </w:pPr>
          </w:p>
        </w:tc>
        <w:tc>
          <w:tcPr>
            <w:tcW w:w="5000" w:type="dxa"/>
            <w:vAlign w:val="bottom"/>
          </w:tcPr>
          <w:p>
            <w:pPr>
              <w:jc w:val="right"/>
              <w:ind w:right="2872"/>
              <w:spacing w:after="0"/>
              <w:rPr>
                <w:sz w:val="20"/>
                <w:szCs w:val="20"/>
                <w:color w:val="auto"/>
              </w:rPr>
            </w:pPr>
            <w:r>
              <w:rPr>
                <w:rFonts w:ascii="Arial" w:cs="Arial" w:eastAsia="Arial" w:hAnsi="Arial"/>
                <w:sz w:val="15"/>
                <w:szCs w:val="15"/>
                <w:b w:val="1"/>
                <w:bCs w:val="1"/>
                <w:color w:val="auto"/>
              </w:rPr>
              <w:t>(415) 483-8800</w:t>
            </w:r>
          </w:p>
        </w:tc>
      </w:tr>
      <w:tr>
        <w:trPr>
          <w:trHeight w:val="156"/>
        </w:trPr>
        <w:tc>
          <w:tcPr>
            <w:tcW w:w="2240" w:type="dxa"/>
            <w:vAlign w:val="bottom"/>
          </w:tcPr>
          <w:p>
            <w:pPr>
              <w:spacing w:after="0"/>
              <w:rPr>
                <w:sz w:val="13"/>
                <w:szCs w:val="13"/>
                <w:color w:val="auto"/>
              </w:rPr>
            </w:pPr>
          </w:p>
        </w:tc>
        <w:tc>
          <w:tcPr>
            <w:tcW w:w="5000" w:type="dxa"/>
            <w:vAlign w:val="bottom"/>
          </w:tcPr>
          <w:p>
            <w:pPr>
              <w:jc w:val="center"/>
              <w:ind w:right="1772"/>
              <w:spacing w:after="0"/>
              <w:rPr>
                <w:sz w:val="20"/>
                <w:szCs w:val="20"/>
                <w:color w:val="auto"/>
              </w:rPr>
            </w:pPr>
            <w:r>
              <w:rPr>
                <w:rFonts w:ascii="Arial" w:cs="Arial" w:eastAsia="Arial" w:hAnsi="Arial"/>
                <w:sz w:val="12"/>
                <w:szCs w:val="12"/>
                <w:color w:val="auto"/>
                <w:w w:val="92"/>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72390</wp:posOffset>
            </wp:positionV>
            <wp:extent cx="1450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187" w:lineRule="exact"/>
        <w:rPr>
          <w:sz w:val="24"/>
          <w:szCs w:val="24"/>
          <w:color w:val="auto"/>
        </w:rPr>
      </w:pPr>
    </w:p>
    <w:p>
      <w:pPr>
        <w:ind w:left="8" w:right="80"/>
        <w:spacing w:after="0" w:line="19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jc w:val="both"/>
        <w:ind w:left="8" w:right="240"/>
        <w:spacing w:after="0" w:line="194"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highlight w:val="black"/>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6" w:lineRule="exact"/>
        <w:rPr>
          <w:sz w:val="24"/>
          <w:szCs w:val="24"/>
          <w:color w:val="auto"/>
        </w:rPr>
      </w:pPr>
    </w:p>
    <w:p>
      <w:pPr>
        <w:ind w:left="8"/>
        <w:spacing w:after="0" w:line="32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7" w:lineRule="exact"/>
        <w:rPr>
          <w:sz w:val="24"/>
          <w:szCs w:val="24"/>
          <w:color w:val="auto"/>
        </w:rPr>
      </w:pPr>
    </w:p>
    <w:tbl>
      <w:tblPr>
        <w:tblLayout w:type="fixed"/>
        <w:tblInd w:w="8"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7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640" w:type="dxa"/>
            <w:vAlign w:val="bottom"/>
          </w:tcPr>
          <w:p>
            <w:pPr>
              <w:ind w:left="1180"/>
              <w:spacing w:after="0"/>
              <w:rPr>
                <w:sz w:val="20"/>
                <w:szCs w:val="20"/>
                <w:color w:val="auto"/>
              </w:rPr>
            </w:pPr>
            <w:r>
              <w:rPr>
                <w:rFonts w:ascii="Arial" w:cs="Arial" w:eastAsia="Arial" w:hAnsi="Arial"/>
                <w:sz w:val="15"/>
                <w:szCs w:val="15"/>
                <w:color w:val="auto"/>
              </w:rPr>
              <w:t>Accelerated filer</w:t>
            </w:r>
          </w:p>
        </w:tc>
        <w:tc>
          <w:tcPr>
            <w:tcW w:w="920" w:type="dxa"/>
            <w:vAlign w:val="bottom"/>
          </w:tcPr>
          <w:p>
            <w:pPr>
              <w:ind w:left="7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2160" w:type="dxa"/>
            <w:vAlign w:val="bottom"/>
          </w:tcPr>
          <w:p>
            <w:pPr>
              <w:spacing w:after="0"/>
              <w:rPr>
                <w:sz w:val="20"/>
                <w:szCs w:val="20"/>
                <w:color w:val="auto"/>
              </w:rPr>
            </w:pPr>
            <w:r>
              <w:rPr>
                <w:rFonts w:ascii="Arial" w:cs="Arial" w:eastAsia="Arial" w:hAnsi="Arial"/>
                <w:sz w:val="15"/>
                <w:szCs w:val="15"/>
                <w:color w:val="auto"/>
              </w:rPr>
              <w:t>Non-accelerated filer</w:t>
            </w:r>
          </w:p>
        </w:tc>
        <w:tc>
          <w:tcPr>
            <w:tcW w:w="4700" w:type="dxa"/>
            <w:vAlign w:val="bottom"/>
          </w:tcPr>
          <w:p>
            <w:pPr>
              <w:ind w:left="4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640" w:type="dxa"/>
            <w:vAlign w:val="bottom"/>
          </w:tcPr>
          <w:p>
            <w:pPr>
              <w:ind w:left="1180"/>
              <w:spacing w:after="0"/>
              <w:rPr>
                <w:sz w:val="20"/>
                <w:szCs w:val="20"/>
                <w:color w:val="auto"/>
              </w:rPr>
            </w:pPr>
            <w:r>
              <w:rPr>
                <w:rFonts w:ascii="Arial" w:cs="Arial" w:eastAsia="Arial" w:hAnsi="Arial"/>
                <w:sz w:val="15"/>
                <w:szCs w:val="15"/>
                <w:color w:val="auto"/>
              </w:rPr>
              <w:t>Smaller reporting company</w:t>
            </w:r>
          </w:p>
        </w:tc>
        <w:tc>
          <w:tcPr>
            <w:tcW w:w="920" w:type="dxa"/>
            <w:vAlign w:val="bottom"/>
          </w:tcPr>
          <w:p>
            <w:pPr>
              <w:ind w:left="7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1"/>
        </w:trPr>
        <w:tc>
          <w:tcPr>
            <w:tcW w:w="21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4700" w:type="dxa"/>
            <w:vAlign w:val="bottom"/>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70" w:lineRule="exact"/>
        <w:rPr>
          <w:sz w:val="24"/>
          <w:szCs w:val="24"/>
          <w:color w:val="auto"/>
        </w:rPr>
      </w:pPr>
    </w:p>
    <w:p>
      <w:pPr>
        <w:ind w:left="8" w:right="40"/>
        <w:spacing w:after="0" w:line="19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6" w:lineRule="exact"/>
        <w:rPr>
          <w:sz w:val="24"/>
          <w:szCs w:val="24"/>
          <w:color w:val="auto"/>
        </w:rPr>
      </w:pPr>
    </w:p>
    <w:p>
      <w:pPr>
        <w:ind w:left="8" w:right="3180"/>
        <w:spacing w:after="0" w:line="25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3"/>
          <w:szCs w:val="13"/>
          <w:color w:val="auto"/>
          <w:highlight w:val="black"/>
        </w:rPr>
        <w:t>☑</w:t>
      </w:r>
      <w:r>
        <w:rPr>
          <w:rFonts w:ascii="Arial" w:cs="Arial" w:eastAsia="Arial" w:hAnsi="Arial"/>
          <w:sz w:val="15"/>
          <w:szCs w:val="15"/>
          <w:color w:val="auto"/>
        </w:rPr>
        <w:t xml:space="preserve"> As of July 30, 2018, the registrant had 50,182,357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2663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81280</wp:posOffset>
            </wp:positionV>
            <wp:extent cx="72663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398145</wp:posOffset>
            </wp:positionV>
            <wp:extent cx="73063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8"/>
          </w:cols>
          <w:pgMar w:left="232" w:top="334"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5"/>
          <w:szCs w:val="15"/>
          <w:b w:val="1"/>
          <w:bCs w:val="1"/>
          <w:color w:val="auto"/>
        </w:rPr>
        <w:t>ULTRAGENYX PHARMACEUTICAL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FORM 10-Q FOR THE QUARTER ENDED JUNE 30, 2018</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INDEX</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80" w:type="dxa"/>
            <w:vAlign w:val="bottom"/>
            <w:tcBorders>
              <w:bottom w:val="single" w:sz="8" w:color="auto"/>
            </w:tcBorders>
          </w:tcPr>
          <w:p>
            <w:pPr>
              <w:jc w:val="right"/>
              <w:ind w:right="44"/>
              <w:spacing w:after="0"/>
              <w:rPr>
                <w:sz w:val="20"/>
                <w:szCs w:val="20"/>
                <w:color w:val="auto"/>
              </w:rPr>
            </w:pPr>
            <w:r>
              <w:rPr>
                <w:rFonts w:ascii="Arial" w:cs="Arial" w:eastAsia="Arial" w:hAnsi="Arial"/>
                <w:sz w:val="12"/>
                <w:szCs w:val="12"/>
                <w:b w:val="1"/>
                <w:bCs w:val="1"/>
                <w:color w:val="auto"/>
              </w:rPr>
              <w:t>Page</w:t>
            </w:r>
          </w:p>
        </w:tc>
        <w:tc>
          <w:tcPr>
            <w:tcW w:w="20" w:type="dxa"/>
            <w:vAlign w:val="bottom"/>
          </w:tcPr>
          <w:p>
            <w:pPr>
              <w:spacing w:after="0"/>
              <w:rPr>
                <w:sz w:val="12"/>
                <w:szCs w:val="12"/>
                <w:color w:val="auto"/>
              </w:rPr>
            </w:pPr>
          </w:p>
        </w:tc>
      </w:tr>
      <w:tr>
        <w:trPr>
          <w:trHeight w:val="245"/>
        </w:trPr>
        <w:tc>
          <w:tcPr>
            <w:tcW w:w="5220" w:type="dxa"/>
            <w:vAlign w:val="bottom"/>
            <w:tcBorders>
              <w:bottom w:val="single" w:sz="8" w:color="0000EE"/>
            </w:tcBorders>
            <w:gridSpan w:val="14"/>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CAUTIONARY NOTE REGARDING FORWARD-LOOKING STATEMENTS</w:t>
              </w:r>
            </w:hyperlink>
          </w:p>
        </w:tc>
        <w:tc>
          <w:tcPr>
            <w:tcW w:w="5740" w:type="dxa"/>
            <w:vAlign w:val="bottom"/>
            <w:gridSpan w:val="8"/>
          </w:tcPr>
          <w:p>
            <w:pPr>
              <w:spacing w:after="0"/>
              <w:rPr>
                <w:sz w:val="21"/>
                <w:szCs w:val="2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268"/>
        </w:trPr>
        <w:tc>
          <w:tcPr>
            <w:tcW w:w="840" w:type="dxa"/>
            <w:vAlign w:val="bottom"/>
          </w:tcPr>
          <w:p>
            <w:pPr>
              <w:spacing w:after="0"/>
              <w:rPr>
                <w:sz w:val="20"/>
                <w:szCs w:val="20"/>
                <w:color w:val="auto"/>
              </w:rPr>
            </w:pPr>
            <w:r>
              <w:rPr>
                <w:rFonts w:ascii="Arial" w:cs="Arial" w:eastAsia="Arial" w:hAnsi="Arial"/>
                <w:sz w:val="15"/>
                <w:szCs w:val="15"/>
                <w:b w:val="1"/>
                <w:bCs w:val="1"/>
                <w:color w:val="auto"/>
              </w:rPr>
              <w:t>Part I –</w:t>
            </w:r>
          </w:p>
        </w:tc>
        <w:tc>
          <w:tcPr>
            <w:tcW w:w="1460" w:type="dxa"/>
            <w:vAlign w:val="bottom"/>
            <w:tcBorders>
              <w:bottom w:val="single" w:sz="8" w:color="0000EE"/>
            </w:tcBorders>
            <w:gridSpan w:val="4"/>
          </w:tcPr>
          <w:p>
            <w:pPr>
              <w:spacing w:after="0"/>
              <w:rPr>
                <w:rFonts w:ascii="Arial" w:cs="Arial" w:eastAsia="Arial" w:hAnsi="Arial"/>
                <w:sz w:val="15"/>
                <w:szCs w:val="15"/>
                <w:b w:val="1"/>
                <w:bCs w:val="1"/>
                <w:color w:val="0000EE"/>
                <w:w w:val="94"/>
              </w:rPr>
            </w:pPr>
            <w:hyperlink w:anchor="page4">
              <w:r>
                <w:rPr>
                  <w:rFonts w:ascii="Arial" w:cs="Arial" w:eastAsia="Arial" w:hAnsi="Arial"/>
                  <w:sz w:val="15"/>
                  <w:szCs w:val="15"/>
                  <w:b w:val="1"/>
                  <w:bCs w:val="1"/>
                  <w:color w:val="0000EE"/>
                  <w:w w:val="94"/>
                </w:rPr>
                <w:t>Financial Information</w:t>
              </w:r>
            </w:hyperlink>
          </w:p>
        </w:tc>
        <w:tc>
          <w:tcPr>
            <w:tcW w:w="8660" w:type="dxa"/>
            <w:vAlign w:val="bottom"/>
            <w:gridSpan w:val="17"/>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1.</w:t>
            </w:r>
          </w:p>
        </w:tc>
        <w:tc>
          <w:tcPr>
            <w:tcW w:w="1280" w:type="dxa"/>
            <w:vAlign w:val="bottom"/>
            <w:tcBorders>
              <w:bottom w:val="single" w:sz="8" w:color="0000EE"/>
            </w:tcBorders>
            <w:gridSpan w:val="7"/>
          </w:tcPr>
          <w:p>
            <w:pPr>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Financial Statements</w:t>
              </w:r>
            </w:hyperlink>
          </w:p>
        </w:tc>
        <w:tc>
          <w:tcPr>
            <w:tcW w:w="7880" w:type="dxa"/>
            <w:vAlign w:val="bottom"/>
            <w:gridSpan w:val="12"/>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68"/>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520" w:type="dxa"/>
            <w:vAlign w:val="bottom"/>
            <w:tcBorders>
              <w:bottom w:val="single" w:sz="8" w:color="0000EE"/>
            </w:tcBorders>
            <w:gridSpan w:val="7"/>
          </w:tcPr>
          <w:p>
            <w:pPr>
              <w:spacing w:after="0"/>
              <w:rPr>
                <w:rFonts w:ascii="Arial" w:cs="Arial" w:eastAsia="Arial" w:hAnsi="Arial"/>
                <w:sz w:val="15"/>
                <w:szCs w:val="15"/>
                <w:color w:val="0000EE"/>
                <w:w w:val="90"/>
              </w:rPr>
            </w:pPr>
            <w:hyperlink w:anchor="page4">
              <w:r>
                <w:rPr>
                  <w:rFonts w:ascii="Arial" w:cs="Arial" w:eastAsia="Arial" w:hAnsi="Arial"/>
                  <w:sz w:val="15"/>
                  <w:szCs w:val="15"/>
                  <w:color w:val="0000EE"/>
                  <w:w w:val="90"/>
                </w:rPr>
                <w:t>Condensed Consolidated Balance Sheets</w:t>
              </w:r>
            </w:hyperlink>
          </w:p>
        </w:tc>
        <w:tc>
          <w:tcPr>
            <w:tcW w:w="6100" w:type="dxa"/>
            <w:vAlign w:val="bottom"/>
            <w:gridSpan w:val="9"/>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r>
      <w:tr>
        <w:trPr>
          <w:trHeight w:val="268"/>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140" w:type="dxa"/>
            <w:vAlign w:val="bottom"/>
            <w:tcBorders>
              <w:bottom w:val="single" w:sz="8" w:color="0000EE"/>
            </w:tcBorders>
            <w:gridSpan w:val="9"/>
          </w:tcPr>
          <w:p>
            <w:pPr>
              <w:spacing w:after="0"/>
              <w:rPr>
                <w:rFonts w:ascii="Arial" w:cs="Arial" w:eastAsia="Arial" w:hAnsi="Arial"/>
                <w:sz w:val="15"/>
                <w:szCs w:val="15"/>
                <w:color w:val="0000EE"/>
                <w:w w:val="91"/>
              </w:rPr>
            </w:pPr>
            <w:hyperlink w:anchor="page5">
              <w:r>
                <w:rPr>
                  <w:rFonts w:ascii="Arial" w:cs="Arial" w:eastAsia="Arial" w:hAnsi="Arial"/>
                  <w:sz w:val="15"/>
                  <w:szCs w:val="15"/>
                  <w:color w:val="0000EE"/>
                  <w:w w:val="91"/>
                </w:rPr>
                <w:t>Condensed Consolidated Statements of Operations</w:t>
              </w:r>
            </w:hyperlink>
          </w:p>
        </w:tc>
        <w:tc>
          <w:tcPr>
            <w:tcW w:w="5480" w:type="dxa"/>
            <w:vAlign w:val="bottom"/>
            <w:gridSpan w:val="7"/>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r>
      <w:tr>
        <w:trPr>
          <w:trHeight w:val="268"/>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760" w:type="dxa"/>
            <w:vAlign w:val="bottom"/>
            <w:tcBorders>
              <w:bottom w:val="single" w:sz="8" w:color="0000EE"/>
            </w:tcBorders>
            <w:gridSpan w:val="14"/>
          </w:tcPr>
          <w:p>
            <w:pPr>
              <w:spacing w:after="0"/>
              <w:rPr>
                <w:rFonts w:ascii="Arial" w:cs="Arial" w:eastAsia="Arial" w:hAnsi="Arial"/>
                <w:sz w:val="15"/>
                <w:szCs w:val="15"/>
                <w:color w:val="0000EE"/>
                <w:w w:val="91"/>
              </w:rPr>
            </w:pPr>
            <w:hyperlink w:anchor="page6">
              <w:r>
                <w:rPr>
                  <w:rFonts w:ascii="Arial" w:cs="Arial" w:eastAsia="Arial" w:hAnsi="Arial"/>
                  <w:sz w:val="15"/>
                  <w:szCs w:val="15"/>
                  <w:color w:val="0000EE"/>
                  <w:w w:val="91"/>
                </w:rPr>
                <w:t>Condensed Consolidated Statements of Comprehensive Loss</w:t>
              </w:r>
            </w:hyperlink>
          </w:p>
        </w:tc>
        <w:tc>
          <w:tcPr>
            <w:tcW w:w="4860" w:type="dxa"/>
            <w:vAlign w:val="bottom"/>
            <w:gridSpan w:val="2"/>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r>
      <w:tr>
        <w:trPr>
          <w:trHeight w:val="268"/>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0" w:type="dxa"/>
            <w:vAlign w:val="bottom"/>
            <w:tcBorders>
              <w:bottom w:val="single" w:sz="8" w:color="0000EE"/>
            </w:tcBorders>
            <w:gridSpan w:val="12"/>
          </w:tcPr>
          <w:p>
            <w:pPr>
              <w:spacing w:after="0"/>
              <w:rPr>
                <w:rFonts w:ascii="Arial" w:cs="Arial" w:eastAsia="Arial" w:hAnsi="Arial"/>
                <w:sz w:val="15"/>
                <w:szCs w:val="15"/>
                <w:color w:val="0000EE"/>
                <w:w w:val="91"/>
              </w:rPr>
            </w:pPr>
            <w:hyperlink w:anchor="page7">
              <w:r>
                <w:rPr>
                  <w:rFonts w:ascii="Arial" w:cs="Arial" w:eastAsia="Arial" w:hAnsi="Arial"/>
                  <w:sz w:val="15"/>
                  <w:szCs w:val="15"/>
                  <w:color w:val="0000EE"/>
                  <w:w w:val="91"/>
                </w:rPr>
                <w:t>Condensed Consolidated Statements of Cash Flows</w:t>
              </w:r>
            </w:hyperlink>
          </w:p>
        </w:tc>
        <w:tc>
          <w:tcPr>
            <w:tcW w:w="5420" w:type="dxa"/>
            <w:vAlign w:val="bottom"/>
            <w:gridSpan w:val="4"/>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r>
      <w:tr>
        <w:trPr>
          <w:trHeight w:val="268"/>
        </w:trPr>
        <w:tc>
          <w:tcPr>
            <w:tcW w:w="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20" w:type="dxa"/>
            <w:vAlign w:val="bottom"/>
            <w:tcBorders>
              <w:bottom w:val="single" w:sz="8" w:color="0000EE"/>
            </w:tcBorders>
            <w:gridSpan w:val="13"/>
          </w:tcPr>
          <w:p>
            <w:pPr>
              <w:spacing w:after="0"/>
              <w:rPr>
                <w:rFonts w:ascii="Arial" w:cs="Arial" w:eastAsia="Arial" w:hAnsi="Arial"/>
                <w:sz w:val="15"/>
                <w:szCs w:val="15"/>
                <w:color w:val="0000EE"/>
                <w:w w:val="91"/>
              </w:rPr>
            </w:pPr>
            <w:hyperlink w:anchor="page8">
              <w:r>
                <w:rPr>
                  <w:rFonts w:ascii="Arial" w:cs="Arial" w:eastAsia="Arial" w:hAnsi="Arial"/>
                  <w:sz w:val="15"/>
                  <w:szCs w:val="15"/>
                  <w:color w:val="0000EE"/>
                  <w:w w:val="91"/>
                </w:rPr>
                <w:t>Notes to Condensed Consolidated Financial Statements</w:t>
              </w:r>
            </w:hyperlink>
          </w:p>
        </w:tc>
        <w:tc>
          <w:tcPr>
            <w:tcW w:w="5200" w:type="dxa"/>
            <w:vAlign w:val="bottom"/>
            <w:gridSpan w:val="3"/>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2.</w:t>
            </w:r>
          </w:p>
        </w:tc>
        <w:tc>
          <w:tcPr>
            <w:tcW w:w="9160" w:type="dxa"/>
            <w:vAlign w:val="bottom"/>
            <w:gridSpan w:val="19"/>
          </w:tcPr>
          <w:p>
            <w:pPr>
              <w:spacing w:after="0"/>
              <w:rPr>
                <w:rFonts w:ascii="Arial" w:cs="Arial" w:eastAsia="Arial" w:hAnsi="Arial"/>
                <w:sz w:val="15"/>
                <w:szCs w:val="15"/>
                <w:color w:val="0000EE"/>
              </w:rPr>
            </w:pPr>
            <w:hyperlink w:anchor="page16">
              <w:r>
                <w:rPr>
                  <w:rFonts w:ascii="Arial" w:cs="Arial" w:eastAsia="Arial" w:hAnsi="Arial"/>
                  <w:sz w:val="15"/>
                  <w:szCs w:val="15"/>
                  <w:color w:val="0000EE"/>
                </w:rPr>
                <w:t>Management’s Discussion and Analysis of Financial Condition and Results of Operations</w:t>
              </w:r>
            </w:hyperlink>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14</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3.</w:t>
            </w:r>
          </w:p>
        </w:tc>
        <w:tc>
          <w:tcPr>
            <w:tcW w:w="3720" w:type="dxa"/>
            <w:vAlign w:val="bottom"/>
            <w:tcBorders>
              <w:top w:val="single" w:sz="8" w:color="0000EE"/>
              <w:bottom w:val="single" w:sz="8" w:color="0000EE"/>
            </w:tcBorders>
            <w:gridSpan w:val="14"/>
          </w:tcPr>
          <w:p>
            <w:pPr>
              <w:spacing w:after="0"/>
              <w:rPr>
                <w:rFonts w:ascii="Arial" w:cs="Arial" w:eastAsia="Arial" w:hAnsi="Arial"/>
                <w:sz w:val="15"/>
                <w:szCs w:val="15"/>
                <w:color w:val="0000EE"/>
                <w:w w:val="94"/>
              </w:rPr>
            </w:pPr>
            <w:hyperlink w:anchor="page24">
              <w:r>
                <w:rPr>
                  <w:rFonts w:ascii="Arial" w:cs="Arial" w:eastAsia="Arial" w:hAnsi="Arial"/>
                  <w:sz w:val="15"/>
                  <w:szCs w:val="15"/>
                  <w:color w:val="0000EE"/>
                  <w:w w:val="94"/>
                </w:rPr>
                <w:t>Quantitative and Qualitative Disclosures About Market Risk</w:t>
              </w:r>
            </w:hyperlink>
          </w:p>
        </w:tc>
        <w:tc>
          <w:tcPr>
            <w:tcW w:w="1780" w:type="dxa"/>
            <w:vAlign w:val="bottom"/>
            <w:tcBorders>
              <w:top w:val="single" w:sz="8" w:color="0000EE"/>
            </w:tcBorders>
            <w:gridSpan w:val="4"/>
          </w:tcPr>
          <w:p>
            <w:pPr>
              <w:spacing w:after="0"/>
              <w:rPr>
                <w:sz w:val="23"/>
                <w:szCs w:val="23"/>
                <w:color w:val="auto"/>
              </w:rPr>
            </w:pPr>
          </w:p>
        </w:tc>
        <w:tc>
          <w:tcPr>
            <w:tcW w:w="36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22</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4.</w:t>
            </w:r>
          </w:p>
        </w:tc>
        <w:tc>
          <w:tcPr>
            <w:tcW w:w="9160" w:type="dxa"/>
            <w:vAlign w:val="bottom"/>
            <w:gridSpan w:val="19"/>
          </w:tcPr>
          <w:p>
            <w:pPr>
              <w:spacing w:after="0"/>
              <w:rPr>
                <w:rFonts w:ascii="Arial" w:cs="Arial" w:eastAsia="Arial" w:hAnsi="Arial"/>
                <w:sz w:val="15"/>
                <w:szCs w:val="15"/>
                <w:color w:val="0000EE"/>
              </w:rPr>
            </w:pPr>
            <w:hyperlink w:anchor="page25">
              <w:r>
                <w:rPr>
                  <w:rFonts w:ascii="Arial" w:cs="Arial" w:eastAsia="Arial" w:hAnsi="Arial"/>
                  <w:sz w:val="15"/>
                  <w:szCs w:val="15"/>
                  <w:color w:val="0000EE"/>
                </w:rPr>
                <w:t>Controls and Procedures</w:t>
              </w:r>
            </w:hyperlink>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23</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840" w:type="dxa"/>
            <w:vAlign w:val="bottom"/>
          </w:tcPr>
          <w:p>
            <w:pPr>
              <w:spacing w:after="0"/>
              <w:rPr>
                <w:sz w:val="20"/>
                <w:szCs w:val="20"/>
                <w:color w:val="auto"/>
              </w:rPr>
            </w:pPr>
            <w:r>
              <w:rPr>
                <w:rFonts w:ascii="Arial" w:cs="Arial" w:eastAsia="Arial" w:hAnsi="Arial"/>
                <w:sz w:val="15"/>
                <w:szCs w:val="15"/>
                <w:b w:val="1"/>
                <w:bCs w:val="1"/>
                <w:color w:val="auto"/>
              </w:rPr>
              <w:t>Part II –</w:t>
            </w:r>
          </w:p>
        </w:tc>
        <w:tc>
          <w:tcPr>
            <w:tcW w:w="10120" w:type="dxa"/>
            <w:vAlign w:val="bottom"/>
            <w:gridSpan w:val="21"/>
          </w:tcPr>
          <w:p>
            <w:pPr>
              <w:spacing w:after="0"/>
              <w:rPr>
                <w:rFonts w:ascii="Arial" w:cs="Arial" w:eastAsia="Arial" w:hAnsi="Arial"/>
                <w:sz w:val="15"/>
                <w:szCs w:val="15"/>
                <w:b w:val="1"/>
                <w:bCs w:val="1"/>
                <w:color w:val="0000EE"/>
              </w:rPr>
            </w:pPr>
            <w:hyperlink w:anchor="page26">
              <w:r>
                <w:rPr>
                  <w:rFonts w:ascii="Arial" w:cs="Arial" w:eastAsia="Arial" w:hAnsi="Arial"/>
                  <w:sz w:val="15"/>
                  <w:szCs w:val="15"/>
                  <w:b w:val="1"/>
                  <w:bCs w:val="1"/>
                  <w:color w:val="0000EE"/>
                </w:rPr>
                <w:t>Other Information</w:t>
              </w:r>
            </w:hyperlink>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
        </w:trPr>
        <w:tc>
          <w:tcPr>
            <w:tcW w:w="8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1.</w:t>
            </w:r>
          </w:p>
        </w:tc>
        <w:tc>
          <w:tcPr>
            <w:tcW w:w="1140" w:type="dxa"/>
            <w:vAlign w:val="bottom"/>
            <w:tcBorders>
              <w:bottom w:val="single" w:sz="8" w:color="0000EE"/>
            </w:tcBorders>
            <w:gridSpan w:val="6"/>
          </w:tcPr>
          <w:p>
            <w:pPr>
              <w:spacing w:after="0"/>
              <w:rPr>
                <w:rFonts w:ascii="Arial" w:cs="Arial" w:eastAsia="Arial" w:hAnsi="Arial"/>
                <w:sz w:val="15"/>
                <w:szCs w:val="15"/>
                <w:color w:val="0000EE"/>
                <w:w w:val="90"/>
              </w:rPr>
            </w:pPr>
            <w:hyperlink w:anchor="page26">
              <w:r>
                <w:rPr>
                  <w:rFonts w:ascii="Arial" w:cs="Arial" w:eastAsia="Arial" w:hAnsi="Arial"/>
                  <w:sz w:val="15"/>
                  <w:szCs w:val="15"/>
                  <w:color w:val="0000EE"/>
                  <w:w w:val="90"/>
                </w:rPr>
                <w:t>Legal Proceedings</w:t>
              </w:r>
            </w:hyperlink>
          </w:p>
        </w:tc>
        <w:tc>
          <w:tcPr>
            <w:tcW w:w="8020" w:type="dxa"/>
            <w:vAlign w:val="bottom"/>
            <w:gridSpan w:val="13"/>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1A.</w:t>
            </w:r>
          </w:p>
        </w:tc>
        <w:tc>
          <w:tcPr>
            <w:tcW w:w="9160" w:type="dxa"/>
            <w:vAlign w:val="bottom"/>
            <w:gridSpan w:val="19"/>
          </w:tcPr>
          <w:p>
            <w:pPr>
              <w:spacing w:after="0"/>
              <w:rPr>
                <w:rFonts w:ascii="Arial" w:cs="Arial" w:eastAsia="Arial" w:hAnsi="Arial"/>
                <w:sz w:val="15"/>
                <w:szCs w:val="15"/>
                <w:color w:val="0000EE"/>
              </w:rPr>
            </w:pPr>
            <w:hyperlink w:anchor="page26">
              <w:r>
                <w:rPr>
                  <w:rFonts w:ascii="Arial" w:cs="Arial" w:eastAsia="Arial" w:hAnsi="Arial"/>
                  <w:sz w:val="15"/>
                  <w:szCs w:val="15"/>
                  <w:color w:val="0000EE"/>
                </w:rPr>
                <w:t>Risk Factors</w:t>
              </w:r>
            </w:hyperlink>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24</w:t>
            </w:r>
          </w:p>
        </w:tc>
      </w:tr>
      <w:tr>
        <w:trPr>
          <w:trHeight w:val="20"/>
        </w:trPr>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2.</w:t>
            </w:r>
          </w:p>
        </w:tc>
        <w:tc>
          <w:tcPr>
            <w:tcW w:w="9160" w:type="dxa"/>
            <w:vAlign w:val="bottom"/>
            <w:gridSpan w:val="19"/>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Unregistered Sales of Equity Securities and Use of Proceeds</w:t>
              </w:r>
            </w:hyperlink>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3.</w:t>
            </w:r>
          </w:p>
        </w:tc>
        <w:tc>
          <w:tcPr>
            <w:tcW w:w="1980" w:type="dxa"/>
            <w:vAlign w:val="bottom"/>
            <w:tcBorders>
              <w:top w:val="single" w:sz="8" w:color="0000EE"/>
              <w:bottom w:val="single" w:sz="8" w:color="0000EE"/>
            </w:tcBorders>
            <w:gridSpan w:val="9"/>
          </w:tcPr>
          <w:p>
            <w:pPr>
              <w:spacing w:after="0"/>
              <w:rPr>
                <w:rFonts w:ascii="Arial" w:cs="Arial" w:eastAsia="Arial" w:hAnsi="Arial"/>
                <w:sz w:val="15"/>
                <w:szCs w:val="15"/>
                <w:color w:val="0000EE"/>
                <w:w w:val="92"/>
              </w:rPr>
            </w:pPr>
            <w:hyperlink w:anchor="page59">
              <w:r>
                <w:rPr>
                  <w:rFonts w:ascii="Arial" w:cs="Arial" w:eastAsia="Arial" w:hAnsi="Arial"/>
                  <w:sz w:val="15"/>
                  <w:szCs w:val="15"/>
                  <w:color w:val="0000EE"/>
                  <w:w w:val="92"/>
                </w:rPr>
                <w:t>Defaults Upon Senior Securities</w:t>
              </w:r>
            </w:hyperlink>
          </w:p>
        </w:tc>
        <w:tc>
          <w:tcPr>
            <w:tcW w:w="1720" w:type="dxa"/>
            <w:vAlign w:val="bottom"/>
            <w:tcBorders>
              <w:top w:val="single" w:sz="8" w:color="0000EE"/>
            </w:tcBorders>
            <w:gridSpan w:val="4"/>
          </w:tcPr>
          <w:p>
            <w:pPr>
              <w:spacing w:after="0"/>
              <w:rPr>
                <w:sz w:val="23"/>
                <w:szCs w:val="23"/>
                <w:color w:val="auto"/>
              </w:rPr>
            </w:pPr>
          </w:p>
        </w:tc>
        <w:tc>
          <w:tcPr>
            <w:tcW w:w="5460" w:type="dxa"/>
            <w:vAlign w:val="bottom"/>
            <w:gridSpan w:val="6"/>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4.</w:t>
            </w:r>
          </w:p>
        </w:tc>
        <w:tc>
          <w:tcPr>
            <w:tcW w:w="9160" w:type="dxa"/>
            <w:vAlign w:val="bottom"/>
            <w:gridSpan w:val="19"/>
          </w:tcPr>
          <w:p>
            <w:pPr>
              <w:spacing w:after="0"/>
              <w:rPr>
                <w:rFonts w:ascii="Arial" w:cs="Arial" w:eastAsia="Arial" w:hAnsi="Arial"/>
                <w:sz w:val="15"/>
                <w:szCs w:val="15"/>
                <w:color w:val="0000EE"/>
              </w:rPr>
            </w:pPr>
            <w:hyperlink w:anchor="page59">
              <w:r>
                <w:rPr>
                  <w:rFonts w:ascii="Arial" w:cs="Arial" w:eastAsia="Arial" w:hAnsi="Arial"/>
                  <w:sz w:val="15"/>
                  <w:szCs w:val="15"/>
                  <w:color w:val="0000EE"/>
                </w:rPr>
                <w:t>Mine Safety Disclosures</w:t>
              </w:r>
            </w:hyperlink>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5.</w:t>
            </w:r>
          </w:p>
        </w:tc>
        <w:tc>
          <w:tcPr>
            <w:tcW w:w="112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94"/>
              </w:rPr>
            </w:pPr>
            <w:hyperlink w:anchor="page59">
              <w:r>
                <w:rPr>
                  <w:rFonts w:ascii="Arial" w:cs="Arial" w:eastAsia="Arial" w:hAnsi="Arial"/>
                  <w:sz w:val="15"/>
                  <w:szCs w:val="15"/>
                  <w:color w:val="0000EE"/>
                  <w:w w:val="94"/>
                </w:rPr>
                <w:t>Other Information</w:t>
              </w:r>
            </w:hyperlink>
          </w:p>
        </w:tc>
        <w:tc>
          <w:tcPr>
            <w:tcW w:w="380" w:type="dxa"/>
            <w:vAlign w:val="bottom"/>
            <w:tcBorders>
              <w:top w:val="single" w:sz="8" w:color="0000EE"/>
            </w:tcBorders>
            <w:gridSpan w:val="3"/>
          </w:tcPr>
          <w:p>
            <w:pPr>
              <w:spacing w:after="0"/>
              <w:rPr>
                <w:sz w:val="23"/>
                <w:szCs w:val="23"/>
                <w:color w:val="auto"/>
              </w:rPr>
            </w:pPr>
          </w:p>
        </w:tc>
        <w:tc>
          <w:tcPr>
            <w:tcW w:w="7660" w:type="dxa"/>
            <w:vAlign w:val="bottom"/>
            <w:gridSpan w:val="11"/>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57</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sz w:val="20"/>
                <w:szCs w:val="20"/>
                <w:color w:val="auto"/>
              </w:rPr>
            </w:pPr>
            <w:r>
              <w:rPr>
                <w:rFonts w:ascii="Arial" w:cs="Arial" w:eastAsia="Arial" w:hAnsi="Arial"/>
                <w:sz w:val="15"/>
                <w:szCs w:val="15"/>
                <w:color w:val="auto"/>
              </w:rPr>
              <w:t>Item 6.</w:t>
            </w:r>
          </w:p>
        </w:tc>
        <w:tc>
          <w:tcPr>
            <w:tcW w:w="9160" w:type="dxa"/>
            <w:vAlign w:val="bottom"/>
            <w:gridSpan w:val="19"/>
          </w:tcPr>
          <w:p>
            <w:pPr>
              <w:spacing w:after="0"/>
              <w:rPr>
                <w:rFonts w:ascii="Arial" w:cs="Arial" w:eastAsia="Arial" w:hAnsi="Arial"/>
                <w:sz w:val="15"/>
                <w:szCs w:val="15"/>
                <w:color w:val="0000EE"/>
              </w:rPr>
            </w:pPr>
            <w:hyperlink w:anchor="page60">
              <w:r>
                <w:rPr>
                  <w:rFonts w:ascii="Arial" w:cs="Arial" w:eastAsia="Arial" w:hAnsi="Arial"/>
                  <w:sz w:val="15"/>
                  <w:szCs w:val="15"/>
                  <w:color w:val="0000EE"/>
                </w:rPr>
                <w:t>Exhibits</w:t>
              </w:r>
            </w:hyperlink>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58</w:t>
            </w:r>
          </w:p>
        </w:tc>
      </w:tr>
      <w:tr>
        <w:trPr>
          <w:trHeight w:val="268"/>
        </w:trPr>
        <w:tc>
          <w:tcPr>
            <w:tcW w:w="840" w:type="dxa"/>
            <w:vAlign w:val="bottom"/>
          </w:tcPr>
          <w:p>
            <w:pPr>
              <w:spacing w:after="0"/>
              <w:rPr>
                <w:sz w:val="23"/>
                <w:szCs w:val="23"/>
                <w:color w:val="auto"/>
              </w:rPr>
            </w:pPr>
          </w:p>
        </w:tc>
        <w:tc>
          <w:tcPr>
            <w:tcW w:w="960" w:type="dxa"/>
            <w:vAlign w:val="bottom"/>
            <w:gridSpan w:val="2"/>
          </w:tcPr>
          <w:p>
            <w:pPr>
              <w:spacing w:after="0"/>
              <w:rPr>
                <w:rFonts w:ascii="Arial" w:cs="Arial" w:eastAsia="Arial" w:hAnsi="Arial"/>
                <w:sz w:val="15"/>
                <w:szCs w:val="15"/>
                <w:color w:val="0000EE"/>
              </w:rPr>
            </w:pPr>
            <w:hyperlink w:anchor="page61">
              <w:r>
                <w:rPr>
                  <w:rFonts w:ascii="Arial" w:cs="Arial" w:eastAsia="Arial" w:hAnsi="Arial"/>
                  <w:sz w:val="15"/>
                  <w:szCs w:val="15"/>
                  <w:color w:val="0000EE"/>
                </w:rPr>
                <w:t>Signatures</w:t>
              </w:r>
            </w:hyperlink>
          </w:p>
        </w:tc>
        <w:tc>
          <w:tcPr>
            <w:tcW w:w="2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59</w:t>
            </w:r>
          </w:p>
        </w:tc>
      </w:tr>
      <w:tr>
        <w:trPr>
          <w:trHeight w:val="1056"/>
        </w:trPr>
        <w:tc>
          <w:tcPr>
            <w:tcW w:w="8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55" w:lineRule="exact"/>
        <w:rPr>
          <w:sz w:val="20"/>
          <w:szCs w:val="20"/>
          <w:color w:val="auto"/>
        </w:rPr>
      </w:pPr>
    </w:p>
    <w:p>
      <w:pPr>
        <w:ind w:right="40" w:firstLine="520"/>
        <w:spacing w:after="0" w:line="264" w:lineRule="auto"/>
        <w:rPr>
          <w:sz w:val="20"/>
          <w:szCs w:val="20"/>
          <w:color w:val="auto"/>
        </w:rPr>
      </w:pPr>
      <w:r>
        <w:rPr>
          <w:rFonts w:ascii="Arial" w:cs="Arial" w:eastAsia="Arial" w:hAnsi="Arial"/>
          <w:sz w:val="15"/>
          <w:szCs w:val="15"/>
          <w:color w:val="auto"/>
        </w:rPr>
        <w:t>This Quarterly Report on Form 10-Q (the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w:t>
      </w:r>
    </w:p>
    <w:p>
      <w:pPr>
        <w:spacing w:after="0" w:line="32" w:lineRule="exact"/>
        <w:rPr>
          <w:sz w:val="20"/>
          <w:szCs w:val="20"/>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commercialization, marketing, and manufacturing capabilities and strategy;</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the timing of clinical study commencements and reporting results from same;</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timing and likelihood of regulatory approvals for our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anticipated indications for our product candidates, if approved;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market opportunities for commercializing our products and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the potential market size and the size of the patient populations for our products and product candidates, if approved for commercial use;</w:t>
      </w:r>
    </w:p>
    <w:p>
      <w:pPr>
        <w:spacing w:after="0" w:line="81" w:lineRule="exact"/>
        <w:rPr>
          <w:rFonts w:ascii="Arial" w:cs="Arial" w:eastAsia="Arial" w:hAnsi="Arial"/>
          <w:sz w:val="14"/>
          <w:szCs w:val="14"/>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estimates of our expenses, revenue, capital requirements, and our needs for additional financing;</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develop, acquire, and advance product candidates into, and successfully complete, clinical studies;</w:t>
      </w:r>
    </w:p>
    <w:p>
      <w:pPr>
        <w:spacing w:after="0" w:line="69" w:lineRule="exact"/>
        <w:rPr>
          <w:rFonts w:ascii="Arial" w:cs="Arial" w:eastAsia="Arial" w:hAnsi="Arial"/>
          <w:sz w:val="15"/>
          <w:szCs w:val="15"/>
          <w:color w:val="auto"/>
        </w:rPr>
      </w:pPr>
    </w:p>
    <w:p>
      <w:pPr>
        <w:ind w:left="900" w:right="20" w:hanging="389"/>
        <w:spacing w:after="0" w:line="288"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implementation of our business model and strategic plans for our business, products and product candidates and the integration and performance of any businesses we have acquired or may acquire;</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initiation, timing, progress, and results of ongoing and future preclinical and clinical studies, and our research and development programs;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scope of protection we are able to establish and maintain for intellectual property rights covering our products and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and establish collaborations or strategic relationships or obtain additional funding;</w:t>
      </w:r>
    </w:p>
    <w:p>
      <w:pPr>
        <w:spacing w:after="0" w:line="69" w:lineRule="exact"/>
        <w:rPr>
          <w:rFonts w:ascii="Arial" w:cs="Arial" w:eastAsia="Arial" w:hAnsi="Arial"/>
          <w:sz w:val="15"/>
          <w:szCs w:val="15"/>
          <w:color w:val="auto"/>
        </w:rPr>
      </w:pPr>
    </w:p>
    <w:p>
      <w:pPr>
        <w:ind w:left="900" w:right="580" w:hanging="389"/>
        <w:spacing w:after="0" w:line="288"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and establish relationships with third parties, such as contract research organizations, contract manufacturing organizations, suppliers, and distributors;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financial performance and the expansion of our organization;</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obtain supply of our products and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scalability and commercial viability of our manufacturing methods and processes;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developments and projections relating to our competitors and our industry; and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risks and uncertainties, including those listed under Part II, Item 1A. Risk Factors.</w:t>
      </w:r>
    </w:p>
    <w:p>
      <w:pPr>
        <w:spacing w:after="0" w:line="70" w:lineRule="exact"/>
        <w:rPr>
          <w:sz w:val="20"/>
          <w:szCs w:val="20"/>
          <w:color w:val="auto"/>
        </w:rPr>
      </w:pPr>
    </w:p>
    <w:p>
      <w:pPr>
        <w:ind w:firstLine="520"/>
        <w:spacing w:after="0" w:line="263" w:lineRule="auto"/>
        <w:rPr>
          <w:sz w:val="20"/>
          <w:szCs w:val="20"/>
          <w:color w:val="auto"/>
        </w:rPr>
      </w:pPr>
      <w:r>
        <w:rPr>
          <w:rFonts w:ascii="Arial" w:cs="Arial" w:eastAsia="Arial" w:hAnsi="Arial"/>
          <w:sz w:val="15"/>
          <w:szCs w:val="15"/>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II, Item 1A. Risk Factors and discussed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43" w:lineRule="exact"/>
        <w:rPr>
          <w:sz w:val="20"/>
          <w:szCs w:val="20"/>
          <w:color w:val="auto"/>
        </w:rPr>
      </w:pPr>
    </w:p>
    <w:p>
      <w:pPr>
        <w:ind w:right="140" w:firstLine="520"/>
        <w:spacing w:after="0" w:line="287" w:lineRule="auto"/>
        <w:rPr>
          <w:sz w:val="20"/>
          <w:szCs w:val="20"/>
          <w:color w:val="auto"/>
        </w:rPr>
      </w:pPr>
      <w:r>
        <w:rPr>
          <w:rFonts w:ascii="Arial" w:cs="Arial" w:eastAsia="Arial" w:hAnsi="Arial"/>
          <w:sz w:val="14"/>
          <w:szCs w:val="14"/>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spacing w:after="0"/>
        <w:rPr>
          <w:sz w:val="20"/>
          <w:szCs w:val="20"/>
          <w:color w:val="auto"/>
        </w:rPr>
      </w:pPr>
      <w:r>
        <w:rPr>
          <w:rFonts w:ascii="Arial" w:cs="Arial" w:eastAsia="Arial" w:hAnsi="Arial"/>
          <w:sz w:val="15"/>
          <w:szCs w:val="15"/>
          <w:b w:val="1"/>
          <w:bCs w:val="1"/>
          <w:color w:val="auto"/>
        </w:rPr>
        <w:t>PART I. FINANCIAL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June 30,</w:t>
            </w:r>
          </w:p>
        </w:tc>
        <w:tc>
          <w:tcPr>
            <w:tcW w:w="20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110,854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ind w:left="180"/>
              <w:spacing w:after="0"/>
              <w:rPr>
                <w:sz w:val="20"/>
                <w:szCs w:val="20"/>
                <w:color w:val="auto"/>
              </w:rPr>
            </w:pPr>
            <w:r>
              <w:rPr>
                <w:rFonts w:ascii="Arial" w:cs="Arial" w:eastAsia="Arial" w:hAnsi="Arial"/>
                <w:sz w:val="15"/>
                <w:szCs w:val="15"/>
                <w:color w:val="auto"/>
              </w:rPr>
              <w:t>Short-term investments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436,278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134,005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Accounts receivable</w:t>
            </w:r>
          </w:p>
        </w:tc>
        <w:tc>
          <w:tcPr>
            <w:tcW w:w="1300" w:type="dxa"/>
            <w:vAlign w:val="bottom"/>
            <w:shd w:val="clear" w:color="auto" w:fill="CCEE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17,425</w:t>
            </w: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5,172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ind w:left="180"/>
              <w:spacing w:after="0"/>
              <w:rPr>
                <w:sz w:val="20"/>
                <w:szCs w:val="20"/>
                <w:color w:val="auto"/>
              </w:rPr>
            </w:pPr>
            <w:r>
              <w:rPr>
                <w:rFonts w:ascii="Arial" w:cs="Arial" w:eastAsia="Arial" w:hAnsi="Arial"/>
                <w:sz w:val="15"/>
                <w:szCs w:val="15"/>
                <w:color w:val="auto"/>
              </w:rPr>
              <w:t>Inventory</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3,342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130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36,844</w:t>
            </w:r>
          </w:p>
        </w:tc>
        <w:tc>
          <w:tcPr>
            <w:tcW w:w="26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29,161</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Pr>
          <w:p>
            <w:pPr>
              <w:ind w:left="400"/>
              <w:spacing w:after="0"/>
              <w:rPr>
                <w:sz w:val="20"/>
                <w:szCs w:val="20"/>
                <w:color w:val="auto"/>
              </w:rPr>
            </w:pPr>
            <w:r>
              <w:rPr>
                <w:rFonts w:ascii="Arial" w:cs="Arial" w:eastAsia="Arial" w:hAnsi="Arial"/>
                <w:sz w:val="15"/>
                <w:szCs w:val="15"/>
                <w:color w:val="auto"/>
              </w:rPr>
              <w:t>Total current assets</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604,743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269,583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spacing w:after="0"/>
              <w:rPr>
                <w:sz w:val="20"/>
                <w:szCs w:val="20"/>
                <w:color w:val="auto"/>
              </w:rPr>
            </w:pPr>
            <w:r>
              <w:rPr>
                <w:rFonts w:ascii="Arial" w:cs="Arial" w:eastAsia="Arial" w:hAnsi="Arial"/>
                <w:sz w:val="15"/>
                <w:szCs w:val="15"/>
                <w:color w:val="auto"/>
              </w:rPr>
              <w:t>Property and equipment, net</w:t>
            </w:r>
          </w:p>
        </w:tc>
        <w:tc>
          <w:tcPr>
            <w:tcW w:w="13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20,858</w:t>
            </w: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21,837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spacing w:after="0"/>
              <w:rPr>
                <w:sz w:val="20"/>
                <w:szCs w:val="20"/>
                <w:color w:val="auto"/>
              </w:rPr>
            </w:pPr>
            <w:r>
              <w:rPr>
                <w:rFonts w:ascii="Arial" w:cs="Arial" w:eastAsia="Arial" w:hAnsi="Arial"/>
                <w:sz w:val="15"/>
                <w:szCs w:val="15"/>
                <w:color w:val="auto"/>
              </w:rPr>
              <w:t>Long-term investments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9,975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spacing w:after="0"/>
              <w:rPr>
                <w:sz w:val="20"/>
                <w:szCs w:val="20"/>
                <w:color w:val="auto"/>
              </w:rPr>
            </w:pPr>
            <w:r>
              <w:rPr>
                <w:rFonts w:ascii="Arial" w:cs="Arial" w:eastAsia="Arial" w:hAnsi="Arial"/>
                <w:sz w:val="15"/>
                <w:szCs w:val="15"/>
                <w:color w:val="auto"/>
              </w:rPr>
              <w:t>Intangible assets, net</w:t>
            </w:r>
          </w:p>
        </w:tc>
        <w:tc>
          <w:tcPr>
            <w:tcW w:w="13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132,776</w:t>
            </w: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141,545</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spacing w:after="0"/>
              <w:rPr>
                <w:sz w:val="20"/>
                <w:szCs w:val="20"/>
                <w:color w:val="auto"/>
              </w:rPr>
            </w:pPr>
            <w:r>
              <w:rPr>
                <w:rFonts w:ascii="Arial" w:cs="Arial" w:eastAsia="Arial" w:hAnsi="Arial"/>
                <w:sz w:val="15"/>
                <w:szCs w:val="15"/>
                <w:color w:val="auto"/>
              </w:rPr>
              <w:t>Goodwill</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44,406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44,406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spacing w:after="0"/>
              <w:rPr>
                <w:sz w:val="20"/>
                <w:szCs w:val="20"/>
                <w:color w:val="auto"/>
              </w:rPr>
            </w:pPr>
            <w:r>
              <w:rPr>
                <w:rFonts w:ascii="Arial" w:cs="Arial" w:eastAsia="Arial" w:hAnsi="Arial"/>
                <w:sz w:val="15"/>
                <w:szCs w:val="15"/>
                <w:color w:val="auto"/>
              </w:rPr>
              <w:t>Other assets</w:t>
            </w:r>
          </w:p>
        </w:tc>
        <w:tc>
          <w:tcPr>
            <w:tcW w:w="130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3,239</w:t>
            </w:r>
          </w:p>
        </w:tc>
        <w:tc>
          <w:tcPr>
            <w:tcW w:w="26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3,407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16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806,022</w:t>
            </w:r>
          </w:p>
        </w:tc>
        <w:tc>
          <w:tcPr>
            <w:tcW w:w="26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490,753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7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140" w:type="dxa"/>
            <w:vAlign w:val="bottom"/>
            <w:shd w:val="clear" w:color="auto" w:fill="CCECFF"/>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13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ind w:left="180"/>
              <w:spacing w:after="0"/>
              <w:rPr>
                <w:sz w:val="20"/>
                <w:szCs w:val="20"/>
                <w:color w:val="auto"/>
              </w:rPr>
            </w:pPr>
            <w:r>
              <w:rPr>
                <w:rFonts w:ascii="Arial" w:cs="Arial" w:eastAsia="Arial" w:hAnsi="Arial"/>
                <w:sz w:val="15"/>
                <w:szCs w:val="15"/>
                <w:color w:val="auto"/>
              </w:rPr>
              <w:t>Accounts payable</w:t>
            </w:r>
          </w:p>
        </w:tc>
        <w:tc>
          <w:tcPr>
            <w:tcW w:w="1540" w:type="dxa"/>
            <w:vAlign w:val="bottom"/>
            <w:gridSpan w:val="2"/>
            <w:shd w:val="clear" w:color="auto" w:fill="CCECFF"/>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10,314</w:t>
            </w: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8,886</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Borders>
              <w:bottom w:val="single" w:sz="8" w:color="CCECFF"/>
            </w:tcBorders>
          </w:tcPr>
          <w:p>
            <w:pPr>
              <w:ind w:left="180"/>
              <w:spacing w:after="0"/>
              <w:rPr>
                <w:sz w:val="20"/>
                <w:szCs w:val="20"/>
                <w:color w:val="auto"/>
              </w:rPr>
            </w:pPr>
            <w:r>
              <w:rPr>
                <w:rFonts w:ascii="Arial" w:cs="Arial" w:eastAsia="Arial" w:hAnsi="Arial"/>
                <w:sz w:val="15"/>
                <w:szCs w:val="15"/>
                <w:color w:val="auto"/>
              </w:rPr>
              <w:t>Accrued liabilities</w:t>
            </w:r>
          </w:p>
        </w:tc>
        <w:tc>
          <w:tcPr>
            <w:tcW w:w="130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55,735</w:t>
            </w:r>
          </w:p>
        </w:tc>
        <w:tc>
          <w:tcPr>
            <w:tcW w:w="26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62,128</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shd w:val="clear" w:color="auto" w:fill="CCECFF"/>
          </w:tcPr>
          <w:p>
            <w:pPr>
              <w:ind w:left="400"/>
              <w:spacing w:after="0"/>
              <w:rPr>
                <w:sz w:val="20"/>
                <w:szCs w:val="20"/>
                <w:color w:val="auto"/>
              </w:rPr>
            </w:pPr>
            <w:r>
              <w:rPr>
                <w:rFonts w:ascii="Arial" w:cs="Arial" w:eastAsia="Arial" w:hAnsi="Arial"/>
                <w:sz w:val="15"/>
                <w:szCs w:val="15"/>
                <w:color w:val="auto"/>
              </w:rPr>
              <w:t>Total current liabilities</w:t>
            </w:r>
          </w:p>
        </w:tc>
        <w:tc>
          <w:tcPr>
            <w:tcW w:w="13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66,049</w:t>
            </w:r>
          </w:p>
        </w:tc>
        <w:tc>
          <w:tcPr>
            <w:tcW w:w="2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71,014</w:t>
            </w: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60" w:type="dxa"/>
            <w:vAlign w:val="bottom"/>
            <w:gridSpan w:val="2"/>
          </w:tcPr>
          <w:p>
            <w:pPr>
              <w:spacing w:after="0"/>
              <w:rPr>
                <w:sz w:val="20"/>
                <w:szCs w:val="20"/>
                <w:color w:val="auto"/>
              </w:rPr>
            </w:pPr>
            <w:r>
              <w:rPr>
                <w:rFonts w:ascii="Arial" w:cs="Arial" w:eastAsia="Arial" w:hAnsi="Arial"/>
                <w:sz w:val="15"/>
                <w:szCs w:val="15"/>
                <w:color w:val="auto"/>
              </w:rPr>
              <w:t>Deferred tax liabilities</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31,166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31,166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spacing w:after="0"/>
              <w:rPr>
                <w:sz w:val="20"/>
                <w:szCs w:val="20"/>
                <w:color w:val="auto"/>
              </w:rPr>
            </w:pPr>
            <w:r>
              <w:rPr>
                <w:rFonts w:ascii="Arial" w:cs="Arial" w:eastAsia="Arial" w:hAnsi="Arial"/>
                <w:sz w:val="15"/>
                <w:szCs w:val="15"/>
                <w:color w:val="auto"/>
              </w:rPr>
              <w:t>Other liabilities</w:t>
            </w:r>
          </w:p>
        </w:tc>
        <w:tc>
          <w:tcPr>
            <w:tcW w:w="130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4,836</w:t>
            </w:r>
          </w:p>
        </w:tc>
        <w:tc>
          <w:tcPr>
            <w:tcW w:w="26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5,119</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160" w:type="dxa"/>
            <w:vAlign w:val="bottom"/>
            <w:gridSpan w:val="2"/>
          </w:tcPr>
          <w:p>
            <w:pPr>
              <w:spacing w:after="0"/>
              <w:rPr>
                <w:sz w:val="20"/>
                <w:szCs w:val="20"/>
                <w:color w:val="auto"/>
              </w:rPr>
            </w:pPr>
            <w:r>
              <w:rPr>
                <w:rFonts w:ascii="Arial" w:cs="Arial" w:eastAsia="Arial" w:hAnsi="Arial"/>
                <w:sz w:val="15"/>
                <w:szCs w:val="15"/>
                <w:color w:val="auto"/>
              </w:rPr>
              <w:t>Total liabilities</w:t>
            </w: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102,051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107,299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5"/>
                <w:szCs w:val="15"/>
                <w:color w:val="auto"/>
              </w:rPr>
              <w:t>Stockholders’ equity:</w:t>
            </w:r>
          </w:p>
        </w:tc>
        <w:tc>
          <w:tcPr>
            <w:tcW w:w="1300" w:type="dxa"/>
            <w:vAlign w:val="bottom"/>
            <w:tcBorders>
              <w:top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1060" w:type="dxa"/>
            <w:vAlign w:val="bottom"/>
            <w:tcBorders>
              <w:top w:val="single" w:sz="8" w:color="auto"/>
            </w:tcBorders>
            <w:shd w:val="clear" w:color="auto" w:fill="CCECFF"/>
          </w:tcPr>
          <w:p>
            <w:pPr>
              <w:spacing w:after="0"/>
              <w:rPr>
                <w:sz w:val="16"/>
                <w:szCs w:val="16"/>
                <w:color w:val="auto"/>
              </w:rPr>
            </w:pPr>
          </w:p>
        </w:tc>
        <w:tc>
          <w:tcPr>
            <w:tcW w:w="26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1120" w:type="dxa"/>
            <w:vAlign w:val="bottom"/>
            <w:tcBorders>
              <w:top w:val="single" w:sz="8" w:color="auto"/>
            </w:tcBorders>
            <w:shd w:val="clear" w:color="auto" w:fill="CCECFF"/>
          </w:tcPr>
          <w:p>
            <w:pPr>
              <w:spacing w:after="0"/>
              <w:rPr>
                <w:sz w:val="16"/>
                <w:szCs w:val="16"/>
                <w:color w:val="auto"/>
              </w:rPr>
            </w:pPr>
          </w:p>
        </w:tc>
        <w:tc>
          <w:tcPr>
            <w:tcW w:w="10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ind w:left="180"/>
              <w:spacing w:after="0"/>
              <w:rPr>
                <w:sz w:val="20"/>
                <w:szCs w:val="20"/>
                <w:color w:val="auto"/>
              </w:rPr>
            </w:pPr>
            <w:r>
              <w:rPr>
                <w:rFonts w:ascii="Arial" w:cs="Arial" w:eastAsia="Arial" w:hAnsi="Arial"/>
                <w:sz w:val="15"/>
                <w:szCs w:val="15"/>
                <w:color w:val="auto"/>
              </w:rPr>
              <w:t>Preferred stock — 25,000,000 shares authorized; nil outstanding as of June 30, 2018 and</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ind w:left="300"/>
              <w:spacing w:after="0"/>
              <w:rPr>
                <w:sz w:val="20"/>
                <w:szCs w:val="20"/>
                <w:color w:val="auto"/>
              </w:rPr>
            </w:pPr>
            <w:r>
              <w:rPr>
                <w:rFonts w:ascii="Arial" w:cs="Arial" w:eastAsia="Arial" w:hAnsi="Arial"/>
                <w:sz w:val="15"/>
                <w:szCs w:val="15"/>
                <w:color w:val="auto"/>
              </w:rPr>
              <w:t>December 31, 2017</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ind w:left="180"/>
              <w:spacing w:after="0"/>
              <w:rPr>
                <w:sz w:val="20"/>
                <w:szCs w:val="20"/>
                <w:color w:val="auto"/>
              </w:rPr>
            </w:pPr>
            <w:r>
              <w:rPr>
                <w:rFonts w:ascii="Arial" w:cs="Arial" w:eastAsia="Arial" w:hAnsi="Arial"/>
                <w:sz w:val="15"/>
                <w:szCs w:val="15"/>
                <w:color w:val="auto"/>
              </w:rPr>
              <w:t>Common stock — 250,000,000 shares authorized; 50,116,056 and 44,167,071 shares issued</w:t>
            </w:r>
          </w:p>
        </w:tc>
        <w:tc>
          <w:tcPr>
            <w:tcW w:w="13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ind w:left="300"/>
              <w:spacing w:after="0"/>
              <w:rPr>
                <w:sz w:val="20"/>
                <w:szCs w:val="20"/>
                <w:color w:val="auto"/>
              </w:rPr>
            </w:pPr>
            <w:r>
              <w:rPr>
                <w:rFonts w:ascii="Arial" w:cs="Arial" w:eastAsia="Arial" w:hAnsi="Arial"/>
                <w:sz w:val="15"/>
                <w:szCs w:val="15"/>
                <w:color w:val="auto"/>
              </w:rPr>
              <w:t>and outstanding as of June 30, 2018 and December 31, 2017, respectively</w:t>
            </w:r>
          </w:p>
        </w:tc>
        <w:tc>
          <w:tcPr>
            <w:tcW w:w="13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50</w:t>
            </w: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44</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1,559,722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1,221,762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C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13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320" w:type="dxa"/>
            <w:vAlign w:val="bottom"/>
            <w:gridSpan w:val="2"/>
            <w:shd w:val="clear" w:color="auto" w:fill="CCECFF"/>
          </w:tcPr>
          <w:p>
            <w:pPr>
              <w:jc w:val="right"/>
              <w:ind w:right="220"/>
              <w:spacing w:after="0"/>
              <w:rPr>
                <w:sz w:val="20"/>
                <w:szCs w:val="20"/>
                <w:color w:val="auto"/>
              </w:rPr>
            </w:pPr>
            <w:r>
              <w:rPr>
                <w:rFonts w:ascii="Arial" w:cs="Arial" w:eastAsia="Arial" w:hAnsi="Arial"/>
                <w:sz w:val="15"/>
                <w:szCs w:val="15"/>
                <w:color w:val="auto"/>
              </w:rPr>
              <w:t>(654)</w:t>
            </w:r>
          </w:p>
        </w:tc>
        <w:tc>
          <w:tcPr>
            <w:tcW w:w="200" w:type="dxa"/>
            <w:vAlign w:val="bottom"/>
            <w:shd w:val="clear" w:color="auto" w:fill="CCECFF"/>
          </w:tcPr>
          <w:p>
            <w:pPr>
              <w:spacing w:after="0"/>
              <w:rPr>
                <w:sz w:val="17"/>
                <w:szCs w:val="17"/>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(5,680)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tcPr>
          <w:p>
            <w:pPr>
              <w:ind w:left="180"/>
              <w:spacing w:after="0"/>
              <w:rPr>
                <w:sz w:val="20"/>
                <w:szCs w:val="20"/>
                <w:color w:val="auto"/>
              </w:rPr>
            </w:pPr>
            <w:r>
              <w:rPr>
                <w:rFonts w:ascii="Arial" w:cs="Arial" w:eastAsia="Arial" w:hAnsi="Arial"/>
                <w:sz w:val="15"/>
                <w:szCs w:val="15"/>
                <w:color w:val="auto"/>
              </w:rPr>
              <w:t>Accumulated deficit</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(855,147)</w:t>
            </w:r>
          </w:p>
        </w:tc>
        <w:tc>
          <w:tcPr>
            <w:tcW w:w="2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(832,672)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5"/>
                <w:szCs w:val="15"/>
                <w:color w:val="auto"/>
              </w:rPr>
              <w:t>Total stockholders’ equity</w:t>
            </w:r>
          </w:p>
        </w:tc>
        <w:tc>
          <w:tcPr>
            <w:tcW w:w="1300" w:type="dxa"/>
            <w:vAlign w:val="bottom"/>
            <w:tcBorders>
              <w:top w:val="single" w:sz="8" w:color="CCECFF"/>
            </w:tcBorders>
            <w:shd w:val="clear" w:color="auto" w:fill="CCECFF"/>
          </w:tcPr>
          <w:p>
            <w:pPr>
              <w:spacing w:after="0"/>
              <w:rPr>
                <w:sz w:val="16"/>
                <w:szCs w:val="16"/>
                <w:color w:val="auto"/>
              </w:rPr>
            </w:pPr>
          </w:p>
        </w:tc>
        <w:tc>
          <w:tcPr>
            <w:tcW w:w="240" w:type="dxa"/>
            <w:vAlign w:val="bottom"/>
            <w:tcBorders>
              <w:top w:val="single" w:sz="8" w:color="auto"/>
              <w:bottom w:val="single" w:sz="8" w:color="auto"/>
            </w:tcBorders>
            <w:shd w:val="clear" w:color="auto" w:fill="CCECFF"/>
          </w:tcPr>
          <w:p>
            <w:pPr>
              <w:spacing w:after="0"/>
              <w:rPr>
                <w:sz w:val="16"/>
                <w:szCs w:val="16"/>
                <w:color w:val="auto"/>
              </w:rPr>
            </w:pP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703,971</w:t>
            </w:r>
          </w:p>
        </w:tc>
        <w:tc>
          <w:tcPr>
            <w:tcW w:w="26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bottom w:val="single" w:sz="8" w:color="auto"/>
            </w:tcBorders>
            <w:shd w:val="clear" w:color="auto" w:fill="CCECFF"/>
          </w:tcPr>
          <w:p>
            <w:pPr>
              <w:spacing w:after="0"/>
              <w:rPr>
                <w:sz w:val="16"/>
                <w:szCs w:val="16"/>
                <w:color w:val="auto"/>
              </w:rPr>
            </w:pP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383,454</w:t>
            </w:r>
          </w:p>
        </w:tc>
        <w:tc>
          <w:tcPr>
            <w:tcW w:w="10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160" w:type="dxa"/>
            <w:vAlign w:val="bottom"/>
            <w:gridSpan w:val="2"/>
          </w:tcPr>
          <w:p>
            <w:pPr>
              <w:spacing w:after="0"/>
              <w:rPr>
                <w:sz w:val="20"/>
                <w:szCs w:val="20"/>
                <w:color w:val="auto"/>
              </w:rPr>
            </w:pPr>
            <w:r>
              <w:rPr>
                <w:rFonts w:ascii="Arial" w:cs="Arial" w:eastAsia="Arial" w:hAnsi="Arial"/>
                <w:sz w:val="15"/>
                <w:szCs w:val="15"/>
                <w:color w:val="auto"/>
              </w:rPr>
              <w:t>Total liabilities and stockholders’ equity</w:t>
            </w: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806,022</w:t>
            </w:r>
          </w:p>
        </w:tc>
        <w:tc>
          <w:tcPr>
            <w:tcW w:w="26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490,753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5"/>
          <w:szCs w:val="15"/>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share and per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w w:val="98"/>
              </w:rPr>
              <w:t>Three Months Ended June 30,</w:t>
            </w:r>
          </w:p>
        </w:tc>
        <w:tc>
          <w:tcPr>
            <w:tcW w:w="160" w:type="dxa"/>
            <w:vAlign w:val="bottom"/>
          </w:tcPr>
          <w:p>
            <w:pPr>
              <w:spacing w:after="0"/>
              <w:rPr>
                <w:sz w:val="12"/>
                <w:szCs w:val="12"/>
                <w:color w:val="auto"/>
              </w:rPr>
            </w:pPr>
          </w:p>
        </w:tc>
        <w:tc>
          <w:tcPr>
            <w:tcW w:w="2280" w:type="dxa"/>
            <w:vAlign w:val="bottom"/>
            <w:gridSpan w:val="5"/>
          </w:tcPr>
          <w:p>
            <w:pPr>
              <w:jc w:val="right"/>
              <w:ind w:right="64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88"/>
        </w:trPr>
        <w:tc>
          <w:tcPr>
            <w:tcW w:w="5160" w:type="dxa"/>
            <w:vAlign w:val="bottom"/>
            <w:tcBorders>
              <w:bottom w:val="single" w:sz="8" w:color="CCECFF"/>
            </w:tcBorders>
          </w:tcPr>
          <w:p>
            <w:pPr>
              <w:spacing w:after="0"/>
              <w:rPr>
                <w:sz w:val="16"/>
                <w:szCs w:val="16"/>
                <w:color w:val="auto"/>
              </w:rPr>
            </w:pPr>
          </w:p>
        </w:tc>
        <w:tc>
          <w:tcPr>
            <w:tcW w:w="1360" w:type="dxa"/>
            <w:vAlign w:val="bottom"/>
            <w:tcBorders>
              <w:bottom w:val="single" w:sz="8" w:color="CCEC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bottom w:val="single" w:sz="8" w:color="CCECFF"/>
            </w:tcBorders>
          </w:tcPr>
          <w:p>
            <w:pPr>
              <w:spacing w:after="0"/>
              <w:rPr>
                <w:sz w:val="16"/>
                <w:szCs w:val="16"/>
                <w:color w:val="auto"/>
              </w:rPr>
            </w:pPr>
          </w:p>
        </w:tc>
        <w:tc>
          <w:tcPr>
            <w:tcW w:w="100" w:type="dxa"/>
            <w:vAlign w:val="bottom"/>
            <w:tcBorders>
              <w:top w:val="single" w:sz="8" w:color="auto"/>
              <w:bottom w:val="single" w:sz="8" w:color="CCEC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CEC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bottom w:val="single" w:sz="8" w:color="CCEC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shd w:val="clear" w:color="auto" w:fill="CCECFF"/>
          </w:tcPr>
          <w:p>
            <w:pPr>
              <w:spacing w:after="0"/>
              <w:rPr>
                <w:sz w:val="20"/>
                <w:szCs w:val="20"/>
                <w:color w:val="auto"/>
              </w:rPr>
            </w:pPr>
            <w:r>
              <w:rPr>
                <w:rFonts w:ascii="Arial" w:cs="Arial" w:eastAsia="Arial" w:hAnsi="Arial"/>
                <w:sz w:val="15"/>
                <w:szCs w:val="15"/>
                <w:color w:val="auto"/>
              </w:rPr>
              <w:t>Revenues:</w:t>
            </w:r>
          </w:p>
        </w:tc>
        <w:tc>
          <w:tcPr>
            <w:tcW w:w="13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8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7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rPr>
                <w:sz w:val="20"/>
                <w:szCs w:val="20"/>
                <w:color w:val="auto"/>
              </w:rPr>
            </w:pPr>
            <w:r>
              <w:rPr>
                <w:rFonts w:ascii="Arial" w:cs="Arial" w:eastAsia="Arial" w:hAnsi="Arial"/>
                <w:sz w:val="15"/>
                <w:szCs w:val="15"/>
                <w:color w:val="auto"/>
              </w:rPr>
              <w:t>Collaboration and license</w:t>
            </w:r>
          </w:p>
        </w:tc>
        <w:tc>
          <w:tcPr>
            <w:tcW w:w="1560" w:type="dxa"/>
            <w:vAlign w:val="bottom"/>
            <w:gridSpan w:val="2"/>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10,519</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19,881</w:t>
            </w:r>
          </w:p>
        </w:tc>
        <w:tc>
          <w:tcPr>
            <w:tcW w:w="24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60" w:type="dxa"/>
            <w:vAlign w:val="bottom"/>
            <w:shd w:val="clear" w:color="auto" w:fill="CCECFF"/>
          </w:tcPr>
          <w:p>
            <w:pPr>
              <w:ind w:left="200"/>
              <w:spacing w:after="0"/>
              <w:rPr>
                <w:sz w:val="20"/>
                <w:szCs w:val="20"/>
                <w:color w:val="auto"/>
              </w:rPr>
            </w:pPr>
            <w:r>
              <w:rPr>
                <w:rFonts w:ascii="Arial" w:cs="Arial" w:eastAsia="Arial" w:hAnsi="Arial"/>
                <w:sz w:val="15"/>
                <w:szCs w:val="15"/>
                <w:color w:val="auto"/>
              </w:rPr>
              <w:t>Product sales</w:t>
            </w:r>
          </w:p>
        </w:tc>
        <w:tc>
          <w:tcPr>
            <w:tcW w:w="136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2,275</w:t>
            </w:r>
          </w:p>
        </w:tc>
        <w:tc>
          <w:tcPr>
            <w:tcW w:w="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3,590</w:t>
            </w:r>
          </w:p>
        </w:tc>
        <w:tc>
          <w:tcPr>
            <w:tcW w:w="240" w:type="dxa"/>
            <w:vAlign w:val="bottom"/>
            <w:shd w:val="clear" w:color="auto" w:fill="CCECFF"/>
          </w:tcPr>
          <w:p>
            <w:pPr>
              <w:spacing w:after="0"/>
              <w:rPr>
                <w:sz w:val="17"/>
                <w:szCs w:val="17"/>
                <w:color w:val="auto"/>
              </w:rPr>
            </w:pPr>
          </w:p>
        </w:tc>
        <w:tc>
          <w:tcPr>
            <w:tcW w:w="180" w:type="dxa"/>
            <w:vAlign w:val="bottom"/>
            <w:tcBorders>
              <w:bottom w:val="single" w:sz="8" w:color="auto"/>
            </w:tcBorders>
            <w:shd w:val="clear" w:color="auto" w:fill="CCECFF"/>
          </w:tcPr>
          <w:p>
            <w:pPr>
              <w:spacing w:after="0"/>
              <w:rPr>
                <w:sz w:val="17"/>
                <w:szCs w:val="17"/>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420"/>
              <w:spacing w:after="0"/>
              <w:rPr>
                <w:sz w:val="20"/>
                <w:szCs w:val="20"/>
                <w:color w:val="auto"/>
              </w:rPr>
            </w:pPr>
            <w:r>
              <w:rPr>
                <w:rFonts w:ascii="Arial" w:cs="Arial" w:eastAsia="Arial" w:hAnsi="Arial"/>
                <w:sz w:val="15"/>
                <w:szCs w:val="15"/>
                <w:color w:val="auto"/>
              </w:rPr>
              <w:t>Total revenues</w:t>
            </w: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12,794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23,471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60" w:type="dxa"/>
            <w:vAlign w:val="bottom"/>
            <w:shd w:val="clear" w:color="auto" w:fill="CCECFF"/>
          </w:tcPr>
          <w:p>
            <w:pPr>
              <w:spacing w:after="0"/>
              <w:rPr>
                <w:sz w:val="20"/>
                <w:szCs w:val="20"/>
                <w:color w:val="auto"/>
              </w:rPr>
            </w:pPr>
            <w:r>
              <w:rPr>
                <w:rFonts w:ascii="Arial" w:cs="Arial" w:eastAsia="Arial" w:hAnsi="Arial"/>
                <w:sz w:val="15"/>
                <w:szCs w:val="15"/>
                <w:color w:val="auto"/>
              </w:rPr>
              <w:t>Operating expenses:</w:t>
            </w:r>
          </w:p>
        </w:tc>
        <w:tc>
          <w:tcPr>
            <w:tcW w:w="13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rPr>
                <w:sz w:val="20"/>
                <w:szCs w:val="20"/>
                <w:color w:val="auto"/>
              </w:rPr>
            </w:pPr>
            <w:r>
              <w:rPr>
                <w:rFonts w:ascii="Arial" w:cs="Arial" w:eastAsia="Arial" w:hAnsi="Arial"/>
                <w:sz w:val="15"/>
                <w:szCs w:val="15"/>
                <w:color w:val="auto"/>
              </w:rPr>
              <w:t>Cost of sales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60" w:type="dxa"/>
            <w:vAlign w:val="bottom"/>
            <w:shd w:val="clear" w:color="auto" w:fill="CCECFF"/>
          </w:tcPr>
          <w:p>
            <w:pPr>
              <w:ind w:left="200"/>
              <w:spacing w:after="0"/>
              <w:rPr>
                <w:sz w:val="20"/>
                <w:szCs w:val="20"/>
                <w:color w:val="auto"/>
              </w:rPr>
            </w:pPr>
            <w:r>
              <w:rPr>
                <w:rFonts w:ascii="Arial" w:cs="Arial" w:eastAsia="Arial" w:hAnsi="Arial"/>
                <w:sz w:val="15"/>
                <w:szCs w:val="15"/>
                <w:color w:val="auto"/>
              </w:rPr>
              <w:t>Research and development</w:t>
            </w:r>
          </w:p>
        </w:tc>
        <w:tc>
          <w:tcPr>
            <w:tcW w:w="13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76,835</w:t>
            </w:r>
          </w:p>
        </w:tc>
        <w:tc>
          <w:tcPr>
            <w:tcW w:w="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58,436</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152,339</w:t>
            </w: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109,705</w:t>
            </w:r>
          </w:p>
        </w:tc>
        <w:tc>
          <w:tcPr>
            <w:tcW w:w="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CCECFF"/>
            </w:tcBorders>
          </w:tcPr>
          <w:p>
            <w:pPr>
              <w:ind w:left="200"/>
              <w:spacing w:after="0"/>
              <w:rPr>
                <w:sz w:val="20"/>
                <w:szCs w:val="20"/>
                <w:color w:val="auto"/>
              </w:rPr>
            </w:pPr>
            <w:r>
              <w:rPr>
                <w:rFonts w:ascii="Arial" w:cs="Arial" w:eastAsia="Arial" w:hAnsi="Arial"/>
                <w:sz w:val="15"/>
                <w:szCs w:val="15"/>
                <w:color w:val="auto"/>
              </w:rPr>
              <w:t>Selling, general and administrative</w:t>
            </w:r>
          </w:p>
        </w:tc>
        <w:tc>
          <w:tcPr>
            <w:tcW w:w="136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30,718</w:t>
            </w:r>
          </w:p>
        </w:tc>
        <w:tc>
          <w:tcPr>
            <w:tcW w:w="14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20,005</w:t>
            </w:r>
          </w:p>
        </w:tc>
        <w:tc>
          <w:tcPr>
            <w:tcW w:w="26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62,153</w:t>
            </w:r>
          </w:p>
        </w:tc>
        <w:tc>
          <w:tcPr>
            <w:tcW w:w="24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38,690</w:t>
            </w:r>
          </w:p>
        </w:tc>
        <w:tc>
          <w:tcPr>
            <w:tcW w:w="26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1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Total operating expenses</w:t>
            </w:r>
          </w:p>
        </w:tc>
        <w:tc>
          <w:tcPr>
            <w:tcW w:w="1360" w:type="dxa"/>
            <w:vAlign w:val="bottom"/>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107,694</w:t>
            </w:r>
          </w:p>
        </w:tc>
        <w:tc>
          <w:tcPr>
            <w:tcW w:w="1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spacing w:after="0"/>
              <w:rPr>
                <w:sz w:val="16"/>
                <w:szCs w:val="16"/>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78,441</w:t>
            </w:r>
          </w:p>
        </w:tc>
        <w:tc>
          <w:tcPr>
            <w:tcW w:w="260" w:type="dxa"/>
            <w:vAlign w:val="bottom"/>
            <w:shd w:val="clear" w:color="auto" w:fill="CCECFF"/>
          </w:tcPr>
          <w:p>
            <w:pPr>
              <w:spacing w:after="0"/>
              <w:rPr>
                <w:sz w:val="16"/>
                <w:szCs w:val="16"/>
                <w:color w:val="auto"/>
              </w:rPr>
            </w:pPr>
          </w:p>
        </w:tc>
        <w:tc>
          <w:tcPr>
            <w:tcW w:w="160" w:type="dxa"/>
            <w:vAlign w:val="bottom"/>
            <w:tcBorders>
              <w:bottom w:val="single" w:sz="8" w:color="auto"/>
            </w:tcBorders>
            <w:shd w:val="clear" w:color="auto" w:fill="CCECFF"/>
          </w:tcPr>
          <w:p>
            <w:pPr>
              <w:spacing w:after="0"/>
              <w:rPr>
                <w:sz w:val="16"/>
                <w:szCs w:val="16"/>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214,858</w:t>
            </w:r>
          </w:p>
        </w:tc>
        <w:tc>
          <w:tcPr>
            <w:tcW w:w="240" w:type="dxa"/>
            <w:vAlign w:val="bottom"/>
            <w:shd w:val="clear" w:color="auto" w:fill="CCECFF"/>
          </w:tcPr>
          <w:p>
            <w:pPr>
              <w:spacing w:after="0"/>
              <w:rPr>
                <w:sz w:val="16"/>
                <w:szCs w:val="16"/>
                <w:color w:val="auto"/>
              </w:rPr>
            </w:pPr>
          </w:p>
        </w:tc>
        <w:tc>
          <w:tcPr>
            <w:tcW w:w="180" w:type="dxa"/>
            <w:vAlign w:val="bottom"/>
            <w:tcBorders>
              <w:bottom w:val="single" w:sz="8" w:color="auto"/>
            </w:tcBorders>
            <w:shd w:val="clear" w:color="auto" w:fill="CCECFF"/>
          </w:tcPr>
          <w:p>
            <w:pPr>
              <w:spacing w:after="0"/>
              <w:rPr>
                <w:sz w:val="16"/>
                <w:szCs w:val="16"/>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148,395</w:t>
            </w:r>
          </w:p>
        </w:tc>
        <w:tc>
          <w:tcPr>
            <w:tcW w:w="2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60" w:type="dxa"/>
            <w:vAlign w:val="bottom"/>
          </w:tcPr>
          <w:p>
            <w:pPr>
              <w:spacing w:after="0"/>
              <w:rPr>
                <w:sz w:val="20"/>
                <w:szCs w:val="20"/>
                <w:color w:val="auto"/>
              </w:rPr>
            </w:pPr>
            <w:r>
              <w:rPr>
                <w:rFonts w:ascii="Arial" w:cs="Arial" w:eastAsia="Arial" w:hAnsi="Arial"/>
                <w:sz w:val="15"/>
                <w:szCs w:val="15"/>
                <w:color w:val="auto"/>
              </w:rPr>
              <w:t>Loss from operations</w:t>
            </w: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(94,900)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(78,441)</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(191,387)</w:t>
            </w: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(148,395)</w:t>
            </w:r>
          </w:p>
        </w:tc>
        <w:tc>
          <w:tcPr>
            <w:tcW w:w="0" w:type="dxa"/>
            <w:vAlign w:val="bottom"/>
          </w:tcPr>
          <w:p>
            <w:pPr>
              <w:spacing w:after="0"/>
              <w:rPr>
                <w:sz w:val="1"/>
                <w:szCs w:val="1"/>
                <w:color w:val="auto"/>
              </w:rPr>
            </w:pPr>
          </w:p>
        </w:tc>
      </w:tr>
      <w:tr>
        <w:trPr>
          <w:trHeight w:val="196"/>
        </w:trPr>
        <w:tc>
          <w:tcPr>
            <w:tcW w:w="5160" w:type="dxa"/>
            <w:vAlign w:val="bottom"/>
            <w:shd w:val="clear" w:color="auto" w:fill="CCECFF"/>
          </w:tcPr>
          <w:p>
            <w:pPr>
              <w:spacing w:after="0"/>
              <w:rPr>
                <w:sz w:val="20"/>
                <w:szCs w:val="20"/>
                <w:color w:val="auto"/>
              </w:rPr>
            </w:pPr>
            <w:r>
              <w:rPr>
                <w:rFonts w:ascii="Arial" w:cs="Arial" w:eastAsia="Arial" w:hAnsi="Arial"/>
                <w:sz w:val="15"/>
                <w:szCs w:val="15"/>
                <w:color w:val="auto"/>
              </w:rPr>
              <w:t>Other income (expense), net:</w:t>
            </w:r>
          </w:p>
        </w:tc>
        <w:tc>
          <w:tcPr>
            <w:tcW w:w="13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rPr>
                <w:sz w:val="20"/>
                <w:szCs w:val="20"/>
                <w:color w:val="auto"/>
              </w:rPr>
            </w:pPr>
            <w:r>
              <w:rPr>
                <w:rFonts w:ascii="Arial" w:cs="Arial" w:eastAsia="Arial" w:hAnsi="Arial"/>
                <w:sz w:val="15"/>
                <w:szCs w:val="15"/>
                <w:color w:val="auto"/>
              </w:rPr>
              <w:t>Interest income</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1,151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4,185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2,233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CFF"/>
          </w:tcPr>
          <w:p>
            <w:pPr>
              <w:ind w:left="200"/>
              <w:spacing w:after="0"/>
              <w:rPr>
                <w:sz w:val="20"/>
                <w:szCs w:val="20"/>
                <w:color w:val="auto"/>
              </w:rPr>
            </w:pPr>
            <w:r>
              <w:rPr>
                <w:rFonts w:ascii="Arial" w:cs="Arial" w:eastAsia="Arial" w:hAnsi="Arial"/>
                <w:sz w:val="15"/>
                <w:szCs w:val="15"/>
                <w:color w:val="auto"/>
              </w:rPr>
              <w:t>Gain from sale of priority review vouchers</w:t>
            </w:r>
          </w:p>
        </w:tc>
        <w:tc>
          <w:tcPr>
            <w:tcW w:w="13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40,322</w:t>
            </w:r>
          </w:p>
        </w:tc>
        <w:tc>
          <w:tcPr>
            <w:tcW w:w="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CFF"/>
          </w:tcPr>
          <w:p>
            <w:pPr>
              <w:spacing w:after="0"/>
              <w:rPr>
                <w:sz w:val="17"/>
                <w:szCs w:val="17"/>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170,322</w:t>
            </w: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ind w:right="2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160" w:type="dxa"/>
            <w:vAlign w:val="bottom"/>
          </w:tcPr>
          <w:p>
            <w:pPr>
              <w:ind w:left="200"/>
              <w:spacing w:after="0"/>
              <w:rPr>
                <w:sz w:val="20"/>
                <w:szCs w:val="20"/>
                <w:color w:val="auto"/>
              </w:rPr>
            </w:pPr>
            <w:r>
              <w:rPr>
                <w:rFonts w:ascii="Arial" w:cs="Arial" w:eastAsia="Arial" w:hAnsi="Arial"/>
                <w:sz w:val="15"/>
                <w:szCs w:val="15"/>
                <w:color w:val="auto"/>
              </w:rPr>
              <w:t>Other income (expense)</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4,413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(5,454)</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4,995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CFF"/>
          </w:tcPr>
          <w:p>
            <w:pPr>
              <w:spacing w:after="0"/>
              <w:rPr>
                <w:sz w:val="20"/>
                <w:szCs w:val="20"/>
                <w:color w:val="auto"/>
              </w:rPr>
            </w:pPr>
            <w:r>
              <w:rPr>
                <w:rFonts w:ascii="Arial" w:cs="Arial" w:eastAsia="Arial" w:hAnsi="Arial"/>
                <w:sz w:val="15"/>
                <w:szCs w:val="15"/>
                <w:color w:val="auto"/>
              </w:rPr>
              <w:t>Loss before income taxes</w:t>
            </w:r>
          </w:p>
        </w:tc>
        <w:tc>
          <w:tcPr>
            <w:tcW w:w="13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60" w:type="dxa"/>
            <w:vAlign w:val="bottom"/>
            <w:vMerge w:val="continue"/>
            <w:shd w:val="clear" w:color="auto" w:fill="CCECFF"/>
          </w:tcPr>
          <w:p>
            <w:pPr>
              <w:spacing w:after="0"/>
              <w:rPr>
                <w:sz w:val="16"/>
                <w:szCs w:val="16"/>
                <w:color w:val="auto"/>
              </w:rPr>
            </w:pPr>
          </w:p>
        </w:tc>
        <w:tc>
          <w:tcPr>
            <w:tcW w:w="136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00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(52,626)</w:t>
            </w:r>
          </w:p>
        </w:tc>
        <w:tc>
          <w:tcPr>
            <w:tcW w:w="1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rPr>
              <w:t>(72,877)</w:t>
            </w:r>
          </w:p>
        </w:tc>
        <w:tc>
          <w:tcPr>
            <w:tcW w:w="160" w:type="dxa"/>
            <w:vAlign w:val="bottom"/>
            <w:shd w:val="clear" w:color="auto" w:fill="CCECFF"/>
          </w:tcPr>
          <w:p>
            <w:pPr>
              <w:spacing w:after="0"/>
              <w:rPr>
                <w:sz w:val="16"/>
                <w:szCs w:val="16"/>
                <w:color w:val="auto"/>
              </w:rPr>
            </w:pP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(22,334)</w:t>
            </w:r>
          </w:p>
        </w:tc>
        <w:tc>
          <w:tcPr>
            <w:tcW w:w="18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rPr>
              <w:t>(141,167)</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(141)</w:t>
            </w:r>
          </w:p>
        </w:tc>
        <w:tc>
          <w:tcPr>
            <w:tcW w:w="1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CFF"/>
          </w:tcPr>
          <w:p>
            <w:pPr>
              <w:spacing w:after="0"/>
              <w:rPr>
                <w:sz w:val="20"/>
                <w:szCs w:val="20"/>
                <w:color w:val="auto"/>
              </w:rPr>
            </w:pPr>
            <w:r>
              <w:rPr>
                <w:rFonts w:ascii="Arial" w:cs="Arial" w:eastAsia="Arial" w:hAnsi="Arial"/>
                <w:sz w:val="15"/>
                <w:szCs w:val="15"/>
                <w:color w:val="auto"/>
              </w:rPr>
              <w:t>Net loss</w:t>
            </w:r>
          </w:p>
        </w:tc>
        <w:tc>
          <w:tcPr>
            <w:tcW w:w="136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160" w:type="dxa"/>
            <w:vAlign w:val="bottom"/>
            <w:vMerge w:val="continue"/>
            <w:shd w:val="clear" w:color="auto" w:fill="CCECFF"/>
          </w:tcPr>
          <w:p>
            <w:pPr>
              <w:spacing w:after="0"/>
              <w:rPr>
                <w:sz w:val="16"/>
                <w:szCs w:val="16"/>
                <w:color w:val="auto"/>
              </w:rPr>
            </w:pPr>
          </w:p>
        </w:tc>
        <w:tc>
          <w:tcPr>
            <w:tcW w:w="1360" w:type="dxa"/>
            <w:vAlign w:val="bottom"/>
            <w:shd w:val="clear" w:color="auto" w:fill="CCECFF"/>
          </w:tcPr>
          <w:p>
            <w:pPr>
              <w:spacing w:after="0"/>
              <w:rPr>
                <w:sz w:val="16"/>
                <w:szCs w:val="16"/>
                <w:color w:val="auto"/>
              </w:rPr>
            </w:pPr>
          </w:p>
        </w:tc>
        <w:tc>
          <w:tcPr>
            <w:tcW w:w="200" w:type="dxa"/>
            <w:vAlign w:val="bottom"/>
            <w:shd w:val="clear" w:color="auto" w:fill="CCECFF"/>
          </w:tcPr>
          <w:p>
            <w:pPr>
              <w:jc w:val="right"/>
              <w:ind w:right="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(52,728)</w:t>
            </w:r>
          </w:p>
        </w:tc>
        <w:tc>
          <w:tcPr>
            <w:tcW w:w="24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rPr>
              <w:t>(72,891)</w:t>
            </w:r>
          </w:p>
        </w:tc>
        <w:tc>
          <w:tcPr>
            <w:tcW w:w="160" w:type="dxa"/>
            <w:vAlign w:val="bottom"/>
            <w:shd w:val="clear" w:color="auto" w:fill="CCECFF"/>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(22,475)</w:t>
            </w:r>
          </w:p>
        </w:tc>
        <w:tc>
          <w:tcPr>
            <w:tcW w:w="180" w:type="dxa"/>
            <w:vAlign w:val="bottom"/>
            <w:shd w:val="clear" w:color="auto" w:fill="CCEC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rPr>
              <w:t>(141,181)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5"/>
                <w:szCs w:val="15"/>
                <w:color w:val="auto"/>
              </w:rPr>
              <w:t>Net loss per share, basic and diluted</w:t>
            </w:r>
          </w:p>
        </w:tc>
        <w:tc>
          <w:tcPr>
            <w:tcW w:w="136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vMerge w:val="continue"/>
          </w:tcPr>
          <w:p>
            <w:pPr>
              <w:spacing w:after="0"/>
              <w:rPr>
                <w:sz w:val="18"/>
                <w:szCs w:val="18"/>
                <w:color w:val="auto"/>
              </w:rPr>
            </w:pPr>
          </w:p>
        </w:tc>
        <w:tc>
          <w:tcPr>
            <w:tcW w:w="1560" w:type="dxa"/>
            <w:vAlign w:val="bottom"/>
            <w:gridSpan w:val="2"/>
          </w:tcPr>
          <w:p>
            <w:pPr>
              <w:jc w:val="right"/>
              <w:ind w:right="43"/>
              <w:spacing w:after="0" w:line="171"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00"/>
              <w:spacing w:after="0" w:line="171" w:lineRule="exact"/>
              <w:rPr>
                <w:sz w:val="20"/>
                <w:szCs w:val="20"/>
                <w:color w:val="auto"/>
              </w:rPr>
            </w:pPr>
            <w:r>
              <w:rPr>
                <w:rFonts w:ascii="Arial" w:cs="Arial" w:eastAsia="Arial" w:hAnsi="Arial"/>
                <w:sz w:val="15"/>
                <w:szCs w:val="15"/>
                <w:color w:val="auto"/>
              </w:rPr>
              <w:t>(1.06)</w:t>
            </w:r>
          </w:p>
        </w:tc>
        <w:tc>
          <w:tcPr>
            <w:tcW w:w="2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(1.72)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line="171" w:lineRule="exact"/>
              <w:rPr>
                <w:sz w:val="20"/>
                <w:szCs w:val="20"/>
                <w:color w:val="auto"/>
              </w:rPr>
            </w:pPr>
            <w:r>
              <w:rPr>
                <w:rFonts w:ascii="Arial" w:cs="Arial" w:eastAsia="Arial" w:hAnsi="Arial"/>
                <w:sz w:val="15"/>
                <w:szCs w:val="15"/>
                <w:color w:val="auto"/>
              </w:rPr>
              <w:t>(0.46)</w:t>
            </w:r>
          </w:p>
        </w:tc>
        <w:tc>
          <w:tcPr>
            <w:tcW w:w="180" w:type="dxa"/>
            <w:vAlign w:val="bottom"/>
          </w:tcPr>
          <w:p>
            <w:pPr>
              <w:jc w:val="right"/>
              <w:ind w:right="23"/>
              <w:spacing w:after="0" w:line="171"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(3.35)</w:t>
            </w:r>
          </w:p>
        </w:tc>
        <w:tc>
          <w:tcPr>
            <w:tcW w:w="0" w:type="dxa"/>
            <w:vAlign w:val="bottom"/>
          </w:tcPr>
          <w:p>
            <w:pPr>
              <w:spacing w:after="0"/>
              <w:rPr>
                <w:sz w:val="1"/>
                <w:szCs w:val="1"/>
                <w:color w:val="auto"/>
              </w:rPr>
            </w:pPr>
          </w:p>
        </w:tc>
      </w:tr>
      <w:tr>
        <w:trPr>
          <w:trHeight w:val="171"/>
        </w:trPr>
        <w:tc>
          <w:tcPr>
            <w:tcW w:w="5160" w:type="dxa"/>
            <w:vAlign w:val="bottom"/>
            <w:tcBorders>
              <w:top w:val="single" w:sz="8" w:color="CCECFF"/>
              <w:bottom w:val="single" w:sz="8" w:color="CCECFF"/>
            </w:tcBorders>
            <w:shd w:val="clear" w:color="auto" w:fill="CCECFF"/>
          </w:tcPr>
          <w:p>
            <w:pPr>
              <w:spacing w:after="0" w:line="171" w:lineRule="exact"/>
              <w:rPr>
                <w:sz w:val="20"/>
                <w:szCs w:val="20"/>
                <w:color w:val="auto"/>
              </w:rPr>
            </w:pPr>
            <w:r>
              <w:rPr>
                <w:rFonts w:ascii="Arial" w:cs="Arial" w:eastAsia="Arial" w:hAnsi="Arial"/>
                <w:sz w:val="15"/>
                <w:szCs w:val="15"/>
                <w:color w:val="auto"/>
              </w:rPr>
              <w:t>Shares used in computing net loss per share, basic and diluted</w:t>
            </w:r>
          </w:p>
        </w:tc>
        <w:tc>
          <w:tcPr>
            <w:tcW w:w="1360" w:type="dxa"/>
            <w:vAlign w:val="bottom"/>
            <w:tcBorders>
              <w:top w:val="single" w:sz="8" w:color="CCECFF"/>
              <w:bottom w:val="single" w:sz="8" w:color="CCECFF"/>
            </w:tcBorders>
            <w:shd w:val="clear" w:color="auto" w:fill="CCECFF"/>
          </w:tcPr>
          <w:p>
            <w:pPr>
              <w:spacing w:after="0"/>
              <w:rPr>
                <w:sz w:val="14"/>
                <w:szCs w:val="14"/>
                <w:color w:val="auto"/>
              </w:rPr>
            </w:pPr>
          </w:p>
        </w:tc>
        <w:tc>
          <w:tcPr>
            <w:tcW w:w="200" w:type="dxa"/>
            <w:vAlign w:val="bottom"/>
            <w:tcBorders>
              <w:top w:val="single" w:sz="8" w:color="auto"/>
              <w:bottom w:val="single" w:sz="8" w:color="auto"/>
            </w:tcBorders>
            <w:shd w:val="clear" w:color="auto" w:fill="CCECFF"/>
          </w:tcPr>
          <w:p>
            <w:pPr>
              <w:spacing w:after="0"/>
              <w:rPr>
                <w:sz w:val="14"/>
                <w:szCs w:val="14"/>
                <w:color w:val="auto"/>
              </w:rPr>
            </w:pPr>
          </w:p>
        </w:tc>
        <w:tc>
          <w:tcPr>
            <w:tcW w:w="860" w:type="dxa"/>
            <w:vAlign w:val="bottom"/>
            <w:tcBorders>
              <w:top w:val="single" w:sz="8" w:color="auto"/>
              <w:bottom w:val="single" w:sz="8" w:color="auto"/>
            </w:tcBorders>
            <w:shd w:val="clear" w:color="auto" w:fill="CCECFF"/>
          </w:tcPr>
          <w:p>
            <w:pPr>
              <w:jc w:val="right"/>
              <w:spacing w:after="0" w:line="171" w:lineRule="exact"/>
              <w:rPr>
                <w:sz w:val="20"/>
                <w:szCs w:val="20"/>
                <w:color w:val="auto"/>
              </w:rPr>
            </w:pPr>
            <w:r>
              <w:rPr>
                <w:rFonts w:ascii="Arial" w:cs="Arial" w:eastAsia="Arial" w:hAnsi="Arial"/>
                <w:sz w:val="15"/>
                <w:szCs w:val="15"/>
                <w:color w:val="auto"/>
              </w:rPr>
              <w:t>49,819,528</w:t>
            </w:r>
          </w:p>
        </w:tc>
        <w:tc>
          <w:tcPr>
            <w:tcW w:w="140" w:type="dxa"/>
            <w:vAlign w:val="bottom"/>
            <w:tcBorders>
              <w:top w:val="single" w:sz="8" w:color="CCECFF"/>
              <w:bottom w:val="single" w:sz="8" w:color="CCECFF"/>
            </w:tcBorders>
            <w:shd w:val="clear" w:color="auto" w:fill="CCECFF"/>
          </w:tcPr>
          <w:p>
            <w:pPr>
              <w:spacing w:after="0"/>
              <w:rPr>
                <w:sz w:val="14"/>
                <w:szCs w:val="14"/>
                <w:color w:val="auto"/>
              </w:rPr>
            </w:pPr>
          </w:p>
        </w:tc>
        <w:tc>
          <w:tcPr>
            <w:tcW w:w="100" w:type="dxa"/>
            <w:vAlign w:val="bottom"/>
            <w:tcBorders>
              <w:top w:val="single" w:sz="8" w:color="CCECFF"/>
              <w:bottom w:val="single" w:sz="8" w:color="CCECFF"/>
            </w:tcBorders>
            <w:shd w:val="clear" w:color="auto" w:fill="CCECFF"/>
          </w:tcPr>
          <w:p>
            <w:pPr>
              <w:spacing w:after="0"/>
              <w:rPr>
                <w:sz w:val="14"/>
                <w:szCs w:val="14"/>
                <w:color w:val="auto"/>
              </w:rPr>
            </w:pP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780" w:type="dxa"/>
            <w:vAlign w:val="bottom"/>
            <w:tcBorders>
              <w:top w:val="single" w:sz="8" w:color="auto"/>
              <w:bottom w:val="single" w:sz="8" w:color="auto"/>
            </w:tcBorders>
            <w:shd w:val="clear" w:color="auto" w:fill="CCECFF"/>
          </w:tcPr>
          <w:p>
            <w:pPr>
              <w:jc w:val="right"/>
              <w:spacing w:after="0" w:line="171" w:lineRule="exact"/>
              <w:rPr>
                <w:sz w:val="20"/>
                <w:szCs w:val="20"/>
                <w:color w:val="auto"/>
              </w:rPr>
            </w:pPr>
            <w:r>
              <w:rPr>
                <w:rFonts w:ascii="Arial" w:cs="Arial" w:eastAsia="Arial" w:hAnsi="Arial"/>
                <w:sz w:val="15"/>
                <w:szCs w:val="15"/>
                <w:color w:val="auto"/>
              </w:rPr>
              <w:t>42,346,830</w:t>
            </w:r>
          </w:p>
        </w:tc>
        <w:tc>
          <w:tcPr>
            <w:tcW w:w="260" w:type="dxa"/>
            <w:vAlign w:val="bottom"/>
            <w:tcBorders>
              <w:top w:val="single" w:sz="8" w:color="CCECFF"/>
              <w:bottom w:val="single" w:sz="8" w:color="CCECFF"/>
            </w:tcBorders>
            <w:shd w:val="clear" w:color="auto" w:fill="CCECFF"/>
          </w:tcPr>
          <w:p>
            <w:pPr>
              <w:spacing w:after="0"/>
              <w:rPr>
                <w:sz w:val="14"/>
                <w:szCs w:val="14"/>
                <w:color w:val="auto"/>
              </w:rPr>
            </w:pPr>
          </w:p>
        </w:tc>
        <w:tc>
          <w:tcPr>
            <w:tcW w:w="16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line="171" w:lineRule="exact"/>
              <w:rPr>
                <w:sz w:val="20"/>
                <w:szCs w:val="20"/>
                <w:color w:val="auto"/>
              </w:rPr>
            </w:pPr>
            <w:r>
              <w:rPr>
                <w:rFonts w:ascii="Arial" w:cs="Arial" w:eastAsia="Arial" w:hAnsi="Arial"/>
                <w:sz w:val="15"/>
                <w:szCs w:val="15"/>
                <w:color w:val="auto"/>
              </w:rPr>
              <w:t>49,046,838</w:t>
            </w:r>
          </w:p>
        </w:tc>
        <w:tc>
          <w:tcPr>
            <w:tcW w:w="240" w:type="dxa"/>
            <w:vAlign w:val="bottom"/>
            <w:tcBorders>
              <w:top w:val="single" w:sz="8" w:color="CCECFF"/>
              <w:bottom w:val="single" w:sz="8" w:color="CCECFF"/>
            </w:tcBorders>
            <w:shd w:val="clear" w:color="auto" w:fill="CCECFF"/>
          </w:tcPr>
          <w:p>
            <w:pPr>
              <w:spacing w:after="0"/>
              <w:rPr>
                <w:sz w:val="14"/>
                <w:szCs w:val="14"/>
                <w:color w:val="auto"/>
              </w:rPr>
            </w:pPr>
          </w:p>
        </w:tc>
        <w:tc>
          <w:tcPr>
            <w:tcW w:w="18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line="171" w:lineRule="exact"/>
              <w:rPr>
                <w:sz w:val="20"/>
                <w:szCs w:val="20"/>
                <w:color w:val="auto"/>
              </w:rPr>
            </w:pPr>
            <w:r>
              <w:rPr>
                <w:rFonts w:ascii="Arial" w:cs="Arial" w:eastAsia="Arial" w:hAnsi="Arial"/>
                <w:sz w:val="15"/>
                <w:szCs w:val="15"/>
                <w:color w:val="auto"/>
              </w:rPr>
              <w:t>42,095,750</w:t>
            </w:r>
          </w:p>
        </w:tc>
        <w:tc>
          <w:tcPr>
            <w:tcW w:w="260" w:type="dxa"/>
            <w:vAlign w:val="bottom"/>
            <w:tcBorders>
              <w:top w:val="single" w:sz="8" w:color="CCECFF"/>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COMPREHENSIVE LOSS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2"/>
                <w:szCs w:val="12"/>
                <w:b w:val="1"/>
                <w:bCs w:val="1"/>
                <w:color w:val="auto"/>
                <w:w w:val="99"/>
              </w:rPr>
              <w:t>Three Months Ended June 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88"/>
        </w:trPr>
        <w:tc>
          <w:tcPr>
            <w:tcW w:w="52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(52,728)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(72,891)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(22,475)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(141,181)</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CFF"/>
          </w:tcPr>
          <w:p>
            <w:pPr>
              <w:ind w:left="200"/>
              <w:spacing w:after="0"/>
              <w:rPr>
                <w:sz w:val="20"/>
                <w:szCs w:val="20"/>
                <w:color w:val="auto"/>
              </w:rPr>
            </w:pPr>
            <w:r>
              <w:rPr>
                <w:rFonts w:ascii="Arial" w:cs="Arial" w:eastAsia="Arial" w:hAnsi="Arial"/>
                <w:sz w:val="15"/>
                <w:szCs w:val="15"/>
                <w:color w:val="auto"/>
              </w:rPr>
              <w:t>Foreign currency translation adjustments</w:t>
            </w:r>
          </w:p>
        </w:tc>
        <w:tc>
          <w:tcPr>
            <w:tcW w:w="11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225</w:t>
            </w:r>
          </w:p>
        </w:tc>
        <w:tc>
          <w:tcPr>
            <w:tcW w:w="2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(4,403)</w:t>
            </w: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(64)</w:t>
            </w: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(5,051)</w:t>
            </w:r>
          </w:p>
        </w:tc>
        <w:tc>
          <w:tcPr>
            <w:tcW w:w="0" w:type="dxa"/>
            <w:vAlign w:val="bottom"/>
          </w:tcPr>
          <w:p>
            <w:pPr>
              <w:spacing w:after="0"/>
              <w:rPr>
                <w:sz w:val="1"/>
                <w:szCs w:val="1"/>
                <w:color w:val="auto"/>
              </w:rPr>
            </w:pPr>
          </w:p>
        </w:tc>
      </w:tr>
      <w:tr>
        <w:trPr>
          <w:trHeight w:val="186"/>
        </w:trPr>
        <w:tc>
          <w:tcPr>
            <w:tcW w:w="5280" w:type="dxa"/>
            <w:vAlign w:val="bottom"/>
          </w:tcPr>
          <w:p>
            <w:pPr>
              <w:ind w:left="200"/>
              <w:spacing w:after="0"/>
              <w:rPr>
                <w:sz w:val="20"/>
                <w:szCs w:val="20"/>
                <w:color w:val="auto"/>
              </w:rPr>
            </w:pPr>
            <w:r>
              <w:rPr>
                <w:rFonts w:ascii="Arial" w:cs="Arial" w:eastAsia="Arial" w:hAnsi="Arial"/>
                <w:sz w:val="15"/>
                <w:szCs w:val="15"/>
                <w:color w:val="auto"/>
              </w:rPr>
              <w:t>Transfer of cumulative translation adjustment for the substantial</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ind w:left="360"/>
              <w:spacing w:after="0"/>
              <w:rPr>
                <w:sz w:val="20"/>
                <w:szCs w:val="20"/>
                <w:color w:val="auto"/>
              </w:rPr>
            </w:pPr>
            <w:r>
              <w:rPr>
                <w:rFonts w:ascii="Arial" w:cs="Arial" w:eastAsia="Arial" w:hAnsi="Arial"/>
                <w:sz w:val="15"/>
                <w:szCs w:val="15"/>
                <w:color w:val="auto"/>
              </w:rPr>
              <w:t>liquidation of foreign subsidiaries</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5,272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280" w:type="dxa"/>
            <w:vAlign w:val="bottom"/>
            <w:shd w:val="clear" w:color="auto" w:fill="CCECFF"/>
          </w:tcPr>
          <w:p>
            <w:pPr>
              <w:ind w:left="200"/>
              <w:spacing w:after="0"/>
              <w:rPr>
                <w:sz w:val="20"/>
                <w:szCs w:val="20"/>
                <w:color w:val="auto"/>
              </w:rPr>
            </w:pPr>
            <w:r>
              <w:rPr>
                <w:rFonts w:ascii="Arial" w:cs="Arial" w:eastAsia="Arial" w:hAnsi="Arial"/>
                <w:sz w:val="15"/>
                <w:szCs w:val="15"/>
                <w:color w:val="auto"/>
              </w:rPr>
              <w:t>Unrealized gain (loss) on available-for-sale securities</w:t>
            </w:r>
          </w:p>
        </w:tc>
        <w:tc>
          <w:tcPr>
            <w:tcW w:w="11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67</w:t>
            </w:r>
          </w:p>
        </w:tc>
        <w:tc>
          <w:tcPr>
            <w:tcW w:w="2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(182)</w:t>
            </w:r>
          </w:p>
        </w:tc>
        <w:tc>
          <w:tcPr>
            <w:tcW w:w="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20"/>
              <w:spacing w:after="0"/>
              <w:rPr>
                <w:sz w:val="20"/>
                <w:szCs w:val="20"/>
                <w:color w:val="auto"/>
              </w:rPr>
            </w:pPr>
            <w:r>
              <w:rPr>
                <w:rFonts w:ascii="Arial" w:cs="Arial" w:eastAsia="Arial" w:hAnsi="Arial"/>
                <w:sz w:val="15"/>
                <w:szCs w:val="15"/>
                <w:color w:val="auto"/>
              </w:rPr>
              <w:t>Other comprehensive income (loss):</w:t>
            </w: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5"/>
                <w:szCs w:val="15"/>
                <w:color w:val="auto"/>
              </w:rPr>
              <w:t>(4,454)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(5,128)</w:t>
            </w:r>
          </w:p>
        </w:tc>
        <w:tc>
          <w:tcPr>
            <w:tcW w:w="0" w:type="dxa"/>
            <w:vAlign w:val="bottom"/>
          </w:tcPr>
          <w:p>
            <w:pPr>
              <w:spacing w:after="0"/>
              <w:rPr>
                <w:sz w:val="1"/>
                <w:szCs w:val="1"/>
                <w:color w:val="auto"/>
              </w:rPr>
            </w:pPr>
          </w:p>
        </w:tc>
      </w:tr>
      <w:tr>
        <w:trPr>
          <w:trHeight w:val="20"/>
        </w:trPr>
        <w:tc>
          <w:tcPr>
            <w:tcW w:w="5280" w:type="dxa"/>
            <w:vAlign w:val="bottom"/>
            <w:vMerge w:val="restart"/>
            <w:shd w:val="clear" w:color="auto" w:fill="CCECFF"/>
          </w:tcPr>
          <w:p>
            <w:pPr>
              <w:spacing w:after="0"/>
              <w:rPr>
                <w:sz w:val="20"/>
                <w:szCs w:val="20"/>
                <w:color w:val="auto"/>
              </w:rPr>
            </w:pPr>
            <w:r>
              <w:rPr>
                <w:rFonts w:ascii="Arial" w:cs="Arial" w:eastAsia="Arial" w:hAnsi="Arial"/>
                <w:sz w:val="15"/>
                <w:szCs w:val="15"/>
                <w:color w:val="auto"/>
              </w:rPr>
              <w:t>Total comprehensive loss</w:t>
            </w:r>
          </w:p>
        </w:tc>
        <w:tc>
          <w:tcPr>
            <w:tcW w:w="114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80" w:type="dxa"/>
            <w:vAlign w:val="bottom"/>
            <w:vMerge w:val="continue"/>
            <w:shd w:val="clear" w:color="auto" w:fill="CCECFF"/>
          </w:tcPr>
          <w:p>
            <w:pPr>
              <w:spacing w:after="0"/>
              <w:rPr>
                <w:sz w:val="16"/>
                <w:szCs w:val="16"/>
                <w:color w:val="auto"/>
              </w:rPr>
            </w:pPr>
          </w:p>
        </w:tc>
        <w:tc>
          <w:tcPr>
            <w:tcW w:w="1360" w:type="dxa"/>
            <w:vAlign w:val="bottom"/>
            <w:gridSpan w:val="2"/>
            <w:shd w:val="clear" w:color="auto" w:fill="CCEC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rPr>
              <w:t>(52,436)</w:t>
            </w:r>
          </w:p>
        </w:tc>
        <w:tc>
          <w:tcPr>
            <w:tcW w:w="240" w:type="dxa"/>
            <w:vAlign w:val="bottom"/>
            <w:shd w:val="clear" w:color="auto" w:fill="CCEC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(77,345)</w:t>
            </w:r>
          </w:p>
        </w:tc>
        <w:tc>
          <w:tcPr>
            <w:tcW w:w="340" w:type="dxa"/>
            <w:vAlign w:val="bottom"/>
            <w:gridSpan w:val="2"/>
            <w:shd w:val="clear" w:color="auto" w:fill="CCEC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(17,449)</w:t>
            </w:r>
          </w:p>
        </w:tc>
        <w:tc>
          <w:tcPr>
            <w:tcW w:w="340" w:type="dxa"/>
            <w:vAlign w:val="bottom"/>
            <w:gridSpan w:val="2"/>
            <w:shd w:val="clear" w:color="auto" w:fill="CCECFF"/>
          </w:tcPr>
          <w:p>
            <w:pPr>
              <w:jc w:val="right"/>
              <w:ind w:right="16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(146,309)</w:t>
            </w:r>
          </w:p>
        </w:tc>
        <w:tc>
          <w:tcPr>
            <w:tcW w:w="0" w:type="dxa"/>
            <w:vAlign w:val="bottom"/>
          </w:tcPr>
          <w:p>
            <w:pPr>
              <w:spacing w:after="0"/>
              <w:rPr>
                <w:sz w:val="1"/>
                <w:szCs w:val="1"/>
                <w:color w:val="auto"/>
              </w:rPr>
            </w:pPr>
          </w:p>
        </w:tc>
      </w:tr>
      <w:tr>
        <w:trPr>
          <w:trHeight w:val="20"/>
        </w:trPr>
        <w:tc>
          <w:tcPr>
            <w:tcW w:w="5280" w:type="dxa"/>
            <w:vAlign w:val="bottom"/>
            <w:tcBorders>
              <w:top w:val="single" w:sz="8" w:color="CCECFF"/>
            </w:tcBorders>
          </w:tcPr>
          <w:p>
            <w:pPr>
              <w:spacing w:after="0" w:line="20" w:lineRule="exact"/>
              <w:rPr>
                <w:sz w:val="1"/>
                <w:szCs w:val="1"/>
                <w:color w:val="auto"/>
              </w:rPr>
            </w:pPr>
          </w:p>
        </w:tc>
        <w:tc>
          <w:tcPr>
            <w:tcW w:w="114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gridSpan w:val="6"/>
          </w:tcPr>
          <w:p>
            <w:pPr>
              <w:jc w:val="right"/>
              <w:ind w:right="80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88"/>
        </w:trPr>
        <w:tc>
          <w:tcPr>
            <w:tcW w:w="8520" w:type="dxa"/>
            <w:vAlign w:val="bottom"/>
            <w:tcBorders>
              <w:bottom w:val="single" w:sz="8" w:color="CCEC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CFF"/>
            </w:tcBorders>
          </w:tcPr>
          <w:p>
            <w:pPr>
              <w:spacing w:after="0"/>
              <w:rPr>
                <w:sz w:val="16"/>
                <w:szCs w:val="16"/>
                <w:color w:val="auto"/>
              </w:rPr>
            </w:pPr>
          </w:p>
        </w:tc>
        <w:tc>
          <w:tcPr>
            <w:tcW w:w="120" w:type="dxa"/>
            <w:vAlign w:val="bottom"/>
            <w:tcBorders>
              <w:top w:val="single" w:sz="8" w:color="auto"/>
              <w:bottom w:val="single" w:sz="8" w:color="CCEC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C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20" w:type="dxa"/>
            <w:vAlign w:val="bottom"/>
            <w:shd w:val="clear" w:color="auto" w:fill="CCECFF"/>
          </w:tcPr>
          <w:p>
            <w:pPr>
              <w:spacing w:after="0"/>
              <w:rPr>
                <w:sz w:val="20"/>
                <w:szCs w:val="20"/>
                <w:color w:val="auto"/>
              </w:rPr>
            </w:pPr>
            <w:r>
              <w:rPr>
                <w:rFonts w:ascii="Arial" w:cs="Arial" w:eastAsia="Arial" w:hAnsi="Arial"/>
                <w:sz w:val="15"/>
                <w:szCs w:val="15"/>
                <w:b w:val="1"/>
                <w:bCs w:val="1"/>
                <w:color w:val="auto"/>
              </w:rPr>
              <w:t>Operating activities:</w:t>
            </w:r>
          </w:p>
        </w:tc>
        <w:tc>
          <w:tcPr>
            <w:tcW w:w="300" w:type="dxa"/>
            <w:vAlign w:val="bottom"/>
            <w:shd w:val="clear" w:color="auto" w:fill="CCECFF"/>
          </w:tcPr>
          <w:p>
            <w:pPr>
              <w:spacing w:after="0"/>
              <w:rPr>
                <w:sz w:val="16"/>
                <w:szCs w:val="16"/>
                <w:color w:val="auto"/>
              </w:rPr>
            </w:pPr>
          </w:p>
        </w:tc>
        <w:tc>
          <w:tcPr>
            <w:tcW w:w="96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20" w:type="dxa"/>
            <w:vAlign w:val="bottom"/>
          </w:tcPr>
          <w:p>
            <w:pPr>
              <w:spacing w:after="0"/>
              <w:rPr>
                <w:sz w:val="20"/>
                <w:szCs w:val="20"/>
                <w:color w:val="auto"/>
              </w:rPr>
            </w:pPr>
            <w:r>
              <w:rPr>
                <w:rFonts w:ascii="Arial" w:cs="Arial" w:eastAsia="Arial" w:hAnsi="Arial"/>
                <w:sz w:val="15"/>
                <w:szCs w:val="15"/>
                <w:color w:val="auto"/>
              </w:rPr>
              <w:t>Net loss</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(22,475)</w:t>
            </w: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(141,181)</w:t>
            </w: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0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Gain from sale of priority review vouchers</w:t>
            </w: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(170,322)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Stock-based compensation</w:t>
            </w:r>
          </w:p>
        </w:tc>
        <w:tc>
          <w:tcPr>
            <w:tcW w:w="30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38,360</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31,293</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Amortization of premium (discount) on investment securities, net</w:t>
            </w: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Depreciation and amortization</w:t>
            </w:r>
          </w:p>
        </w:tc>
        <w:tc>
          <w:tcPr>
            <w:tcW w:w="30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12,240</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2,216</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Foreign currency remeasurement (gain) loss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(4,604)</w:t>
            </w: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Other</w:t>
            </w:r>
          </w:p>
        </w:tc>
        <w:tc>
          <w:tcPr>
            <w:tcW w:w="300" w:type="dxa"/>
            <w:vAlign w:val="bottom"/>
            <w:shd w:val="clear" w:color="auto" w:fill="CCECFF"/>
          </w:tcPr>
          <w:p>
            <w:pPr>
              <w:spacing w:after="0"/>
              <w:rPr>
                <w:sz w:val="17"/>
                <w:szCs w:val="17"/>
                <w:color w:val="auto"/>
              </w:rPr>
            </w:pP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(145)</w:t>
            </w: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8520" w:type="dxa"/>
            <w:vAlign w:val="bottom"/>
          </w:tcPr>
          <w:p>
            <w:pPr>
              <w:spacing w:after="0"/>
              <w:rPr>
                <w:sz w:val="20"/>
                <w:szCs w:val="20"/>
                <w:color w:val="auto"/>
              </w:rPr>
            </w:pPr>
            <w:r>
              <w:rPr>
                <w:rFonts w:ascii="Arial" w:cs="Arial" w:eastAsia="Arial" w:hAnsi="Arial"/>
                <w:sz w:val="15"/>
                <w:szCs w:val="15"/>
                <w:color w:val="auto"/>
              </w:rPr>
              <w:t>Changes in operating assets and liabilities: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00" w:type="dxa"/>
            <w:vAlign w:val="bottom"/>
            <w:shd w:val="clear" w:color="auto" w:fill="CCECFF"/>
          </w:tcPr>
          <w:p>
            <w:pPr>
              <w:spacing w:after="0"/>
              <w:rPr>
                <w:sz w:val="17"/>
                <w:szCs w:val="17"/>
                <w:color w:val="auto"/>
              </w:rPr>
            </w:pP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(22,382)</w:t>
            </w: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469</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Other assets</w:t>
            </w: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Accounts payable</w:t>
            </w:r>
          </w:p>
        </w:tc>
        <w:tc>
          <w:tcPr>
            <w:tcW w:w="30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1,376</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6,353</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Accrued liabilities and other liabilities</w:t>
            </w:r>
          </w:p>
        </w:tc>
        <w:tc>
          <w:tcPr>
            <w:tcW w:w="3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(7,039)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(5,725)</w:t>
            </w:r>
          </w:p>
        </w:tc>
        <w:tc>
          <w:tcPr>
            <w:tcW w:w="0" w:type="dxa"/>
            <w:vAlign w:val="bottom"/>
          </w:tcPr>
          <w:p>
            <w:pPr>
              <w:spacing w:after="0"/>
              <w:rPr>
                <w:sz w:val="1"/>
                <w:szCs w:val="1"/>
                <w:color w:val="auto"/>
              </w:rPr>
            </w:pPr>
          </w:p>
        </w:tc>
      </w:tr>
      <w:tr>
        <w:trPr>
          <w:trHeight w:val="20"/>
        </w:trPr>
        <w:tc>
          <w:tcPr>
            <w:tcW w:w="8520" w:type="dxa"/>
            <w:vAlign w:val="bottom"/>
            <w:vMerge w:val="restart"/>
            <w:shd w:val="clear" w:color="auto" w:fill="CCECFF"/>
          </w:tcPr>
          <w:p>
            <w:pPr>
              <w:ind w:left="620"/>
              <w:spacing w:after="0"/>
              <w:rPr>
                <w:sz w:val="20"/>
                <w:szCs w:val="20"/>
                <w:color w:val="auto"/>
              </w:rPr>
            </w:pPr>
            <w:r>
              <w:rPr>
                <w:rFonts w:ascii="Arial" w:cs="Arial" w:eastAsia="Arial" w:hAnsi="Arial"/>
                <w:sz w:val="15"/>
                <w:szCs w:val="15"/>
                <w:color w:val="auto"/>
              </w:rPr>
              <w:t>Net cash used in operating activities</w:t>
            </w: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20" w:type="dxa"/>
            <w:vAlign w:val="bottom"/>
            <w:vMerge w:val="continue"/>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(165,556)</w:t>
            </w: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(110,027)</w:t>
            </w:r>
          </w:p>
        </w:tc>
        <w:tc>
          <w:tcPr>
            <w:tcW w:w="0" w:type="dxa"/>
            <w:vAlign w:val="bottom"/>
          </w:tcPr>
          <w:p>
            <w:pPr>
              <w:spacing w:after="0"/>
              <w:rPr>
                <w:sz w:val="1"/>
                <w:szCs w:val="1"/>
                <w:color w:val="auto"/>
              </w:rPr>
            </w:pPr>
          </w:p>
        </w:tc>
      </w:tr>
      <w:tr>
        <w:trPr>
          <w:trHeight w:val="188"/>
        </w:trPr>
        <w:tc>
          <w:tcPr>
            <w:tcW w:w="8520" w:type="dxa"/>
            <w:vAlign w:val="bottom"/>
          </w:tcPr>
          <w:p>
            <w:pPr>
              <w:spacing w:after="0"/>
              <w:rPr>
                <w:sz w:val="20"/>
                <w:szCs w:val="20"/>
                <w:color w:val="auto"/>
              </w:rPr>
            </w:pPr>
            <w:r>
              <w:rPr>
                <w:rFonts w:ascii="Arial" w:cs="Arial" w:eastAsia="Arial" w:hAnsi="Arial"/>
                <w:sz w:val="15"/>
                <w:szCs w:val="15"/>
                <w:b w:val="1"/>
                <w:bCs w:val="1"/>
                <w:color w:val="auto"/>
              </w:rPr>
              <w:t>Investing activities:</w:t>
            </w: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Purchase of property and equipment</w:t>
            </w:r>
          </w:p>
        </w:tc>
        <w:tc>
          <w:tcPr>
            <w:tcW w:w="300" w:type="dxa"/>
            <w:vAlign w:val="bottom"/>
            <w:shd w:val="clear" w:color="auto" w:fill="CCECFF"/>
          </w:tcPr>
          <w:p>
            <w:pPr>
              <w:spacing w:after="0"/>
              <w:rPr>
                <w:sz w:val="17"/>
                <w:szCs w:val="17"/>
                <w:color w:val="auto"/>
              </w:rPr>
            </w:pP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(1,852)</w:t>
            </w: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(861)</w:t>
            </w: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Proceeds from sale of priority review vouchers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170,322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Purchase of investments</w:t>
            </w:r>
          </w:p>
        </w:tc>
        <w:tc>
          <w:tcPr>
            <w:tcW w:w="300" w:type="dxa"/>
            <w:vAlign w:val="bottom"/>
            <w:shd w:val="clear" w:color="auto" w:fill="CCECFF"/>
          </w:tcPr>
          <w:p>
            <w:pPr>
              <w:spacing w:after="0"/>
              <w:rPr>
                <w:sz w:val="17"/>
                <w:szCs w:val="17"/>
                <w:color w:val="auto"/>
              </w:rPr>
            </w:pPr>
          </w:p>
        </w:tc>
        <w:tc>
          <w:tcPr>
            <w:tcW w:w="112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(408,683)</w:t>
            </w: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(207,208)</w:t>
            </w: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Proceeds from the sale of investments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Proceeds from maturities of investments</w:t>
            </w:r>
          </w:p>
        </w:tc>
        <w:tc>
          <w:tcPr>
            <w:tcW w:w="30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112,162</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154,730</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520" w:type="dxa"/>
            <w:vAlign w:val="bottom"/>
          </w:tcPr>
          <w:p>
            <w:pPr>
              <w:ind w:left="620"/>
              <w:spacing w:after="0"/>
              <w:rPr>
                <w:sz w:val="20"/>
                <w:szCs w:val="20"/>
                <w:color w:val="auto"/>
              </w:rPr>
            </w:pPr>
            <w:r>
              <w:rPr>
                <w:rFonts w:ascii="Arial" w:cs="Arial" w:eastAsia="Arial" w:hAnsi="Arial"/>
                <w:sz w:val="15"/>
                <w:szCs w:val="15"/>
                <w:color w:val="auto"/>
              </w:rPr>
              <w:t>Net cash used in investing activities</w:t>
            </w:r>
          </w:p>
        </w:tc>
        <w:tc>
          <w:tcPr>
            <w:tcW w:w="3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(123,097)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(31,697)</w:t>
            </w:r>
          </w:p>
        </w:tc>
        <w:tc>
          <w:tcPr>
            <w:tcW w:w="0" w:type="dxa"/>
            <w:vAlign w:val="bottom"/>
          </w:tcPr>
          <w:p>
            <w:pPr>
              <w:spacing w:after="0"/>
              <w:rPr>
                <w:sz w:val="1"/>
                <w:szCs w:val="1"/>
                <w:color w:val="auto"/>
              </w:rPr>
            </w:pPr>
          </w:p>
        </w:tc>
      </w:tr>
      <w:tr>
        <w:trPr>
          <w:trHeight w:val="188"/>
        </w:trPr>
        <w:tc>
          <w:tcPr>
            <w:tcW w:w="85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5"/>
                <w:szCs w:val="15"/>
                <w:b w:val="1"/>
                <w:bCs w:val="1"/>
                <w:color w:val="auto"/>
              </w:rPr>
              <w:t>Financing activities:</w:t>
            </w:r>
          </w:p>
        </w:tc>
        <w:tc>
          <w:tcPr>
            <w:tcW w:w="300" w:type="dxa"/>
            <w:vAlign w:val="bottom"/>
            <w:tcBorders>
              <w:top w:val="single" w:sz="8" w:color="auto"/>
            </w:tcBorders>
            <w:shd w:val="clear" w:color="auto" w:fill="CCECFF"/>
          </w:tcPr>
          <w:p>
            <w:pPr>
              <w:spacing w:after="0"/>
              <w:rPr>
                <w:sz w:val="16"/>
                <w:szCs w:val="16"/>
                <w:color w:val="auto"/>
              </w:rPr>
            </w:pPr>
          </w:p>
        </w:tc>
        <w:tc>
          <w:tcPr>
            <w:tcW w:w="960" w:type="dxa"/>
            <w:vAlign w:val="bottom"/>
            <w:tcBorders>
              <w:top w:val="single" w:sz="8" w:color="auto"/>
            </w:tcBorders>
            <w:shd w:val="clear" w:color="auto" w:fill="CCECFF"/>
          </w:tcPr>
          <w:p>
            <w:pPr>
              <w:spacing w:after="0"/>
              <w:rPr>
                <w:sz w:val="16"/>
                <w:szCs w:val="16"/>
                <w:color w:val="auto"/>
              </w:rPr>
            </w:pPr>
          </w:p>
        </w:tc>
        <w:tc>
          <w:tcPr>
            <w:tcW w:w="160" w:type="dxa"/>
            <w:vAlign w:val="bottom"/>
            <w:tcBorders>
              <w:top w:val="single" w:sz="8" w:color="CCECFF"/>
            </w:tcBorders>
            <w:shd w:val="clear" w:color="auto" w:fill="CCECFF"/>
          </w:tcPr>
          <w:p>
            <w:pPr>
              <w:spacing w:after="0"/>
              <w:rPr>
                <w:sz w:val="16"/>
                <w:szCs w:val="16"/>
                <w:color w:val="auto"/>
              </w:rPr>
            </w:pPr>
          </w:p>
        </w:tc>
        <w:tc>
          <w:tcPr>
            <w:tcW w:w="120" w:type="dxa"/>
            <w:vAlign w:val="bottom"/>
            <w:tcBorders>
              <w:top w:val="single" w:sz="8" w:color="CCECFF"/>
            </w:tcBorders>
            <w:shd w:val="clear" w:color="auto" w:fill="CCECFF"/>
          </w:tcPr>
          <w:p>
            <w:pPr>
              <w:spacing w:after="0"/>
              <w:rPr>
                <w:sz w:val="16"/>
                <w:szCs w:val="16"/>
                <w:color w:val="auto"/>
              </w:rPr>
            </w:pPr>
          </w:p>
        </w:tc>
        <w:tc>
          <w:tcPr>
            <w:tcW w:w="280" w:type="dxa"/>
            <w:vAlign w:val="bottom"/>
            <w:tcBorders>
              <w:top w:val="single" w:sz="8" w:color="auto"/>
            </w:tcBorders>
            <w:shd w:val="clear" w:color="auto" w:fill="CCECFF"/>
          </w:tcPr>
          <w:p>
            <w:pPr>
              <w:spacing w:after="0"/>
              <w:rPr>
                <w:sz w:val="16"/>
                <w:szCs w:val="16"/>
                <w:color w:val="auto"/>
              </w:rPr>
            </w:pPr>
          </w:p>
        </w:tc>
        <w:tc>
          <w:tcPr>
            <w:tcW w:w="980" w:type="dxa"/>
            <w:vAlign w:val="bottom"/>
            <w:tcBorders>
              <w:top w:val="single" w:sz="8" w:color="auto"/>
            </w:tcBorders>
            <w:shd w:val="clear" w:color="auto" w:fill="CCECFF"/>
          </w:tcPr>
          <w:p>
            <w:pPr>
              <w:spacing w:after="0"/>
              <w:rPr>
                <w:sz w:val="16"/>
                <w:szCs w:val="16"/>
                <w:color w:val="auto"/>
              </w:rPr>
            </w:pPr>
          </w:p>
        </w:tc>
        <w:tc>
          <w:tcPr>
            <w:tcW w:w="120" w:type="dxa"/>
            <w:vAlign w:val="bottom"/>
            <w:tcBorders>
              <w:top w:val="single" w:sz="8" w:color="CCECFF"/>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20" w:type="dxa"/>
            <w:vAlign w:val="bottom"/>
          </w:tcPr>
          <w:p>
            <w:pPr>
              <w:ind w:left="200"/>
              <w:spacing w:after="0"/>
              <w:rPr>
                <w:sz w:val="20"/>
                <w:szCs w:val="20"/>
                <w:color w:val="auto"/>
              </w:rPr>
            </w:pPr>
            <w:r>
              <w:rPr>
                <w:rFonts w:ascii="Arial" w:cs="Arial" w:eastAsia="Arial" w:hAnsi="Arial"/>
                <w:sz w:val="15"/>
                <w:szCs w:val="15"/>
                <w:color w:val="auto"/>
              </w:rPr>
              <w:t>Proceeds from issuance of common stock in connection with a public offering, net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270,969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8520" w:type="dxa"/>
            <w:vAlign w:val="bottom"/>
            <w:shd w:val="clear" w:color="auto" w:fill="CCECFF"/>
          </w:tcPr>
          <w:p>
            <w:pPr>
              <w:ind w:left="200"/>
              <w:spacing w:after="0"/>
              <w:rPr>
                <w:sz w:val="20"/>
                <w:szCs w:val="20"/>
                <w:color w:val="auto"/>
              </w:rPr>
            </w:pPr>
            <w:r>
              <w:rPr>
                <w:rFonts w:ascii="Arial" w:cs="Arial" w:eastAsia="Arial" w:hAnsi="Arial"/>
                <w:sz w:val="15"/>
                <w:szCs w:val="15"/>
                <w:color w:val="auto"/>
              </w:rPr>
              <w:t>Proceeds from issuance of common stock in connection with at-the-market offering, net</w:t>
            </w:r>
          </w:p>
        </w:tc>
        <w:tc>
          <w:tcPr>
            <w:tcW w:w="30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11,789</w:t>
            </w:r>
          </w:p>
        </w:tc>
        <w:tc>
          <w:tcPr>
            <w:tcW w:w="1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67,616</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20" w:type="dxa"/>
            <w:vAlign w:val="bottom"/>
            <w:tcBorders>
              <w:bottom w:val="single" w:sz="8" w:color="CCECFF"/>
            </w:tcBorders>
          </w:tcPr>
          <w:p>
            <w:pPr>
              <w:ind w:left="200"/>
              <w:spacing w:after="0"/>
              <w:rPr>
                <w:sz w:val="20"/>
                <w:szCs w:val="20"/>
                <w:color w:val="auto"/>
              </w:rPr>
            </w:pPr>
            <w:r>
              <w:rPr>
                <w:rFonts w:ascii="Arial" w:cs="Arial" w:eastAsia="Arial" w:hAnsi="Arial"/>
                <w:sz w:val="15"/>
                <w:szCs w:val="15"/>
                <w:color w:val="auto"/>
              </w:rPr>
              <w:t>Proceeds from issuance of common stock from equity awards, net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16,829</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2,879</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520" w:type="dxa"/>
            <w:vAlign w:val="bottom"/>
            <w:shd w:val="clear" w:color="auto" w:fill="CCECFF"/>
          </w:tcPr>
          <w:p>
            <w:pPr>
              <w:ind w:left="620"/>
              <w:spacing w:after="0"/>
              <w:rPr>
                <w:sz w:val="20"/>
                <w:szCs w:val="20"/>
                <w:color w:val="auto"/>
              </w:rPr>
            </w:pPr>
            <w:r>
              <w:rPr>
                <w:rFonts w:ascii="Arial" w:cs="Arial" w:eastAsia="Arial" w:hAnsi="Arial"/>
                <w:sz w:val="15"/>
                <w:szCs w:val="15"/>
                <w:color w:val="auto"/>
              </w:rPr>
              <w:t>Net cash provided by financing activities</w:t>
            </w:r>
          </w:p>
        </w:tc>
        <w:tc>
          <w:tcPr>
            <w:tcW w:w="300" w:type="dxa"/>
            <w:vAlign w:val="bottom"/>
            <w:tcBorders>
              <w:bottom w:val="single" w:sz="8" w:color="auto"/>
            </w:tcBorders>
            <w:shd w:val="clear" w:color="auto" w:fill="CCECFF"/>
          </w:tcPr>
          <w:p>
            <w:pPr>
              <w:spacing w:after="0"/>
              <w:rPr>
                <w:sz w:val="16"/>
                <w:szCs w:val="16"/>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299,587</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80" w:type="dxa"/>
            <w:vAlign w:val="bottom"/>
            <w:tcBorders>
              <w:bottom w:val="single" w:sz="8" w:color="auto"/>
            </w:tcBorders>
            <w:shd w:val="clear" w:color="auto" w:fill="CCECFF"/>
          </w:tcPr>
          <w:p>
            <w:pPr>
              <w:spacing w:after="0"/>
              <w:rPr>
                <w:sz w:val="16"/>
                <w:szCs w:val="16"/>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70,495</w:t>
            </w:r>
          </w:p>
        </w:tc>
        <w:tc>
          <w:tcPr>
            <w:tcW w:w="1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2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30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(647)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20"/>
        </w:trPr>
        <w:tc>
          <w:tcPr>
            <w:tcW w:w="8520" w:type="dxa"/>
            <w:vAlign w:val="bottom"/>
            <w:vMerge w:val="restart"/>
            <w:shd w:val="clear" w:color="auto" w:fill="CCECFF"/>
          </w:tcPr>
          <w:p>
            <w:pPr>
              <w:spacing w:after="0"/>
              <w:rPr>
                <w:sz w:val="20"/>
                <w:szCs w:val="20"/>
                <w:color w:val="auto"/>
              </w:rPr>
            </w:pPr>
            <w:r>
              <w:rPr>
                <w:rFonts w:ascii="Arial" w:cs="Arial" w:eastAsia="Arial" w:hAnsi="Arial"/>
                <w:sz w:val="15"/>
                <w:szCs w:val="15"/>
                <w:color w:val="auto"/>
              </w:rPr>
              <w:t>Net increase (decrease) in cash, cash equivalents and restricted cash</w:t>
            </w: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20" w:type="dxa"/>
            <w:vAlign w:val="bottom"/>
            <w:vMerge w:val="continue"/>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10,287</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10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(71,590)</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CFF"/>
            </w:tcBorders>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103,041</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164,607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520" w:type="dxa"/>
            <w:vAlign w:val="bottom"/>
            <w:shd w:val="clear" w:color="auto" w:fill="CCECFF"/>
          </w:tcPr>
          <w:p>
            <w:pPr>
              <w:spacing w:after="0"/>
              <w:rPr>
                <w:sz w:val="20"/>
                <w:szCs w:val="20"/>
                <w:color w:val="auto"/>
              </w:rPr>
            </w:pPr>
            <w:r>
              <w:rPr>
                <w:rFonts w:ascii="Arial" w:cs="Arial" w:eastAsia="Arial" w:hAnsi="Arial"/>
                <w:sz w:val="15"/>
                <w:szCs w:val="15"/>
                <w:color w:val="auto"/>
              </w:rPr>
              <w:t>Cash, cash equivalents and restricted cash at end of period</w:t>
            </w:r>
          </w:p>
        </w:tc>
        <w:tc>
          <w:tcPr>
            <w:tcW w:w="300" w:type="dxa"/>
            <w:vAlign w:val="bottom"/>
            <w:shd w:val="clear" w:color="auto" w:fill="CCEC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113,328</w:t>
            </w:r>
          </w:p>
        </w:tc>
        <w:tc>
          <w:tcPr>
            <w:tcW w:w="160" w:type="dxa"/>
            <w:vAlign w:val="bottom"/>
            <w:shd w:val="clear" w:color="auto" w:fill="CCECFF"/>
          </w:tcPr>
          <w:p>
            <w:pPr>
              <w:spacing w:after="0"/>
              <w:rPr>
                <w:sz w:val="16"/>
                <w:szCs w:val="16"/>
                <w:color w:val="auto"/>
              </w:rPr>
            </w:pPr>
          </w:p>
        </w:tc>
        <w:tc>
          <w:tcPr>
            <w:tcW w:w="400" w:type="dxa"/>
            <w:vAlign w:val="bottom"/>
            <w:gridSpan w:val="2"/>
            <w:shd w:val="clear" w:color="auto" w:fill="CCEC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93,017</w:t>
            </w:r>
          </w:p>
        </w:tc>
        <w:tc>
          <w:tcPr>
            <w:tcW w:w="1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2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 w:name="page8"/>
    <w:bookmarkEnd w:id="7"/>
    <w:p>
      <w:pPr>
        <w:jc w:val="center"/>
        <w:ind w:right="-27"/>
        <w:spacing w:after="0"/>
        <w:rPr>
          <w:sz w:val="20"/>
          <w:szCs w:val="20"/>
          <w:color w:val="auto"/>
        </w:rPr>
      </w:pPr>
      <w:r>
        <w:rPr>
          <w:rFonts w:ascii="Arial" w:cs="Arial" w:eastAsia="Arial" w:hAnsi="Arial"/>
          <w:sz w:val="15"/>
          <w:szCs w:val="15"/>
          <w:b w:val="1"/>
          <w:bCs w:val="1"/>
          <w:color w:val="auto"/>
        </w:rPr>
        <w:t>ULTRAGENYX PHARMACEUTICAL INC.</w:t>
      </w:r>
    </w:p>
    <w:p>
      <w:pPr>
        <w:spacing w:after="0" w:line="70"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85" w:lineRule="exact"/>
        <w:rPr>
          <w:sz w:val="20"/>
          <w:szCs w:val="20"/>
          <w:color w:val="auto"/>
        </w:rPr>
      </w:pPr>
    </w:p>
    <w:p>
      <w:pPr>
        <w:ind w:left="528" w:hanging="528"/>
        <w:spacing w:after="0"/>
        <w:tabs>
          <w:tab w:leader="none" w:pos="528"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w:t>
      </w:r>
    </w:p>
    <w:p>
      <w:pPr>
        <w:spacing w:after="0" w:line="85" w:lineRule="exact"/>
        <w:rPr>
          <w:sz w:val="20"/>
          <w:szCs w:val="20"/>
          <w:color w:val="auto"/>
        </w:rPr>
      </w:pPr>
    </w:p>
    <w:p>
      <w:pPr>
        <w:ind w:left="8" w:right="860" w:firstLine="520"/>
        <w:spacing w:after="0" w:line="288" w:lineRule="auto"/>
        <w:rPr>
          <w:sz w:val="20"/>
          <w:szCs w:val="20"/>
          <w:color w:val="auto"/>
        </w:rPr>
      </w:pPr>
      <w:r>
        <w:rPr>
          <w:rFonts w:ascii="Arial" w:cs="Arial" w:eastAsia="Arial" w:hAnsi="Arial"/>
          <w:sz w:val="15"/>
          <w:szCs w:val="15"/>
          <w:color w:val="auto"/>
        </w:rPr>
        <w:t>Ultragenyx Pharmaceutical Inc. (the Company) is a biopharmaceutical company and was incorporated in California on April 22, 2010. The Company subsequently reincorporated in the state of Delaware in June 2011.</w:t>
      </w:r>
    </w:p>
    <w:p>
      <w:pPr>
        <w:spacing w:after="0" w:line="13" w:lineRule="exact"/>
        <w:rPr>
          <w:sz w:val="20"/>
          <w:szCs w:val="20"/>
          <w:color w:val="auto"/>
        </w:rPr>
      </w:pPr>
    </w:p>
    <w:p>
      <w:pPr>
        <w:ind w:left="8" w:right="20" w:firstLine="520"/>
        <w:spacing w:after="0" w:line="286" w:lineRule="auto"/>
        <w:rPr>
          <w:sz w:val="20"/>
          <w:szCs w:val="20"/>
          <w:color w:val="auto"/>
        </w:rPr>
      </w:pPr>
      <w:r>
        <w:rPr>
          <w:rFonts w:ascii="Arial" w:cs="Arial" w:eastAsia="Arial" w:hAnsi="Arial"/>
          <w:sz w:val="14"/>
          <w:szCs w:val="14"/>
          <w:color w:val="auto"/>
        </w:rPr>
        <w:t>The Company is focused on the identification, acquisition, development, and commercialization of novel products for the treatment of rare and ultra-rare diseases, with a focus on serious, debilitating genetic diseases. The Company has two approved therapies. Crysvita</w:t>
      </w:r>
      <w:r>
        <w:rPr>
          <w:rFonts w:ascii="Arial" w:cs="Arial" w:eastAsia="Arial" w:hAnsi="Arial"/>
          <w:sz w:val="16"/>
          <w:szCs w:val="16"/>
          <w:b w:val="1"/>
          <w:bCs w:val="1"/>
          <w:color w:val="auto"/>
        </w:rPr>
        <w:t>®</w:t>
      </w:r>
      <w:r>
        <w:rPr>
          <w:rFonts w:ascii="Arial" w:cs="Arial" w:eastAsia="Arial" w:hAnsi="Arial"/>
          <w:sz w:val="14"/>
          <w:szCs w:val="14"/>
          <w:color w:val="auto"/>
        </w:rPr>
        <w:t xml:space="preserve"> (burosumab) is approved by the U.S. Food and Drug Administration (FDA) for the treatment of X-linked hypophosphatemia (XLH) in adult and pediatric patients one year of age and older, and has received European conditional marketing authorization for the treatment of XLH with radiographic evidence of bone disease in children 1 year of age and older and adolescents with growing skeletons. The Company has also received FDA approval for Mepsevii™ (vestronidase alfa), the first medicine approved for the treatment of children and adults with MPS VII, also known as Sly syndrome.</w:t>
      </w:r>
    </w:p>
    <w:p>
      <w:pPr>
        <w:spacing w:after="0" w:line="17" w:lineRule="exact"/>
        <w:rPr>
          <w:sz w:val="20"/>
          <w:szCs w:val="20"/>
          <w:color w:val="auto"/>
        </w:rPr>
      </w:pPr>
    </w:p>
    <w:p>
      <w:pPr>
        <w:ind w:left="8" w:right="20" w:firstLine="520"/>
        <w:spacing w:after="0" w:line="283" w:lineRule="auto"/>
        <w:rPr>
          <w:sz w:val="20"/>
          <w:szCs w:val="20"/>
          <w:color w:val="auto"/>
        </w:rPr>
      </w:pPr>
      <w:r>
        <w:rPr>
          <w:rFonts w:ascii="Arial" w:cs="Arial" w:eastAsia="Arial" w:hAnsi="Arial"/>
          <w:sz w:val="14"/>
          <w:szCs w:val="14"/>
          <w:color w:val="auto"/>
        </w:rPr>
        <w:t>In addition to the approved treatments for XLH and MPS VII, the Company has six ongoing clinical development programs. Crysvita is being studied for the treatment of tumor induced osteomalacia (TIO), a rare disease that impairs bone mineralization. UX007 is being studied in patients with glucose transporter type-1 deficiency syndrome (Glut1 DS), a brain energy deficiency, who are experiencing movement disorders; it is also being studied in patients severely affected by long-chain fatty acid oxidation disorders (LC-FAOD), a genetic disorder in which the body is unable to convert long chain fatty acids into energy. The company has three gene therapy pipeline candidates: DTX 301 is an adeno-associated virus 8 (AAV8) gene therapy product candidate in development for the treatment of patients with ornithine transcarbamylase (OTC) deficiency, the most common urea cycle disorder; DTX 401 is an AAV8 gene therapy product candidate for the treatment of patients with glycogen storage disease type Ia (GSDIa); and DTX201 is an FVIII gene therapy clinical candidate for the treatment of hemophilia A. The Company operates as one reportable segment.</w:t>
      </w:r>
    </w:p>
    <w:p>
      <w:pPr>
        <w:spacing w:after="0" w:line="32" w:lineRule="exact"/>
        <w:rPr>
          <w:sz w:val="20"/>
          <w:szCs w:val="20"/>
          <w:color w:val="auto"/>
        </w:rPr>
      </w:pPr>
    </w:p>
    <w:p>
      <w:pPr>
        <w:ind w:left="8" w:firstLine="520"/>
        <w:spacing w:after="0" w:line="300" w:lineRule="auto"/>
        <w:rPr>
          <w:sz w:val="20"/>
          <w:szCs w:val="20"/>
          <w:color w:val="auto"/>
        </w:rPr>
      </w:pPr>
      <w:r>
        <w:rPr>
          <w:rFonts w:ascii="Arial" w:cs="Arial" w:eastAsia="Arial" w:hAnsi="Arial"/>
          <w:sz w:val="14"/>
          <w:szCs w:val="14"/>
          <w:color w:val="auto"/>
        </w:rPr>
        <w:t>The Company has sustained operating losses and expects such annual losses to continue over the next several years. The Company’s ultimate success depends on the outcome of its research and development activities. Management expects to incur additional losses in the future to conduct product research and development and recognizes the need to raise additional capital to fully implement its business plan. Through June 30, 2018, the Company has relied primarily on the proceeds from equity offerings to finance its operations.</w:t>
      </w:r>
    </w:p>
    <w:p>
      <w:pPr>
        <w:spacing w:after="0" w:line="8" w:lineRule="exact"/>
        <w:rPr>
          <w:sz w:val="20"/>
          <w:szCs w:val="20"/>
          <w:color w:val="auto"/>
        </w:rPr>
      </w:pPr>
    </w:p>
    <w:p>
      <w:pPr>
        <w:ind w:left="8" w:right="340" w:firstLine="520"/>
        <w:spacing w:after="0" w:line="288" w:lineRule="auto"/>
        <w:rPr>
          <w:sz w:val="20"/>
          <w:szCs w:val="20"/>
          <w:color w:val="auto"/>
        </w:rPr>
      </w:pPr>
      <w:r>
        <w:rPr>
          <w:rFonts w:ascii="Arial" w:cs="Arial" w:eastAsia="Arial" w:hAnsi="Arial"/>
          <w:sz w:val="15"/>
          <w:szCs w:val="15"/>
          <w:color w:val="auto"/>
        </w:rPr>
        <w:t>The Company intends to raise additional capital through the issuance of equity, borrowings, or strategic alliances with partner companies. However, if such financing is not available at adequate levels, the Company will need to reevaluate its operating plans.</w:t>
      </w:r>
    </w:p>
    <w:p>
      <w:pPr>
        <w:spacing w:after="0" w:line="182" w:lineRule="exact"/>
        <w:rPr>
          <w:sz w:val="20"/>
          <w:szCs w:val="20"/>
          <w:color w:val="auto"/>
        </w:rPr>
      </w:pPr>
    </w:p>
    <w:p>
      <w:pPr>
        <w:ind w:left="8" w:right="8000" w:hanging="8"/>
        <w:spacing w:after="0" w:line="347" w:lineRule="auto"/>
        <w:tabs>
          <w:tab w:leader="none" w:pos="52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spacing w:after="0" w:line="1" w:lineRule="exact"/>
        <w:rPr>
          <w:sz w:val="20"/>
          <w:szCs w:val="20"/>
          <w:color w:val="auto"/>
        </w:rPr>
      </w:pPr>
    </w:p>
    <w:p>
      <w:pPr>
        <w:ind w:left="8" w:firstLine="520"/>
        <w:spacing w:after="0" w:line="262" w:lineRule="auto"/>
        <w:rPr>
          <w:sz w:val="20"/>
          <w:szCs w:val="20"/>
          <w:color w:val="auto"/>
        </w:rPr>
      </w:pPr>
      <w:r>
        <w:rPr>
          <w:rFonts w:ascii="Arial" w:cs="Arial" w:eastAsia="Arial" w:hAnsi="Arial"/>
          <w:sz w:val="15"/>
          <w:szCs w:val="15"/>
          <w:color w:val="auto"/>
        </w:rPr>
        <w:t>The accompanying unaudited condensed consolidated financial statements include the amounts of the Company and our wholly-owned subsidiaries and have been prepared in accordance with U.S. generally accepted accounting principles (GAAP) for interim financial information and in accordance with the instructions to Form 10-Q and Rule 10-01 of Regulation S-X. Accordingly, they do not include all of the information and footnotes required by GAAP for complete financial statements. The unaudited interim consolidated financial statements have been prepared on the same basis as the annual financial statements. In the opinion of management, the accompanying unaudited condensed consolidated financial statements reflect all adjustments (consisting only of normal recurring adjustments) considered necessary for a fair presentation. These financial statements should be read in conjunction with the audited financial statements and notes thereto for the preceding fiscal year contained in the Company’s Annual Report on Form 10-K filed on February 21, 2018 with the United States Securities and Exchange Commission (SEC).</w:t>
      </w:r>
    </w:p>
    <w:p>
      <w:pPr>
        <w:spacing w:after="0" w:line="32" w:lineRule="exact"/>
        <w:rPr>
          <w:sz w:val="20"/>
          <w:szCs w:val="20"/>
          <w:color w:val="auto"/>
        </w:rPr>
      </w:pPr>
    </w:p>
    <w:p>
      <w:pPr>
        <w:ind w:left="8" w:right="120" w:firstLine="520"/>
        <w:spacing w:after="0" w:line="272" w:lineRule="auto"/>
        <w:rPr>
          <w:sz w:val="20"/>
          <w:szCs w:val="20"/>
          <w:color w:val="auto"/>
        </w:rPr>
      </w:pPr>
      <w:r>
        <w:rPr>
          <w:rFonts w:ascii="Arial" w:cs="Arial" w:eastAsia="Arial" w:hAnsi="Arial"/>
          <w:sz w:val="15"/>
          <w:szCs w:val="15"/>
          <w:color w:val="auto"/>
        </w:rPr>
        <w:t>The results of operations for the three and six months ended June 30, 2018 are not necessarily indicative of the results to be expected for the year ending December 31, 2018. The condensed consolidated balance sheet as of December 31, 2017 has been derived from audited financial statements at that date, but does not include all of the information required by GAAP for complete financial statements.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Use of Estimates</w:t>
      </w:r>
    </w:p>
    <w:p>
      <w:pPr>
        <w:spacing w:after="0" w:line="85" w:lineRule="exact"/>
        <w:rPr>
          <w:sz w:val="20"/>
          <w:szCs w:val="20"/>
          <w:color w:val="auto"/>
        </w:rPr>
      </w:pPr>
    </w:p>
    <w:p>
      <w:pPr>
        <w:ind w:left="8" w:right="40" w:firstLine="520"/>
        <w:spacing w:after="0" w:line="287" w:lineRule="auto"/>
        <w:rPr>
          <w:sz w:val="20"/>
          <w:szCs w:val="20"/>
          <w:color w:val="auto"/>
        </w:rPr>
      </w:pPr>
      <w:r>
        <w:rPr>
          <w:rFonts w:ascii="Arial" w:cs="Arial" w:eastAsia="Arial" w:hAnsi="Arial"/>
          <w:sz w:val="14"/>
          <w:szCs w:val="14"/>
          <w:color w:val="auto"/>
        </w:rPr>
        <w:t>The accompanying consolidated financial statements have been prepared in accordance with GAAP. The preparation of the consolidated financial statements in conformity with GAAP requires management to make estimates and assumptions that affect the reported amounts of assets and liabilities, disclosure of contingent liabilities and the reported amounts of expenses in the consolidated financial statements and the accompanying notes. On an ongoing basis, management evaluates its estimates, including those related to sales return reserves,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200" w:lineRule="exact"/>
        <w:rPr>
          <w:sz w:val="20"/>
          <w:szCs w:val="20"/>
          <w:color w:val="auto"/>
        </w:rPr>
      </w:pPr>
    </w:p>
    <w:p>
      <w:pPr>
        <w:spacing w:after="0" w:line="3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63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8"/>
          </w:cols>
          <w:pgMar w:left="232" w:top="125" w:right="25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Cash, Cash Equivalents and Restricted Cash</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Restricted cash primarily consists of money market accounts as collateral for the Company’s obligations under its facility leases.</w:t>
      </w:r>
    </w:p>
    <w:p>
      <w:pPr>
        <w:spacing w:after="0" w:line="70" w:lineRule="exact"/>
        <w:rPr>
          <w:sz w:val="20"/>
          <w:szCs w:val="20"/>
          <w:color w:val="auto"/>
        </w:rPr>
      </w:pPr>
    </w:p>
    <w:p>
      <w:pPr>
        <w:ind w:firstLine="520"/>
        <w:spacing w:after="0" w:line="263" w:lineRule="auto"/>
        <w:rPr>
          <w:sz w:val="20"/>
          <w:szCs w:val="20"/>
          <w:color w:val="auto"/>
        </w:rPr>
      </w:pPr>
      <w:r>
        <w:rPr>
          <w:rFonts w:ascii="Arial" w:cs="Arial" w:eastAsia="Arial" w:hAnsi="Arial"/>
          <w:sz w:val="15"/>
          <w:szCs w:val="15"/>
          <w:color w:val="auto"/>
        </w:rPr>
        <w:t xml:space="preserve">In November 2016, the Financial Accounting Standards Board (FASB) issued Accounting Standards Update (ASU) 2016-18, </w:t>
      </w:r>
      <w:r>
        <w:rPr>
          <w:rFonts w:ascii="Arial" w:cs="Arial" w:eastAsia="Arial" w:hAnsi="Arial"/>
          <w:sz w:val="15"/>
          <w:szCs w:val="15"/>
          <w:i w:val="1"/>
          <w:iCs w:val="1"/>
          <w:color w:val="auto"/>
        </w:rPr>
        <w:t>Statement of Cash Flows (Topic 230): Restricted</w:t>
      </w:r>
      <w:r>
        <w:rPr>
          <w:rFonts w:ascii="Arial" w:cs="Arial" w:eastAsia="Arial" w:hAnsi="Arial"/>
          <w:sz w:val="15"/>
          <w:szCs w:val="15"/>
          <w:color w:val="auto"/>
        </w:rPr>
        <w:t xml:space="preserve"> </w:t>
      </w:r>
      <w:r>
        <w:rPr>
          <w:rFonts w:ascii="Arial" w:cs="Arial" w:eastAsia="Arial" w:hAnsi="Arial"/>
          <w:sz w:val="15"/>
          <w:szCs w:val="15"/>
          <w:i w:val="1"/>
          <w:iCs w:val="1"/>
          <w:color w:val="auto"/>
        </w:rPr>
        <w:t>Cash</w:t>
      </w:r>
      <w:r>
        <w:rPr>
          <w:rFonts w:ascii="Arial" w:cs="Arial" w:eastAsia="Arial" w:hAnsi="Arial"/>
          <w:sz w:val="15"/>
          <w:szCs w:val="15"/>
          <w:color w:val="auto"/>
        </w:rPr>
        <w:t>, which requires restricted cash to be presented with cash and cash equivalents on the statement of cash flows and disclosure of how the statement of cash flows reconciles to the</w:t>
      </w:r>
      <w:r>
        <w:rPr>
          <w:rFonts w:ascii="Arial" w:cs="Arial" w:eastAsia="Arial" w:hAnsi="Arial"/>
          <w:sz w:val="15"/>
          <w:szCs w:val="15"/>
          <w:i w:val="1"/>
          <w:iCs w:val="1"/>
          <w:color w:val="auto"/>
        </w:rPr>
        <w:t xml:space="preserve"> </w:t>
      </w:r>
      <w:r>
        <w:rPr>
          <w:rFonts w:ascii="Arial" w:cs="Arial" w:eastAsia="Arial" w:hAnsi="Arial"/>
          <w:sz w:val="15"/>
          <w:szCs w:val="15"/>
          <w:color w:val="auto"/>
        </w:rPr>
        <w:t>balance sheet if restricted cash is shown separately from cash and cash equivalents on the balance sheet. The Company adopted the standard as of January 1, 2018 on a retrospective basis, wherein the statement of cash flow of each period presented was adjusted to reflect the effects of applying the new guidance. The following table provides a reconciliation of cash, cash equivalents, and restricted cash reported within the consolidated balance sheets that sum to the total of the same such amounts shown in the consolidated statement of cash flows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0"/>
        </w:trPr>
        <w:tc>
          <w:tcPr>
            <w:tcW w:w="4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June 30,</w:t>
            </w:r>
          </w:p>
        </w:tc>
      </w:tr>
      <w:tr>
        <w:trPr>
          <w:trHeight w:val="183"/>
        </w:trPr>
        <w:tc>
          <w:tcPr>
            <w:tcW w:w="4540" w:type="dxa"/>
            <w:vAlign w:val="bottom"/>
            <w:tcBorders>
              <w:bottom w:val="single" w:sz="8" w:color="CCECFF"/>
            </w:tcBorders>
          </w:tcPr>
          <w:p>
            <w:pPr>
              <w:spacing w:after="0"/>
              <w:rPr>
                <w:sz w:val="15"/>
                <w:szCs w:val="15"/>
                <w:color w:val="auto"/>
              </w:rPr>
            </w:pPr>
          </w:p>
        </w:tc>
        <w:tc>
          <w:tcPr>
            <w:tcW w:w="1160" w:type="dxa"/>
            <w:vAlign w:val="bottom"/>
            <w:tcBorders>
              <w:bottom w:val="single" w:sz="8" w:color="CCECFF"/>
            </w:tcBorders>
          </w:tcPr>
          <w:p>
            <w:pPr>
              <w:spacing w:after="0"/>
              <w:rPr>
                <w:sz w:val="15"/>
                <w:szCs w:val="15"/>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2018</w:t>
            </w: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CECFF"/>
            </w:tcBorders>
          </w:tcPr>
          <w:p>
            <w:pPr>
              <w:spacing w:after="0"/>
              <w:rPr>
                <w:sz w:val="15"/>
                <w:szCs w:val="15"/>
                <w:color w:val="auto"/>
              </w:rPr>
            </w:pPr>
          </w:p>
        </w:tc>
      </w:tr>
      <w:tr>
        <w:trPr>
          <w:trHeight w:val="188"/>
        </w:trPr>
        <w:tc>
          <w:tcPr>
            <w:tcW w:w="4540" w:type="dxa"/>
            <w:vAlign w:val="bottom"/>
            <w:shd w:val="clear" w:color="auto" w:fill="CCECFF"/>
          </w:tcPr>
          <w:p>
            <w:pPr>
              <w:spacing w:after="0"/>
              <w:rPr>
                <w:sz w:val="20"/>
                <w:szCs w:val="20"/>
                <w:color w:val="auto"/>
              </w:rPr>
            </w:pPr>
            <w:r>
              <w:rPr>
                <w:rFonts w:ascii="Arial" w:cs="Arial" w:eastAsia="Arial" w:hAnsi="Arial"/>
                <w:sz w:val="15"/>
                <w:szCs w:val="15"/>
                <w:color w:val="auto"/>
              </w:rPr>
              <w:t>Cash and cash equivalents</w:t>
            </w:r>
          </w:p>
        </w:tc>
        <w:tc>
          <w:tcPr>
            <w:tcW w:w="2180" w:type="dxa"/>
            <w:vAlign w:val="bottom"/>
            <w:gridSpan w:val="2"/>
            <w:shd w:val="clear" w:color="auto" w:fill="CCECFF"/>
          </w:tcPr>
          <w:p>
            <w:pPr>
              <w:jc w:val="right"/>
              <w:ind w:right="879"/>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5"/>
                <w:szCs w:val="15"/>
                <w:color w:val="auto"/>
                <w:w w:val="95"/>
              </w:rPr>
              <w:t>110,854</w:t>
            </w:r>
          </w:p>
        </w:tc>
        <w:tc>
          <w:tcPr>
            <w:tcW w:w="220" w:type="dxa"/>
            <w:vAlign w:val="bottom"/>
            <w:shd w:val="clear" w:color="auto" w:fill="CCECFF"/>
          </w:tcPr>
          <w:p>
            <w:pPr>
              <w:spacing w:after="0"/>
              <w:rPr>
                <w:sz w:val="16"/>
                <w:szCs w:val="16"/>
                <w:color w:val="auto"/>
              </w:rPr>
            </w:pPr>
          </w:p>
        </w:tc>
        <w:tc>
          <w:tcPr>
            <w:tcW w:w="320" w:type="dxa"/>
            <w:vAlign w:val="bottom"/>
            <w:shd w:val="clear" w:color="auto" w:fill="CCECFF"/>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90,751</w:t>
            </w:r>
          </w:p>
        </w:tc>
        <w:tc>
          <w:tcPr>
            <w:tcW w:w="80" w:type="dxa"/>
            <w:vAlign w:val="bottom"/>
            <w:shd w:val="clear" w:color="auto" w:fill="CCECFF"/>
          </w:tcPr>
          <w:p>
            <w:pPr>
              <w:spacing w:after="0"/>
              <w:rPr>
                <w:sz w:val="16"/>
                <w:szCs w:val="16"/>
                <w:color w:val="auto"/>
              </w:rPr>
            </w:pPr>
          </w:p>
        </w:tc>
      </w:tr>
      <w:tr>
        <w:trPr>
          <w:trHeight w:val="186"/>
        </w:trPr>
        <w:tc>
          <w:tcPr>
            <w:tcW w:w="4540" w:type="dxa"/>
            <w:vAlign w:val="bottom"/>
          </w:tcPr>
          <w:p>
            <w:pPr>
              <w:spacing w:after="0"/>
              <w:rPr>
                <w:sz w:val="20"/>
                <w:szCs w:val="20"/>
                <w:color w:val="auto"/>
              </w:rPr>
            </w:pPr>
            <w:r>
              <w:rPr>
                <w:rFonts w:ascii="Arial" w:cs="Arial" w:eastAsia="Arial" w:hAnsi="Arial"/>
                <w:sz w:val="15"/>
                <w:szCs w:val="15"/>
                <w:color w:val="auto"/>
              </w:rPr>
              <w:t>Restricted cash included in prepaid expenses and other</w:t>
            </w: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540" w:type="dxa"/>
            <w:vAlign w:val="bottom"/>
          </w:tcPr>
          <w:p>
            <w:pPr>
              <w:ind w:left="160"/>
              <w:spacing w:after="0"/>
              <w:rPr>
                <w:sz w:val="20"/>
                <w:szCs w:val="20"/>
                <w:color w:val="auto"/>
              </w:rPr>
            </w:pPr>
            <w:r>
              <w:rPr>
                <w:rFonts w:ascii="Arial" w:cs="Arial" w:eastAsia="Arial" w:hAnsi="Arial"/>
                <w:sz w:val="15"/>
                <w:szCs w:val="15"/>
                <w:color w:val="auto"/>
              </w:rPr>
              <w:t>current assets</w:t>
            </w: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652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461</w:t>
            </w:r>
          </w:p>
        </w:tc>
        <w:tc>
          <w:tcPr>
            <w:tcW w:w="80" w:type="dxa"/>
            <w:vAlign w:val="bottom"/>
          </w:tcPr>
          <w:p>
            <w:pPr>
              <w:spacing w:after="0"/>
              <w:rPr>
                <w:sz w:val="16"/>
                <w:szCs w:val="16"/>
                <w:color w:val="auto"/>
              </w:rPr>
            </w:pPr>
          </w:p>
        </w:tc>
      </w:tr>
      <w:tr>
        <w:trPr>
          <w:trHeight w:val="196"/>
        </w:trPr>
        <w:tc>
          <w:tcPr>
            <w:tcW w:w="4540" w:type="dxa"/>
            <w:vAlign w:val="bottom"/>
            <w:shd w:val="clear" w:color="auto" w:fill="CCECFF"/>
          </w:tcPr>
          <w:p>
            <w:pPr>
              <w:spacing w:after="0"/>
              <w:rPr>
                <w:sz w:val="20"/>
                <w:szCs w:val="20"/>
                <w:color w:val="auto"/>
              </w:rPr>
            </w:pPr>
            <w:r>
              <w:rPr>
                <w:rFonts w:ascii="Arial" w:cs="Arial" w:eastAsia="Arial" w:hAnsi="Arial"/>
                <w:sz w:val="15"/>
                <w:szCs w:val="15"/>
                <w:color w:val="auto"/>
              </w:rPr>
              <w:t>Restricted cash included in other assets</w:t>
            </w:r>
          </w:p>
        </w:tc>
        <w:tc>
          <w:tcPr>
            <w:tcW w:w="1160" w:type="dxa"/>
            <w:vAlign w:val="bottom"/>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spacing w:after="0"/>
              <w:rPr>
                <w:sz w:val="17"/>
                <w:szCs w:val="17"/>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1,822</w:t>
            </w:r>
          </w:p>
        </w:tc>
        <w:tc>
          <w:tcPr>
            <w:tcW w:w="220" w:type="dxa"/>
            <w:vAlign w:val="bottom"/>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spacing w:after="0"/>
              <w:rPr>
                <w:sz w:val="17"/>
                <w:szCs w:val="17"/>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1,805</w:t>
            </w:r>
          </w:p>
        </w:tc>
        <w:tc>
          <w:tcPr>
            <w:tcW w:w="80" w:type="dxa"/>
            <w:vAlign w:val="bottom"/>
            <w:shd w:val="clear" w:color="auto" w:fill="CCECFF"/>
          </w:tcPr>
          <w:p>
            <w:pPr>
              <w:spacing w:after="0"/>
              <w:rPr>
                <w:sz w:val="17"/>
                <w:szCs w:val="17"/>
                <w:color w:val="auto"/>
              </w:rPr>
            </w:pPr>
          </w:p>
        </w:tc>
      </w:tr>
      <w:tr>
        <w:trPr>
          <w:trHeight w:val="177"/>
        </w:trPr>
        <w:tc>
          <w:tcPr>
            <w:tcW w:w="4540" w:type="dxa"/>
            <w:vAlign w:val="bottom"/>
          </w:tcPr>
          <w:p>
            <w:pPr>
              <w:spacing w:after="0"/>
              <w:rPr>
                <w:sz w:val="20"/>
                <w:szCs w:val="20"/>
                <w:color w:val="auto"/>
              </w:rPr>
            </w:pPr>
            <w:r>
              <w:rPr>
                <w:rFonts w:ascii="Arial" w:cs="Arial" w:eastAsia="Arial" w:hAnsi="Arial"/>
                <w:sz w:val="15"/>
                <w:szCs w:val="15"/>
                <w:color w:val="auto"/>
              </w:rPr>
              <w:t>Total cash, cash equivalents, and restricted cash</w:t>
            </w: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5"/>
        </w:trPr>
        <w:tc>
          <w:tcPr>
            <w:tcW w:w="4540" w:type="dxa"/>
            <w:vAlign w:val="bottom"/>
          </w:tcPr>
          <w:p>
            <w:pPr>
              <w:ind w:left="160"/>
              <w:spacing w:after="0"/>
              <w:rPr>
                <w:sz w:val="20"/>
                <w:szCs w:val="20"/>
                <w:color w:val="auto"/>
              </w:rPr>
            </w:pPr>
            <w:r>
              <w:rPr>
                <w:rFonts w:ascii="Arial" w:cs="Arial" w:eastAsia="Arial" w:hAnsi="Arial"/>
                <w:sz w:val="15"/>
                <w:szCs w:val="15"/>
                <w:color w:val="auto"/>
              </w:rPr>
              <w:t>shown in the statements of cash flows</w:t>
            </w:r>
          </w:p>
        </w:tc>
        <w:tc>
          <w:tcPr>
            <w:tcW w:w="2180" w:type="dxa"/>
            <w:vAlign w:val="bottom"/>
            <w:gridSpan w:val="2"/>
          </w:tcPr>
          <w:p>
            <w:pPr>
              <w:jc w:val="right"/>
              <w:ind w:right="879"/>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w w:val="95"/>
              </w:rPr>
              <w:t>113,328</w:t>
            </w:r>
          </w:p>
        </w:tc>
        <w:tc>
          <w:tcPr>
            <w:tcW w:w="220" w:type="dxa"/>
            <w:vAlign w:val="bottom"/>
          </w:tcPr>
          <w:p>
            <w:pPr>
              <w:spacing w:after="0"/>
              <w:rPr>
                <w:sz w:val="16"/>
                <w:szCs w:val="16"/>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93,017</w:t>
            </w:r>
          </w:p>
        </w:tc>
        <w:tc>
          <w:tcPr>
            <w:tcW w:w="80" w:type="dxa"/>
            <w:vAlign w:val="bottom"/>
          </w:tcPr>
          <w:p>
            <w:pPr>
              <w:spacing w:after="0"/>
              <w:rPr>
                <w:sz w:val="16"/>
                <w:szCs w:val="16"/>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Collaboration and license revenue</w:t>
      </w:r>
    </w:p>
    <w:p>
      <w:pPr>
        <w:spacing w:after="0" w:line="81" w:lineRule="exact"/>
        <w:rPr>
          <w:sz w:val="20"/>
          <w:szCs w:val="20"/>
          <w:color w:val="auto"/>
        </w:rPr>
      </w:pPr>
    </w:p>
    <w:p>
      <w:pPr>
        <w:ind w:right="120" w:firstLine="473"/>
        <w:spacing w:after="0" w:line="282" w:lineRule="auto"/>
        <w:rPr>
          <w:sz w:val="20"/>
          <w:szCs w:val="20"/>
          <w:color w:val="auto"/>
        </w:rPr>
      </w:pPr>
      <w:r>
        <w:rPr>
          <w:rFonts w:ascii="Arial" w:cs="Arial" w:eastAsia="Arial" w:hAnsi="Arial"/>
          <w:sz w:val="14"/>
          <w:szCs w:val="14"/>
          <w:color w:val="auto"/>
        </w:rPr>
        <w:t xml:space="preserve">The Company has certain license and collaboration agreements that are within the scope of Accounting Standards Codification (ASC) 808, </w:t>
      </w:r>
      <w:r>
        <w:rPr>
          <w:rFonts w:ascii="Arial" w:cs="Arial" w:eastAsia="Arial" w:hAnsi="Arial"/>
          <w:sz w:val="14"/>
          <w:szCs w:val="14"/>
          <w:i w:val="1"/>
          <w:iCs w:val="1"/>
          <w:color w:val="auto"/>
        </w:rPr>
        <w:t>Collaborative Agreements</w:t>
      </w:r>
      <w:r>
        <w:rPr>
          <w:rFonts w:ascii="Arial" w:cs="Arial" w:eastAsia="Arial" w:hAnsi="Arial"/>
          <w:sz w:val="14"/>
          <w:szCs w:val="14"/>
          <w:color w:val="auto"/>
        </w:rPr>
        <w:t>, which provides guidance on the presentation and disclosure of collaborative arrangements. Generally, the classification of the transactions under the collaborative arrangements is determined based on the nature of contractual terms of the arrangement, along with the nature of the operations of the participants. The Company records its share of collaboration revenue, net of transfer pricing related to net sales in the period in which such sales occur, if the Company is considered as an agent in the arrangement. The Company is considered an agent when the collaboration partner controls the product before transfer to the customers and has the ability to direct the use of and obtain substantially all of the remaining benefits from the product. Funding received related to research and development services and commercialization costs are classified as a reduction of research and development expenses and selling, general and administrative expenses, respectively in the consolidated statement of operations, because the provision of such services for collaborative partners are not considered to be part of the Company’s ongoing major or central operations.</w:t>
      </w:r>
    </w:p>
    <w:p>
      <w:pPr>
        <w:spacing w:after="0" w:line="21" w:lineRule="exact"/>
        <w:rPr>
          <w:sz w:val="20"/>
          <w:szCs w:val="20"/>
          <w:color w:val="auto"/>
        </w:rPr>
      </w:pPr>
    </w:p>
    <w:p>
      <w:pPr>
        <w:ind w:right="40" w:firstLine="473"/>
        <w:spacing w:after="0" w:line="288" w:lineRule="auto"/>
        <w:rPr>
          <w:sz w:val="20"/>
          <w:szCs w:val="20"/>
          <w:color w:val="auto"/>
        </w:rPr>
      </w:pPr>
      <w:r>
        <w:rPr>
          <w:rFonts w:ascii="Arial" w:cs="Arial" w:eastAsia="Arial" w:hAnsi="Arial"/>
          <w:sz w:val="15"/>
          <w:szCs w:val="15"/>
          <w:color w:val="auto"/>
        </w:rPr>
        <w:t>The Company also receives royalty revenues under certain of the Company’s license or collaboration agreements in exchange for license of intellectual property. If the Company does not have any future performance obligations for these license or collaboration agreements, royalty revenue is recorded as the underlying sales occur.</w:t>
      </w:r>
    </w:p>
    <w:p>
      <w:pPr>
        <w:spacing w:after="0" w:line="13" w:lineRule="exact"/>
        <w:rPr>
          <w:sz w:val="20"/>
          <w:szCs w:val="20"/>
          <w:color w:val="auto"/>
        </w:rPr>
      </w:pPr>
    </w:p>
    <w:p>
      <w:pPr>
        <w:ind w:right="200" w:firstLine="473"/>
        <w:spacing w:after="0" w:line="272" w:lineRule="auto"/>
        <w:rPr>
          <w:sz w:val="20"/>
          <w:szCs w:val="20"/>
          <w:color w:val="auto"/>
        </w:rPr>
      </w:pPr>
      <w:r>
        <w:rPr>
          <w:rFonts w:ascii="Arial" w:cs="Arial" w:eastAsia="Arial" w:hAnsi="Arial"/>
          <w:sz w:val="15"/>
          <w:szCs w:val="15"/>
          <w:color w:val="auto"/>
        </w:rPr>
        <w:t>In order to record its results of operations, the Company utilizes certain information from its collaboration partners , including revenue from the sale of the product, associated reserves on revenue, and costs incurred for development and sales activities. For the periods covered in the financial statements presented, there have been no significant or material changes to prior period estimates of revenues and expenses.</w:t>
      </w:r>
    </w:p>
    <w:p>
      <w:pPr>
        <w:spacing w:after="0" w:line="36" w:lineRule="exact"/>
        <w:rPr>
          <w:sz w:val="20"/>
          <w:szCs w:val="20"/>
          <w:color w:val="auto"/>
        </w:rPr>
      </w:pPr>
    </w:p>
    <w:p>
      <w:pPr>
        <w:ind w:right="100" w:firstLine="477"/>
        <w:spacing w:after="0" w:line="289" w:lineRule="auto"/>
        <w:rPr>
          <w:sz w:val="20"/>
          <w:szCs w:val="20"/>
          <w:color w:val="auto"/>
        </w:rPr>
      </w:pPr>
      <w:r>
        <w:rPr>
          <w:rFonts w:ascii="Arial" w:cs="Arial" w:eastAsia="Arial" w:hAnsi="Arial"/>
          <w:sz w:val="14"/>
          <w:szCs w:val="14"/>
          <w:color w:val="auto"/>
        </w:rPr>
        <w:t xml:space="preserve">The terms of the Company’s collaboration agreements may contain multiple performance obligations, which may include licenses and research and development activities. The Company evaluates these agreements under ASC 606, </w:t>
      </w:r>
      <w:r>
        <w:rPr>
          <w:rFonts w:ascii="Arial" w:cs="Arial" w:eastAsia="Arial" w:hAnsi="Arial"/>
          <w:sz w:val="14"/>
          <w:szCs w:val="14"/>
          <w:i w:val="1"/>
          <w:iCs w:val="1"/>
          <w:color w:val="auto"/>
        </w:rPr>
        <w:t>Revenue from Contract with Customers,</w:t>
      </w:r>
      <w:r>
        <w:rPr>
          <w:rFonts w:ascii="Arial" w:cs="Arial" w:eastAsia="Arial" w:hAnsi="Arial"/>
          <w:sz w:val="14"/>
          <w:szCs w:val="14"/>
          <w:color w:val="auto"/>
        </w:rPr>
        <w:t xml:space="preserve"> to determine the distinct performance obligations. The Company analogizes to ASC 606 for the accounting for distinct performance obligations for which there is a customer relationship. 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Variable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16" w:lineRule="exact"/>
        <w:rPr>
          <w:sz w:val="20"/>
          <w:szCs w:val="20"/>
          <w:color w:val="auto"/>
        </w:rPr>
      </w:pPr>
    </w:p>
    <w:p>
      <w:pPr>
        <w:ind w:right="60" w:firstLine="477"/>
        <w:spacing w:after="0" w:line="272" w:lineRule="auto"/>
        <w:rPr>
          <w:sz w:val="20"/>
          <w:szCs w:val="20"/>
          <w:color w:val="auto"/>
        </w:rPr>
      </w:pPr>
      <w:r>
        <w:rPr>
          <w:rFonts w:ascii="Arial" w:cs="Arial" w:eastAsia="Arial" w:hAnsi="Arial"/>
          <w:sz w:val="15"/>
          <w:szCs w:val="15"/>
          <w:color w:val="auto"/>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 plus margin. Revenue is recognized by measuring the progress toward complete satisfaction of the performance obligations using an input measure.</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83" w:right="259" w:bottom="1440" w:gutter="0" w:footer="0" w:header="0"/>
        </w:sectPr>
      </w:pPr>
    </w:p>
    <w:bookmarkStart w:id="9" w:name="page10"/>
    <w:bookmarkEnd w:id="9"/>
    <w:p>
      <w:pPr>
        <w:ind w:left="8"/>
        <w:spacing w:after="0"/>
        <w:rPr>
          <w:sz w:val="20"/>
          <w:szCs w:val="20"/>
          <w:color w:val="auto"/>
        </w:rPr>
      </w:pPr>
      <w:r>
        <w:rPr>
          <w:rFonts w:ascii="Arial" w:cs="Arial" w:eastAsia="Arial" w:hAnsi="Arial"/>
          <w:sz w:val="15"/>
          <w:szCs w:val="15"/>
          <w:i w:val="1"/>
          <w:iCs w:val="1"/>
          <w:color w:val="auto"/>
        </w:rPr>
        <w:t>Product sales</w:t>
      </w:r>
    </w:p>
    <w:p>
      <w:pPr>
        <w:spacing w:after="0" w:line="81" w:lineRule="exact"/>
        <w:rPr>
          <w:sz w:val="20"/>
          <w:szCs w:val="20"/>
          <w:color w:val="auto"/>
        </w:rPr>
      </w:pPr>
    </w:p>
    <w:p>
      <w:pPr>
        <w:ind w:left="8" w:right="160" w:firstLine="477"/>
        <w:spacing w:after="0" w:line="263" w:lineRule="auto"/>
        <w:rPr>
          <w:sz w:val="20"/>
          <w:szCs w:val="20"/>
          <w:color w:val="auto"/>
        </w:rPr>
      </w:pPr>
      <w:r>
        <w:rPr>
          <w:rFonts w:ascii="Arial" w:cs="Arial" w:eastAsia="Arial" w:hAnsi="Arial"/>
          <w:sz w:val="15"/>
          <w:szCs w:val="15"/>
          <w:color w:val="auto"/>
        </w:rPr>
        <w:t>The Company sells Mepsevii through a limited number of distributors. Under ASC 606, revenue from product sales is recognized at the point in time when the delivery is made and when title and risk of loss transfers to these distributors. The Company also recognizes revenue from sales of certain products on a “named patient” basis, which are allowed in certain countries prior to the commercial approval of the product. Prior to recognizing revenue, the Company makes estimates of the transaction price, including any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Product sales are recorded net of estimated government-mandated rebates and chargebacks, estimated product returns, and other deductions.</w:t>
      </w:r>
    </w:p>
    <w:p>
      <w:pPr>
        <w:spacing w:after="0" w:line="31" w:lineRule="exact"/>
        <w:rPr>
          <w:sz w:val="20"/>
          <w:szCs w:val="20"/>
          <w:color w:val="auto"/>
        </w:rPr>
      </w:pPr>
    </w:p>
    <w:p>
      <w:pPr>
        <w:ind w:left="8" w:right="240" w:firstLine="477"/>
        <w:spacing w:after="0" w:line="325" w:lineRule="auto"/>
        <w:rPr>
          <w:sz w:val="20"/>
          <w:szCs w:val="20"/>
          <w:color w:val="auto"/>
        </w:rPr>
      </w:pPr>
      <w:r>
        <w:rPr>
          <w:rFonts w:ascii="Arial" w:cs="Arial" w:eastAsia="Arial" w:hAnsi="Arial"/>
          <w:sz w:val="14"/>
          <w:szCs w:val="14"/>
          <w:color w:val="auto"/>
        </w:rPr>
        <w:t>Provisions for returns and other adjustments are provided for in the period the related revenue is recorded, as estimated by management. Limited historical data is available for use in developing estimates of the amount of the reduction for reserve in gross revenue. The estimates applied are periodically reviewed and adjusted as necessary.</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85" w:lineRule="exact"/>
        <w:rPr>
          <w:sz w:val="20"/>
          <w:szCs w:val="20"/>
          <w:color w:val="auto"/>
        </w:rPr>
      </w:pPr>
    </w:p>
    <w:p>
      <w:pPr>
        <w:ind w:left="8" w:right="20" w:firstLine="520"/>
        <w:spacing w:after="0" w:line="29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w:t>
      </w:r>
      <w:r>
        <w:rPr>
          <w:rFonts w:ascii="Arial" w:cs="Arial" w:eastAsia="Arial" w:hAnsi="Arial"/>
          <w:sz w:val="14"/>
          <w:szCs w:val="14"/>
          <w:color w:val="auto"/>
        </w:rPr>
        <w:t>, which requires an entity that is a lessee to record a right of use asset and a corresponding lease liability on the balance sheet for all leases with terms longer than 12 months. This guidance also requires disclosures about the amount, timing, and uncertainty of cash flows arising from leases. This guidance is effective for annual reporting periods beginning after December 15, 2018, and interim periods within those annual periods, using a modified retrospective approach, and early adoption is permitted. The Company is evaluating the effect that this guidance will have on its Consolidated Financial Statements and related disclosures.</w:t>
      </w:r>
    </w:p>
    <w:p>
      <w:pPr>
        <w:spacing w:after="0" w:line="147" w:lineRule="exact"/>
        <w:rPr>
          <w:sz w:val="20"/>
          <w:szCs w:val="20"/>
          <w:color w:val="auto"/>
        </w:rPr>
      </w:pPr>
    </w:p>
    <w:p>
      <w:pPr>
        <w:ind w:left="528" w:hanging="528"/>
        <w:spacing w:after="0"/>
        <w:tabs>
          <w:tab w:leader="none" w:pos="528"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Instruments</w:t>
      </w:r>
    </w:p>
    <w:p>
      <w:pPr>
        <w:spacing w:after="0" w:line="74" w:lineRule="exact"/>
        <w:rPr>
          <w:sz w:val="20"/>
          <w:szCs w:val="20"/>
          <w:color w:val="auto"/>
        </w:rPr>
      </w:pPr>
    </w:p>
    <w:p>
      <w:pPr>
        <w:ind w:left="8" w:right="280" w:firstLine="520"/>
        <w:spacing w:after="0" w:line="287" w:lineRule="auto"/>
        <w:rPr>
          <w:sz w:val="20"/>
          <w:szCs w:val="20"/>
          <w:color w:val="auto"/>
        </w:rPr>
      </w:pPr>
      <w:r>
        <w:rPr>
          <w:rFonts w:ascii="Arial" w:cs="Arial" w:eastAsia="Arial" w:hAnsi="Arial"/>
          <w:sz w:val="14"/>
          <w:szCs w:val="14"/>
          <w:color w:val="auto"/>
        </w:rPr>
        <w:t>Financial assets and liabilities are recorded at fair value. The carrying amount of certain financial instruments, including cash and cash equivalents,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29" w:lineRule="exact"/>
        <w:rPr>
          <w:sz w:val="20"/>
          <w:szCs w:val="20"/>
          <w:color w:val="auto"/>
        </w:rPr>
      </w:pPr>
    </w:p>
    <w:p>
      <w:pPr>
        <w:ind w:left="528"/>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—Inputs are unadjusted, quoted prices in active markets for identical assets or liabilities at the measurement date;</w:t>
      </w:r>
    </w:p>
    <w:p>
      <w:pPr>
        <w:spacing w:after="0" w:line="70" w:lineRule="exact"/>
        <w:rPr>
          <w:sz w:val="20"/>
          <w:szCs w:val="20"/>
          <w:color w:val="auto"/>
        </w:rPr>
      </w:pPr>
    </w:p>
    <w:p>
      <w:pPr>
        <w:jc w:val="both"/>
        <w:ind w:left="528" w:right="120"/>
        <w:spacing w:after="0" w:line="272"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—Inputs are observable, unadjusted quoted prices in active markets for similar assets or liabilities, unadjusted quoted prices for identical or similar assets or liabilities in</w:t>
      </w:r>
      <w:r>
        <w:rPr>
          <w:rFonts w:ascii="Arial" w:cs="Arial" w:eastAsia="Arial" w:hAnsi="Arial"/>
          <w:sz w:val="15"/>
          <w:szCs w:val="15"/>
          <w:i w:val="1"/>
          <w:iCs w:val="1"/>
          <w:color w:val="auto"/>
        </w:rPr>
        <w:t xml:space="preserve"> </w:t>
      </w:r>
      <w:r>
        <w:rPr>
          <w:rFonts w:ascii="Arial" w:cs="Arial" w:eastAsia="Arial" w:hAnsi="Arial"/>
          <w:sz w:val="15"/>
          <w:szCs w:val="15"/>
          <w:color w:val="auto"/>
        </w:rPr>
        <w:t>markets that are not active, or other inputs that are observable or can be corroborated by observable market data for substantially the full term of the related assets or liabilities; and</w:t>
      </w:r>
    </w:p>
    <w:p>
      <w:pPr>
        <w:spacing w:after="0" w:line="25" w:lineRule="exact"/>
        <w:rPr>
          <w:sz w:val="20"/>
          <w:szCs w:val="20"/>
          <w:color w:val="auto"/>
        </w:rPr>
      </w:pPr>
    </w:p>
    <w:p>
      <w:pPr>
        <w:ind w:left="528"/>
        <w:spacing w:after="0"/>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—Unobservable inputs that are significant to the measurement of the fair value of the assets or liabilities that are supported by little or no market data.</w:t>
      </w:r>
    </w:p>
    <w:p>
      <w:pPr>
        <w:spacing w:after="0" w:line="81" w:lineRule="exact"/>
        <w:rPr>
          <w:sz w:val="20"/>
          <w:szCs w:val="20"/>
          <w:color w:val="auto"/>
        </w:rPr>
      </w:pPr>
    </w:p>
    <w:p>
      <w:pPr>
        <w:ind w:left="528"/>
        <w:spacing w:after="0"/>
        <w:rPr>
          <w:sz w:val="20"/>
          <w:szCs w:val="20"/>
          <w:color w:val="auto"/>
        </w:rPr>
      </w:pPr>
      <w:r>
        <w:rPr>
          <w:rFonts w:ascii="Arial" w:cs="Arial" w:eastAsia="Arial" w:hAnsi="Arial"/>
          <w:sz w:val="14"/>
          <w:szCs w:val="14"/>
          <w:color w:val="auto"/>
        </w:rPr>
        <w:t>The following tables set forth the fair value of the Company’s financial assets remeasured on a recurring basis based on the three-tier fair value hierarchy (in thousands):</w:t>
      </w: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56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June 30, 2018</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Fair Value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Amortized</w:t>
            </w: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2"/>
                <w:szCs w:val="12"/>
                <w:b w:val="1"/>
                <w:bCs w:val="1"/>
                <w:color w:val="auto"/>
              </w:rPr>
              <w:t>Gross Unrealized</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Estimated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restart"/>
          </w:tcPr>
          <w:p>
            <w:pPr>
              <w:jc w:val="right"/>
              <w:ind w:right="228"/>
              <w:spacing w:after="0"/>
              <w:rPr>
                <w:sz w:val="20"/>
                <w:szCs w:val="20"/>
                <w:color w:val="auto"/>
              </w:rPr>
            </w:pPr>
            <w:r>
              <w:rPr>
                <w:rFonts w:ascii="Arial" w:cs="Arial" w:eastAsia="Arial" w:hAnsi="Arial"/>
                <w:sz w:val="12"/>
                <w:szCs w:val="12"/>
                <w:b w:val="1"/>
                <w:bCs w:val="1"/>
                <w:color w:val="auto"/>
              </w:rPr>
              <w:t>Gains</w:t>
            </w:r>
          </w:p>
        </w:tc>
        <w:tc>
          <w:tcPr>
            <w:tcW w:w="260" w:type="dxa"/>
            <w:vAlign w:val="bottom"/>
            <w:vMerge w:val="restart"/>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Losses</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640" w:type="dxa"/>
            <w:vAlign w:val="bottom"/>
            <w:tcBorders>
              <w:bottom w:val="single" w:sz="8" w:color="CCECFF"/>
            </w:tcBorders>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Hierarchy</w:t>
            </w: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Cost</w:t>
            </w:r>
          </w:p>
        </w:tc>
        <w:tc>
          <w:tcPr>
            <w:tcW w:w="26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C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CCEC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640" w:type="dxa"/>
            <w:vAlign w:val="bottom"/>
            <w:shd w:val="clear" w:color="auto" w:fill="CCECFF"/>
          </w:tcPr>
          <w:p>
            <w:pPr>
              <w:spacing w:after="0"/>
              <w:rPr>
                <w:sz w:val="20"/>
                <w:szCs w:val="20"/>
                <w:color w:val="auto"/>
              </w:rPr>
            </w:pPr>
            <w:r>
              <w:rPr>
                <w:rFonts w:ascii="Arial" w:cs="Arial" w:eastAsia="Arial" w:hAnsi="Arial"/>
                <w:sz w:val="15"/>
                <w:szCs w:val="15"/>
                <w:color w:val="auto"/>
              </w:rPr>
              <w:t>Money market funds</w:t>
            </w:r>
          </w:p>
        </w:tc>
        <w:tc>
          <w:tcPr>
            <w:tcW w:w="1060" w:type="dxa"/>
            <w:vAlign w:val="bottom"/>
            <w:shd w:val="clear" w:color="auto" w:fill="CCECFF"/>
          </w:tcPr>
          <w:p>
            <w:pPr>
              <w:jc w:val="center"/>
              <w:spacing w:after="0"/>
              <w:rPr>
                <w:sz w:val="20"/>
                <w:szCs w:val="20"/>
                <w:color w:val="auto"/>
              </w:rPr>
            </w:pPr>
            <w:r>
              <w:rPr>
                <w:rFonts w:ascii="Arial" w:cs="Arial" w:eastAsia="Arial" w:hAnsi="Arial"/>
                <w:sz w:val="15"/>
                <w:szCs w:val="15"/>
                <w:color w:val="auto"/>
                <w:w w:val="95"/>
              </w:rPr>
              <w:t>Level 1</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94,565</w:t>
            </w:r>
          </w:p>
        </w:tc>
        <w:tc>
          <w:tcPr>
            <w:tcW w:w="260" w:type="dxa"/>
            <w:vAlign w:val="bottom"/>
            <w:shd w:val="clear" w:color="auto" w:fill="CCECFF"/>
          </w:tcPr>
          <w:p>
            <w:pPr>
              <w:spacing w:after="0"/>
              <w:rPr>
                <w:sz w:val="16"/>
                <w:szCs w:val="16"/>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CFF"/>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94,565</w:t>
            </w:r>
          </w:p>
        </w:tc>
        <w:tc>
          <w:tcPr>
            <w:tcW w:w="120" w:type="dxa"/>
            <w:vAlign w:val="bottom"/>
            <w:shd w:val="clear" w:color="auto" w:fill="CCEC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5"/>
                <w:szCs w:val="15"/>
                <w:color w:val="auto"/>
              </w:rPr>
              <w:t>Time deposits</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Level 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10,000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CFF"/>
          </w:tcPr>
          <w:p>
            <w:pPr>
              <w:spacing w:after="0"/>
              <w:rPr>
                <w:sz w:val="20"/>
                <w:szCs w:val="20"/>
                <w:color w:val="auto"/>
              </w:rPr>
            </w:pPr>
            <w:r>
              <w:rPr>
                <w:rFonts w:ascii="Arial" w:cs="Arial" w:eastAsia="Arial" w:hAnsi="Arial"/>
                <w:sz w:val="15"/>
                <w:szCs w:val="15"/>
                <w:color w:val="auto"/>
              </w:rPr>
              <w:t>Corporate bonds</w:t>
            </w:r>
          </w:p>
        </w:tc>
        <w:tc>
          <w:tcPr>
            <w:tcW w:w="1060" w:type="dxa"/>
            <w:vAlign w:val="bottom"/>
            <w:shd w:val="clear" w:color="auto" w:fill="CCECFF"/>
          </w:tcPr>
          <w:p>
            <w:pPr>
              <w:jc w:val="center"/>
              <w:spacing w:after="0"/>
              <w:rPr>
                <w:sz w:val="20"/>
                <w:szCs w:val="20"/>
                <w:color w:val="auto"/>
              </w:rPr>
            </w:pPr>
            <w:r>
              <w:rPr>
                <w:rFonts w:ascii="Arial" w:cs="Arial" w:eastAsia="Arial" w:hAnsi="Arial"/>
                <w:sz w:val="15"/>
                <w:szCs w:val="15"/>
                <w:color w:val="auto"/>
                <w:w w:val="95"/>
              </w:rPr>
              <w:t>Level 2</w:t>
            </w:r>
          </w:p>
        </w:tc>
        <w:tc>
          <w:tcPr>
            <w:tcW w:w="1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160,606</w:t>
            </w:r>
          </w:p>
        </w:tc>
        <w:tc>
          <w:tcPr>
            <w:tcW w:w="2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CFF"/>
          </w:tcPr>
          <w:p>
            <w:pPr>
              <w:spacing w:after="0"/>
              <w:rPr>
                <w:sz w:val="17"/>
                <w:szCs w:val="17"/>
                <w:color w:val="auto"/>
              </w:rPr>
            </w:pPr>
          </w:p>
        </w:tc>
        <w:tc>
          <w:tcPr>
            <w:tcW w:w="46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w w:val="96"/>
              </w:rPr>
              <w:t>(311)</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160,295</w:t>
            </w:r>
          </w:p>
        </w:tc>
        <w:tc>
          <w:tcPr>
            <w:tcW w:w="120" w:type="dxa"/>
            <w:vAlign w:val="bottom"/>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5"/>
                <w:szCs w:val="15"/>
                <w:color w:val="auto"/>
              </w:rPr>
              <w:t>Commercial paper</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Level 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71,708</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71,708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CFF"/>
          </w:tcPr>
          <w:p>
            <w:pPr>
              <w:spacing w:after="0"/>
              <w:rPr>
                <w:sz w:val="20"/>
                <w:szCs w:val="20"/>
                <w:color w:val="auto"/>
              </w:rPr>
            </w:pPr>
            <w:r>
              <w:rPr>
                <w:rFonts w:ascii="Arial" w:cs="Arial" w:eastAsia="Arial" w:hAnsi="Arial"/>
                <w:sz w:val="15"/>
                <w:szCs w:val="15"/>
                <w:color w:val="auto"/>
              </w:rPr>
              <w:t>Asset-backed securities</w:t>
            </w:r>
          </w:p>
        </w:tc>
        <w:tc>
          <w:tcPr>
            <w:tcW w:w="1060" w:type="dxa"/>
            <w:vAlign w:val="bottom"/>
            <w:shd w:val="clear" w:color="auto" w:fill="CCECFF"/>
          </w:tcPr>
          <w:p>
            <w:pPr>
              <w:jc w:val="center"/>
              <w:spacing w:after="0"/>
              <w:rPr>
                <w:sz w:val="20"/>
                <w:szCs w:val="20"/>
                <w:color w:val="auto"/>
              </w:rPr>
            </w:pPr>
            <w:r>
              <w:rPr>
                <w:rFonts w:ascii="Arial" w:cs="Arial" w:eastAsia="Arial" w:hAnsi="Arial"/>
                <w:sz w:val="15"/>
                <w:szCs w:val="15"/>
                <w:color w:val="auto"/>
                <w:w w:val="95"/>
              </w:rPr>
              <w:t>Level 2</w:t>
            </w:r>
          </w:p>
        </w:tc>
        <w:tc>
          <w:tcPr>
            <w:tcW w:w="1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30,210</w:t>
            </w:r>
          </w:p>
        </w:tc>
        <w:tc>
          <w:tcPr>
            <w:tcW w:w="2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100" w:type="dxa"/>
            <w:vAlign w:val="bottom"/>
            <w:gridSpan w:val="2"/>
            <w:shd w:val="clear" w:color="auto" w:fill="CCECFF"/>
          </w:tcPr>
          <w:p>
            <w:pPr>
              <w:jc w:val="right"/>
              <w:ind w:right="2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CFF"/>
          </w:tcPr>
          <w:p>
            <w:pPr>
              <w:spacing w:after="0"/>
              <w:rPr>
                <w:sz w:val="17"/>
                <w:szCs w:val="17"/>
                <w:color w:val="auto"/>
              </w:rPr>
            </w:pPr>
          </w:p>
        </w:tc>
        <w:tc>
          <w:tcPr>
            <w:tcW w:w="46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30,175</w:t>
            </w:r>
          </w:p>
        </w:tc>
        <w:tc>
          <w:tcPr>
            <w:tcW w:w="120" w:type="dxa"/>
            <w:vAlign w:val="bottom"/>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5"/>
                <w:szCs w:val="15"/>
                <w:color w:val="auto"/>
              </w:rPr>
              <w:t>U.S. Government Treasury and agency securities</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Level 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174,316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5"/>
                <w:szCs w:val="15"/>
                <w:color w:val="auto"/>
                <w:w w:val="96"/>
              </w:rPr>
              <w:t>(217)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174,100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CECFF"/>
          </w:tcPr>
          <w:p>
            <w:pPr>
              <w:spacing w:after="0"/>
              <w:rPr>
                <w:sz w:val="20"/>
                <w:szCs w:val="20"/>
                <w:color w:val="auto"/>
              </w:rPr>
            </w:pPr>
            <w:r>
              <w:rPr>
                <w:rFonts w:ascii="Arial" w:cs="Arial" w:eastAsia="Arial" w:hAnsi="Arial"/>
                <w:sz w:val="15"/>
                <w:szCs w:val="15"/>
                <w:color w:val="auto"/>
              </w:rPr>
              <w:t>Total</w:t>
            </w:r>
          </w:p>
        </w:tc>
        <w:tc>
          <w:tcPr>
            <w:tcW w:w="1060" w:type="dxa"/>
            <w:vAlign w:val="bottom"/>
            <w:shd w:val="clear" w:color="auto" w:fill="CCECFF"/>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40" w:type="dxa"/>
            <w:vAlign w:val="bottom"/>
            <w:vMerge w:val="continue"/>
            <w:shd w:val="clear" w:color="auto" w:fill="CCECFF"/>
          </w:tcPr>
          <w:p>
            <w:pPr>
              <w:spacing w:after="0"/>
              <w:rPr>
                <w:sz w:val="16"/>
                <w:szCs w:val="16"/>
                <w:color w:val="auto"/>
              </w:rPr>
            </w:pPr>
          </w:p>
        </w:tc>
        <w:tc>
          <w:tcPr>
            <w:tcW w:w="106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541,405</w:t>
            </w:r>
          </w:p>
        </w:tc>
        <w:tc>
          <w:tcPr>
            <w:tcW w:w="260" w:type="dxa"/>
            <w:vAlign w:val="bottom"/>
            <w:shd w:val="clear" w:color="auto" w:fill="CCECFF"/>
          </w:tcPr>
          <w:p>
            <w:pPr>
              <w:spacing w:after="0"/>
              <w:rPr>
                <w:sz w:val="16"/>
                <w:szCs w:val="16"/>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CFF"/>
          </w:tcPr>
          <w:p>
            <w:pPr>
              <w:spacing w:after="0"/>
              <w:rPr>
                <w:sz w:val="16"/>
                <w:szCs w:val="16"/>
                <w:color w:val="auto"/>
              </w:rPr>
            </w:pPr>
          </w:p>
        </w:tc>
        <w:tc>
          <w:tcPr>
            <w:tcW w:w="620" w:type="dxa"/>
            <w:vAlign w:val="bottom"/>
            <w:shd w:val="clear" w:color="auto" w:fill="CCECFF"/>
          </w:tcPr>
          <w:p>
            <w:pPr>
              <w:jc w:val="right"/>
              <w:ind w:right="468"/>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CFF"/>
          </w:tcPr>
          <w:p>
            <w:pPr>
              <w:jc w:val="right"/>
              <w:ind w:right="100"/>
              <w:spacing w:after="0"/>
              <w:rPr>
                <w:sz w:val="20"/>
                <w:szCs w:val="20"/>
                <w:color w:val="auto"/>
              </w:rPr>
            </w:pPr>
            <w:r>
              <w:rPr>
                <w:rFonts w:ascii="Arial" w:cs="Arial" w:eastAsia="Arial" w:hAnsi="Arial"/>
                <w:sz w:val="15"/>
                <w:szCs w:val="15"/>
                <w:color w:val="auto"/>
                <w:w w:val="96"/>
              </w:rPr>
              <w:t>(563)</w:t>
            </w:r>
          </w:p>
        </w:tc>
        <w:tc>
          <w:tcPr>
            <w:tcW w:w="22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540,843</w:t>
            </w:r>
          </w:p>
        </w:tc>
        <w:tc>
          <w:tcPr>
            <w:tcW w:w="120" w:type="dxa"/>
            <w:vAlign w:val="bottom"/>
            <w:shd w:val="clear" w:color="auto" w:fill="CCEC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CFF"/>
            </w:tcBorders>
          </w:tcPr>
          <w:p>
            <w:pPr>
              <w:spacing w:after="0" w:line="20" w:lineRule="exact"/>
              <w:rPr>
                <w:sz w:val="1"/>
                <w:szCs w:val="1"/>
                <w:color w:val="auto"/>
              </w:rPr>
            </w:pPr>
          </w:p>
        </w:tc>
        <w:tc>
          <w:tcPr>
            <w:tcW w:w="1060" w:type="dxa"/>
            <w:vAlign w:val="bottom"/>
            <w:tcBorders>
              <w:top w:val="single" w:sz="8" w:color="CCECFF"/>
              <w:bottom w:val="single" w:sz="8" w:color="CCECFF"/>
            </w:tcBorders>
            <w:vMerge w:val="restart"/>
          </w:tcPr>
          <w:p>
            <w:pPr>
              <w:jc w:val="right"/>
              <w:ind w:right="867"/>
              <w:spacing w:after="0"/>
              <w:rPr>
                <w:sz w:val="20"/>
                <w:szCs w:val="20"/>
                <w:color w:val="auto"/>
              </w:rPr>
            </w:pPr>
            <w:r>
              <w:rPr>
                <w:rFonts w:ascii="Arial" w:cs="Arial" w:eastAsia="Arial" w:hAnsi="Arial"/>
                <w:sz w:val="15"/>
                <w:szCs w:val="15"/>
                <w:color w:val="auto"/>
              </w:rPr>
              <w:t>8</w:t>
            </w:r>
          </w:p>
        </w:tc>
        <w:tc>
          <w:tcPr>
            <w:tcW w:w="14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64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6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-26670</wp:posOffset>
            </wp:positionV>
            <wp:extent cx="3302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8"/>
          </w:cols>
          <w:pgMar w:left="232" w:top="325" w:right="199" w:bottom="1440" w:gutter="0" w:footer="0" w:header="0"/>
        </w:sectPr>
      </w:pPr>
    </w:p>
    <w:bookmarkStart w:id="10" w:name="page11"/>
    <w:bookmarkEnd w:id="10"/>
    <w:tbl>
      <w:tblPr>
        <w:tblLayout w:type="fixed"/>
        <w:tblInd w:w="8" w:type="dxa"/>
        <w:tblCellMar>
          <w:top w:w="0" w:type="dxa"/>
          <w:left w:w="0" w:type="dxa"/>
          <w:bottom w:w="0" w:type="dxa"/>
          <w:right w:w="0" w:type="dxa"/>
        </w:tblCellMar>
      </w:tblPr>
      <w:tr>
        <w:trPr>
          <w:trHeight w:val="147"/>
        </w:trPr>
        <w:tc>
          <w:tcPr>
            <w:tcW w:w="56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ind w:left="220"/>
              <w:spacing w:after="0"/>
              <w:rPr>
                <w:sz w:val="20"/>
                <w:szCs w:val="20"/>
                <w:color w:val="auto"/>
              </w:rPr>
            </w:pPr>
            <w:r>
              <w:rPr>
                <w:rFonts w:ascii="Arial" w:cs="Arial" w:eastAsia="Arial" w:hAnsi="Arial"/>
                <w:sz w:val="12"/>
                <w:szCs w:val="12"/>
                <w:b w:val="1"/>
                <w:bCs w:val="1"/>
                <w:color w:val="auto"/>
              </w:rPr>
              <w:t>December 31, 2017</w:t>
            </w:r>
          </w:p>
        </w:tc>
        <w:tc>
          <w:tcPr>
            <w:tcW w:w="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Fair Value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2"/>
                <w:szCs w:val="12"/>
                <w:b w:val="1"/>
                <w:bCs w:val="1"/>
                <w:color w:val="auto"/>
                <w:w w:val="98"/>
              </w:rPr>
              <w:t>Amortized</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rPr>
              <w:t>Gross Unrealized</w:t>
            </w:r>
          </w:p>
        </w:tc>
        <w:tc>
          <w:tcPr>
            <w:tcW w:w="3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Gains</w:t>
            </w:r>
          </w:p>
        </w:tc>
        <w:tc>
          <w:tcPr>
            <w:tcW w:w="260" w:type="dxa"/>
            <w:vAlign w:val="bottom"/>
            <w:vMerge w:val="restart"/>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Losses</w:t>
            </w: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640" w:type="dxa"/>
            <w:vAlign w:val="bottom"/>
            <w:tcBorders>
              <w:bottom w:val="single" w:sz="8" w:color="CCECFF"/>
            </w:tcBorders>
          </w:tcPr>
          <w:p>
            <w:pPr>
              <w:spacing w:after="0"/>
              <w:rPr>
                <w:sz w:val="12"/>
                <w:szCs w:val="1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Hierarchy</w:t>
            </w:r>
          </w:p>
        </w:tc>
        <w:tc>
          <w:tcPr>
            <w:tcW w:w="140" w:type="dxa"/>
            <w:vAlign w:val="bottom"/>
            <w:tcBorders>
              <w:bottom w:val="single" w:sz="8" w:color="CCEC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2"/>
                <w:szCs w:val="12"/>
                <w:b w:val="1"/>
                <w:bCs w:val="1"/>
                <w:color w:val="auto"/>
              </w:rPr>
              <w:t>Cost</w:t>
            </w:r>
          </w:p>
        </w:tc>
        <w:tc>
          <w:tcPr>
            <w:tcW w:w="260" w:type="dxa"/>
            <w:vAlign w:val="bottom"/>
            <w:tcBorders>
              <w:bottom w:val="single" w:sz="8" w:color="CCEC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C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640" w:type="dxa"/>
            <w:vAlign w:val="bottom"/>
            <w:shd w:val="clear" w:color="auto" w:fill="CCECFF"/>
          </w:tcPr>
          <w:p>
            <w:pPr>
              <w:spacing w:after="0"/>
              <w:rPr>
                <w:sz w:val="20"/>
                <w:szCs w:val="20"/>
                <w:color w:val="auto"/>
              </w:rPr>
            </w:pPr>
            <w:r>
              <w:rPr>
                <w:rFonts w:ascii="Arial" w:cs="Arial" w:eastAsia="Arial" w:hAnsi="Arial"/>
                <w:sz w:val="15"/>
                <w:szCs w:val="15"/>
                <w:color w:val="auto"/>
              </w:rPr>
              <w:t>Money market funds</w:t>
            </w:r>
          </w:p>
        </w:tc>
        <w:tc>
          <w:tcPr>
            <w:tcW w:w="1060" w:type="dxa"/>
            <w:vAlign w:val="bottom"/>
            <w:shd w:val="clear" w:color="auto" w:fill="CCECFF"/>
          </w:tcPr>
          <w:p>
            <w:pPr>
              <w:jc w:val="center"/>
              <w:spacing w:after="0"/>
              <w:rPr>
                <w:sz w:val="20"/>
                <w:szCs w:val="20"/>
                <w:color w:val="auto"/>
              </w:rPr>
            </w:pPr>
            <w:r>
              <w:rPr>
                <w:rFonts w:ascii="Arial" w:cs="Arial" w:eastAsia="Arial" w:hAnsi="Arial"/>
                <w:sz w:val="15"/>
                <w:szCs w:val="15"/>
                <w:color w:val="auto"/>
                <w:w w:val="95"/>
              </w:rPr>
              <w:t>Level 1</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79,670</w:t>
            </w:r>
          </w:p>
        </w:tc>
        <w:tc>
          <w:tcPr>
            <w:tcW w:w="460" w:type="dxa"/>
            <w:vAlign w:val="bottom"/>
            <w:gridSpan w:val="2"/>
            <w:shd w:val="clear" w:color="auto" w:fill="CCEC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CFF"/>
          </w:tcPr>
          <w:p>
            <w:pPr>
              <w:ind w:left="56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CFF"/>
          </w:tcPr>
          <w:p>
            <w:pPr>
              <w:jc w:val="right"/>
              <w:ind w:right="46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CFF"/>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79,670</w:t>
            </w:r>
          </w:p>
        </w:tc>
        <w:tc>
          <w:tcPr>
            <w:tcW w:w="12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20"/>
                <w:szCs w:val="20"/>
                <w:color w:val="auto"/>
              </w:rPr>
            </w:pPr>
            <w:r>
              <w:rPr>
                <w:rFonts w:ascii="Arial" w:cs="Arial" w:eastAsia="Arial" w:hAnsi="Arial"/>
                <w:sz w:val="15"/>
                <w:szCs w:val="15"/>
                <w:color w:val="auto"/>
              </w:rPr>
              <w:t>Corporate bonds</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Level 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39,330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62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rPr>
              <w:t>(90)</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39,240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CFF"/>
          </w:tcPr>
          <w:p>
            <w:pPr>
              <w:spacing w:after="0"/>
              <w:rPr>
                <w:sz w:val="20"/>
                <w:szCs w:val="20"/>
                <w:color w:val="auto"/>
              </w:rPr>
            </w:pPr>
            <w:r>
              <w:rPr>
                <w:rFonts w:ascii="Arial" w:cs="Arial" w:eastAsia="Arial" w:hAnsi="Arial"/>
                <w:sz w:val="15"/>
                <w:szCs w:val="15"/>
                <w:color w:val="auto"/>
              </w:rPr>
              <w:t>U.S. Government Treasury and agency securities</w:t>
            </w:r>
          </w:p>
        </w:tc>
        <w:tc>
          <w:tcPr>
            <w:tcW w:w="1060" w:type="dxa"/>
            <w:vAlign w:val="bottom"/>
            <w:shd w:val="clear" w:color="auto" w:fill="CCECFF"/>
          </w:tcPr>
          <w:p>
            <w:pPr>
              <w:jc w:val="center"/>
              <w:spacing w:after="0"/>
              <w:rPr>
                <w:sz w:val="20"/>
                <w:szCs w:val="20"/>
                <w:color w:val="auto"/>
              </w:rPr>
            </w:pPr>
            <w:r>
              <w:rPr>
                <w:rFonts w:ascii="Arial" w:cs="Arial" w:eastAsia="Arial" w:hAnsi="Arial"/>
                <w:sz w:val="15"/>
                <w:szCs w:val="15"/>
                <w:color w:val="auto"/>
                <w:w w:val="95"/>
              </w:rPr>
              <w:t>Level 2</w:t>
            </w:r>
          </w:p>
        </w:tc>
        <w:tc>
          <w:tcPr>
            <w:tcW w:w="1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105,029</w:t>
            </w:r>
          </w:p>
        </w:tc>
        <w:tc>
          <w:tcPr>
            <w:tcW w:w="2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720" w:type="dxa"/>
            <w:vAlign w:val="bottom"/>
            <w:shd w:val="clear" w:color="auto" w:fill="CCECFF"/>
          </w:tcPr>
          <w:p>
            <w:pPr>
              <w:ind w:left="560"/>
              <w:spacing w:after="0"/>
              <w:rPr>
                <w:sz w:val="20"/>
                <w:szCs w:val="20"/>
                <w:color w:val="auto"/>
              </w:rPr>
            </w:pPr>
            <w:r>
              <w:rPr>
                <w:rFonts w:ascii="Arial" w:cs="Arial" w:eastAsia="Arial" w:hAnsi="Arial"/>
                <w:sz w:val="15"/>
                <w:szCs w:val="15"/>
                <w:color w:val="auto"/>
                <w:w w:val="93"/>
              </w:rPr>
              <w:t>—</w:t>
            </w:r>
          </w:p>
        </w:tc>
        <w:tc>
          <w:tcPr>
            <w:tcW w:w="260" w:type="dxa"/>
            <w:vAlign w:val="bottom"/>
            <w:shd w:val="clear" w:color="auto" w:fill="CCECFF"/>
          </w:tcPr>
          <w:p>
            <w:pPr>
              <w:spacing w:after="0"/>
              <w:rPr>
                <w:sz w:val="17"/>
                <w:szCs w:val="17"/>
                <w:color w:val="auto"/>
              </w:rPr>
            </w:pPr>
          </w:p>
        </w:tc>
        <w:tc>
          <w:tcPr>
            <w:tcW w:w="620" w:type="dxa"/>
            <w:vAlign w:val="bottom"/>
            <w:shd w:val="clear" w:color="auto" w:fill="CCECFF"/>
          </w:tcPr>
          <w:p>
            <w:pPr>
              <w:spacing w:after="0"/>
              <w:rPr>
                <w:sz w:val="17"/>
                <w:szCs w:val="17"/>
                <w:color w:val="auto"/>
              </w:rPr>
            </w:pPr>
          </w:p>
        </w:tc>
        <w:tc>
          <w:tcPr>
            <w:tcW w:w="56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w w:val="96"/>
              </w:rPr>
              <w:t>(290)</w:t>
            </w:r>
          </w:p>
        </w:tc>
        <w:tc>
          <w:tcPr>
            <w:tcW w:w="120" w:type="dxa"/>
            <w:vAlign w:val="bottom"/>
            <w:shd w:val="clear" w:color="auto" w:fill="CCECFF"/>
          </w:tcPr>
          <w:p>
            <w:pPr>
              <w:spacing w:after="0"/>
              <w:rPr>
                <w:sz w:val="17"/>
                <w:szCs w:val="17"/>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104,739</w:t>
            </w:r>
          </w:p>
        </w:tc>
        <w:tc>
          <w:tcPr>
            <w:tcW w:w="12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5"/>
                <w:szCs w:val="15"/>
                <w:color w:val="auto"/>
              </w:rPr>
              <w:t>Total</w:t>
            </w: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4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224,029</w:t>
            </w:r>
          </w:p>
        </w:tc>
        <w:tc>
          <w:tcPr>
            <w:tcW w:w="260" w:type="dxa"/>
            <w:vAlign w:val="bottom"/>
          </w:tcPr>
          <w:p>
            <w:pPr>
              <w:spacing w:after="0"/>
              <w:rPr>
                <w:sz w:val="16"/>
                <w:szCs w:val="16"/>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560"/>
              <w:spacing w:after="0"/>
              <w:rPr>
                <w:sz w:val="20"/>
                <w:szCs w:val="20"/>
                <w:color w:val="auto"/>
              </w:rPr>
            </w:pPr>
            <w:r>
              <w:rPr>
                <w:rFonts w:ascii="Arial" w:cs="Arial" w:eastAsia="Arial" w:hAnsi="Arial"/>
                <w:sz w:val="15"/>
                <w:szCs w:val="15"/>
                <w:color w:val="auto"/>
                <w:w w:val="93"/>
              </w:rPr>
              <w:t>—</w:t>
            </w:r>
          </w:p>
        </w:tc>
        <w:tc>
          <w:tcPr>
            <w:tcW w:w="260" w:type="dxa"/>
            <w:vAlign w:val="bottom"/>
          </w:tcPr>
          <w:p>
            <w:pPr>
              <w:spacing w:after="0"/>
              <w:rPr>
                <w:sz w:val="16"/>
                <w:szCs w:val="16"/>
                <w:color w:val="auto"/>
              </w:rPr>
            </w:pPr>
          </w:p>
        </w:tc>
        <w:tc>
          <w:tcPr>
            <w:tcW w:w="620" w:type="dxa"/>
            <w:vAlign w:val="bottom"/>
          </w:tcPr>
          <w:p>
            <w:pPr>
              <w:jc w:val="right"/>
              <w:ind w:right="468"/>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5"/>
                <w:szCs w:val="15"/>
                <w:color w:val="auto"/>
                <w:w w:val="96"/>
              </w:rPr>
              <w:t>(380)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223,649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8" w:right="260" w:firstLine="520"/>
        <w:spacing w:after="0" w:line="300" w:lineRule="auto"/>
        <w:rPr>
          <w:sz w:val="20"/>
          <w:szCs w:val="20"/>
          <w:color w:val="auto"/>
        </w:rPr>
      </w:pPr>
      <w:r>
        <w:rPr>
          <w:rFonts w:ascii="Arial" w:cs="Arial" w:eastAsia="Arial" w:hAnsi="Arial"/>
          <w:sz w:val="14"/>
          <w:szCs w:val="14"/>
          <w:color w:val="auto"/>
        </w:rPr>
        <w:t>At June 30, 2018, the remaining contractual maturities of available-for-sale securities were at or less than one year. There have been no significant realized gains or losses on available-for-sale securities for the periods presented. All marketable securities with unrealized losses at June 30, 2018 have a loss that was considered to be temporary in nature. The Company does not intend to sell the investments that are in an unrealized loss position before recovery of their amortized cost basis.</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300" w:type="dxa"/>
            <w:vAlign w:val="bottom"/>
          </w:tcPr>
          <w:p>
            <w:pPr>
              <w:spacing w:after="0"/>
              <w:rPr>
                <w:sz w:val="20"/>
                <w:szCs w:val="20"/>
                <w:color w:val="auto"/>
              </w:rPr>
            </w:pPr>
            <w:r>
              <w:rPr>
                <w:rFonts w:ascii="Arial" w:cs="Arial" w:eastAsia="Arial" w:hAnsi="Arial"/>
                <w:sz w:val="15"/>
                <w:szCs w:val="15"/>
                <w:b w:val="1"/>
                <w:bCs w:val="1"/>
                <w:color w:val="auto"/>
              </w:rPr>
              <w:t>4.</w:t>
            </w:r>
          </w:p>
        </w:tc>
        <w:tc>
          <w:tcPr>
            <w:tcW w:w="5240" w:type="dxa"/>
            <w:vAlign w:val="bottom"/>
            <w:gridSpan w:val="2"/>
          </w:tcPr>
          <w:p>
            <w:pPr>
              <w:ind w:left="220"/>
              <w:spacing w:after="0"/>
              <w:rPr>
                <w:sz w:val="20"/>
                <w:szCs w:val="20"/>
                <w:color w:val="auto"/>
              </w:rPr>
            </w:pPr>
            <w:r>
              <w:rPr>
                <w:rFonts w:ascii="Arial" w:cs="Arial" w:eastAsia="Arial" w:hAnsi="Arial"/>
                <w:sz w:val="15"/>
                <w:szCs w:val="15"/>
                <w:b w:val="1"/>
                <w:bCs w:val="1"/>
                <w:color w:val="auto"/>
              </w:rPr>
              <w:t>Balance Sheet Components</w:t>
            </w: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540" w:type="dxa"/>
            <w:vAlign w:val="bottom"/>
            <w:gridSpan w:val="3"/>
          </w:tcPr>
          <w:p>
            <w:pPr>
              <w:spacing w:after="0"/>
              <w:rPr>
                <w:sz w:val="20"/>
                <w:szCs w:val="20"/>
                <w:color w:val="auto"/>
              </w:rPr>
            </w:pPr>
            <w:r>
              <w:rPr>
                <w:rFonts w:ascii="Arial" w:cs="Arial" w:eastAsia="Arial" w:hAnsi="Arial"/>
                <w:sz w:val="15"/>
                <w:szCs w:val="15"/>
                <w:b w:val="1"/>
                <w:bCs w:val="1"/>
                <w:color w:val="auto"/>
              </w:rPr>
              <w:t>Inventory</w:t>
            </w: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300" w:type="dxa"/>
            <w:vAlign w:val="bottom"/>
          </w:tcPr>
          <w:p>
            <w:pPr>
              <w:spacing w:after="0"/>
              <w:rPr>
                <w:sz w:val="22"/>
                <w:szCs w:val="22"/>
                <w:color w:val="auto"/>
              </w:rPr>
            </w:pPr>
          </w:p>
        </w:tc>
        <w:tc>
          <w:tcPr>
            <w:tcW w:w="5240" w:type="dxa"/>
            <w:vAlign w:val="bottom"/>
            <w:gridSpan w:val="2"/>
          </w:tcPr>
          <w:p>
            <w:pPr>
              <w:ind w:left="220"/>
              <w:spacing w:after="0"/>
              <w:rPr>
                <w:sz w:val="20"/>
                <w:szCs w:val="20"/>
                <w:color w:val="auto"/>
              </w:rPr>
            </w:pPr>
            <w:r>
              <w:rPr>
                <w:rFonts w:ascii="Arial" w:cs="Arial" w:eastAsia="Arial" w:hAnsi="Arial"/>
                <w:sz w:val="15"/>
                <w:szCs w:val="15"/>
                <w:color w:val="auto"/>
              </w:rPr>
              <w:t>Inventory consists of the following (in thousands):</w:t>
            </w:r>
          </w:p>
        </w:tc>
        <w:tc>
          <w:tcPr>
            <w:tcW w:w="1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jc w:val="center"/>
              <w:ind w:left="381"/>
              <w:spacing w:after="0"/>
              <w:rPr>
                <w:sz w:val="20"/>
                <w:szCs w:val="20"/>
                <w:color w:val="auto"/>
              </w:rPr>
            </w:pPr>
            <w:r>
              <w:rPr>
                <w:rFonts w:ascii="Arial" w:cs="Arial" w:eastAsia="Arial" w:hAnsi="Arial"/>
                <w:sz w:val="12"/>
                <w:szCs w:val="12"/>
                <w:b w:val="1"/>
                <w:bCs w:val="1"/>
                <w:color w:val="auto"/>
                <w:w w:val="87"/>
              </w:rPr>
              <w:t>June 30,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0" w:type="dxa"/>
            <w:vAlign w:val="bottom"/>
            <w:tcBorders>
              <w:bottom w:val="single" w:sz="8" w:color="CCECFF"/>
            </w:tcBorders>
          </w:tcPr>
          <w:p>
            <w:pPr>
              <w:spacing w:after="0"/>
              <w:rPr>
                <w:sz w:val="15"/>
                <w:szCs w:val="15"/>
                <w:color w:val="auto"/>
              </w:rPr>
            </w:pPr>
          </w:p>
        </w:tc>
        <w:tc>
          <w:tcPr>
            <w:tcW w:w="1280" w:type="dxa"/>
            <w:vAlign w:val="bottom"/>
            <w:tcBorders>
              <w:bottom w:val="single" w:sz="8" w:color="CCECFF"/>
            </w:tcBorders>
          </w:tcPr>
          <w:p>
            <w:pPr>
              <w:spacing w:after="0"/>
              <w:rPr>
                <w:sz w:val="15"/>
                <w:szCs w:val="15"/>
                <w:color w:val="auto"/>
              </w:rPr>
            </w:pPr>
          </w:p>
        </w:tc>
        <w:tc>
          <w:tcPr>
            <w:tcW w:w="1060" w:type="dxa"/>
            <w:vAlign w:val="bottom"/>
            <w:tcBorders>
              <w:bottom w:val="single" w:sz="8" w:color="auto"/>
            </w:tcBorders>
          </w:tcPr>
          <w:p>
            <w:pPr>
              <w:jc w:val="center"/>
              <w:ind w:left="381"/>
              <w:spacing w:after="0"/>
              <w:rPr>
                <w:sz w:val="20"/>
                <w:szCs w:val="20"/>
                <w:color w:val="auto"/>
              </w:rPr>
            </w:pPr>
            <w:r>
              <w:rPr>
                <w:rFonts w:ascii="Arial" w:cs="Arial" w:eastAsia="Arial" w:hAnsi="Arial"/>
                <w:sz w:val="12"/>
                <w:szCs w:val="12"/>
                <w:b w:val="1"/>
                <w:bCs w:val="1"/>
                <w:color w:val="auto"/>
                <w:w w:val="97"/>
              </w:rPr>
              <w:t>2018</w:t>
            </w: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08"/>
              <w:spacing w:after="0"/>
              <w:rPr>
                <w:sz w:val="20"/>
                <w:szCs w:val="20"/>
                <w:color w:val="auto"/>
              </w:rPr>
            </w:pPr>
            <w:r>
              <w:rPr>
                <w:rFonts w:ascii="Arial" w:cs="Arial" w:eastAsia="Arial" w:hAnsi="Arial"/>
                <w:sz w:val="12"/>
                <w:szCs w:val="12"/>
                <w:b w:val="1"/>
                <w:bCs w:val="1"/>
                <w:color w:val="auto"/>
                <w:w w:val="89"/>
              </w:rPr>
              <w:t>2017</w:t>
            </w:r>
          </w:p>
        </w:tc>
        <w:tc>
          <w:tcPr>
            <w:tcW w:w="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0" w:type="dxa"/>
            <w:vAlign w:val="bottom"/>
            <w:shd w:val="clear" w:color="auto" w:fill="CCECFF"/>
          </w:tcPr>
          <w:p>
            <w:pPr>
              <w:spacing w:after="0"/>
              <w:rPr>
                <w:sz w:val="20"/>
                <w:szCs w:val="20"/>
                <w:color w:val="auto"/>
              </w:rPr>
            </w:pPr>
            <w:r>
              <w:rPr>
                <w:rFonts w:ascii="Arial" w:cs="Arial" w:eastAsia="Arial" w:hAnsi="Arial"/>
                <w:sz w:val="15"/>
                <w:szCs w:val="15"/>
                <w:color w:val="auto"/>
              </w:rPr>
              <w:t>Work-in-progress</w:t>
            </w:r>
          </w:p>
        </w:tc>
        <w:tc>
          <w:tcPr>
            <w:tcW w:w="2340" w:type="dxa"/>
            <w:vAlign w:val="bottom"/>
            <w:gridSpan w:val="2"/>
            <w:shd w:val="clear" w:color="auto" w:fill="CCECFF"/>
          </w:tcPr>
          <w:p>
            <w:pPr>
              <w:jc w:val="right"/>
              <w:ind w:right="941"/>
              <w:spacing w:after="0"/>
              <w:rPr>
                <w:sz w:val="20"/>
                <w:szCs w:val="20"/>
                <w:color w:val="auto"/>
              </w:rPr>
            </w:pPr>
            <w:r>
              <w:rPr>
                <w:rFonts w:ascii="Arial" w:cs="Arial" w:eastAsia="Arial" w:hAnsi="Arial"/>
                <w:sz w:val="15"/>
                <w:szCs w:val="15"/>
                <w:color w:val="auto"/>
              </w:rPr>
              <w:t>$</w:t>
            </w:r>
          </w:p>
        </w:tc>
        <w:tc>
          <w:tcPr>
            <w:tcW w:w="5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5"/>
                <w:szCs w:val="15"/>
                <w:color w:val="auto"/>
              </w:rPr>
              <w:t>2,880</w:t>
            </w:r>
          </w:p>
        </w:tc>
        <w:tc>
          <w:tcPr>
            <w:tcW w:w="280" w:type="dxa"/>
            <w:vAlign w:val="bottom"/>
            <w:tcBorders>
              <w:right w:val="single" w:sz="8" w:color="CCECFF"/>
            </w:tcBorders>
            <w:shd w:val="clear" w:color="auto" w:fill="CCECFF"/>
          </w:tcPr>
          <w:p>
            <w:pPr>
              <w:spacing w:after="0"/>
              <w:rPr>
                <w:sz w:val="16"/>
                <w:szCs w:val="16"/>
                <w:color w:val="auto"/>
              </w:rPr>
            </w:pPr>
          </w:p>
        </w:tc>
        <w:tc>
          <w:tcPr>
            <w:tcW w:w="240" w:type="dxa"/>
            <w:vAlign w:val="bottom"/>
            <w:shd w:val="clear" w:color="auto" w:fill="CCECFF"/>
          </w:tcPr>
          <w:p>
            <w:pPr>
              <w:jc w:val="right"/>
              <w:ind w:right="13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737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0" w:type="dxa"/>
            <w:vAlign w:val="bottom"/>
            <w:tcBorders>
              <w:bottom w:val="single" w:sz="8" w:color="CCECFF"/>
            </w:tcBorders>
          </w:tcPr>
          <w:p>
            <w:pPr>
              <w:spacing w:after="0"/>
              <w:rPr>
                <w:sz w:val="20"/>
                <w:szCs w:val="20"/>
                <w:color w:val="auto"/>
              </w:rPr>
            </w:pPr>
            <w:r>
              <w:rPr>
                <w:rFonts w:ascii="Arial" w:cs="Arial" w:eastAsia="Arial" w:hAnsi="Arial"/>
                <w:sz w:val="15"/>
                <w:szCs w:val="15"/>
                <w:color w:val="auto"/>
              </w:rPr>
              <w:t>Finished goods</w:t>
            </w:r>
          </w:p>
        </w:tc>
        <w:tc>
          <w:tcPr>
            <w:tcW w:w="1280" w:type="dxa"/>
            <w:vAlign w:val="bottom"/>
            <w:tcBorders>
              <w:bottom w:val="single" w:sz="8" w:color="CCEC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w:t>
            </w:r>
          </w:p>
        </w:tc>
        <w:tc>
          <w:tcPr>
            <w:tcW w:w="28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c>
          <w:tcPr>
            <w:tcW w:w="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0" w:type="dxa"/>
            <w:vAlign w:val="bottom"/>
            <w:shd w:val="clear" w:color="auto" w:fill="CCECFF"/>
          </w:tcPr>
          <w:p>
            <w:pPr>
              <w:spacing w:after="0"/>
              <w:rPr>
                <w:sz w:val="20"/>
                <w:szCs w:val="20"/>
                <w:color w:val="auto"/>
              </w:rPr>
            </w:pPr>
            <w:r>
              <w:rPr>
                <w:rFonts w:ascii="Arial" w:cs="Arial" w:eastAsia="Arial" w:hAnsi="Arial"/>
                <w:sz w:val="15"/>
                <w:szCs w:val="15"/>
                <w:color w:val="auto"/>
              </w:rPr>
              <w:t>Total inventory</w:t>
            </w:r>
          </w:p>
        </w:tc>
        <w:tc>
          <w:tcPr>
            <w:tcW w:w="1280" w:type="dxa"/>
            <w:vAlign w:val="bottom"/>
            <w:tcBorders>
              <w:right w:val="single" w:sz="8" w:color="CCECFF"/>
            </w:tcBorders>
            <w:shd w:val="clear" w:color="auto" w:fill="CCECFF"/>
          </w:tcPr>
          <w:p>
            <w:pPr>
              <w:spacing w:after="0"/>
              <w:rPr>
                <w:sz w:val="16"/>
                <w:szCs w:val="16"/>
                <w:color w:val="auto"/>
              </w:rPr>
            </w:pPr>
          </w:p>
        </w:tc>
        <w:tc>
          <w:tcPr>
            <w:tcW w:w="1060" w:type="dxa"/>
            <w:vAlign w:val="bottom"/>
            <w:shd w:val="clear" w:color="auto" w:fill="CCECFF"/>
          </w:tcPr>
          <w:p>
            <w:pPr>
              <w:jc w:val="right"/>
              <w:ind w:right="941"/>
              <w:spacing w:after="0"/>
              <w:rPr>
                <w:sz w:val="20"/>
                <w:szCs w:val="20"/>
                <w:color w:val="auto"/>
              </w:rPr>
            </w:pPr>
            <w:r>
              <w:rPr>
                <w:rFonts w:ascii="Arial" w:cs="Arial" w:eastAsia="Arial" w:hAnsi="Arial"/>
                <w:sz w:val="10"/>
                <w:szCs w:val="10"/>
                <w:color w:val="auto"/>
                <w:w w:val="71"/>
              </w:rPr>
              <w:t>$</w:t>
            </w:r>
          </w:p>
        </w:tc>
        <w:tc>
          <w:tcPr>
            <w:tcW w:w="5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5"/>
                <w:szCs w:val="15"/>
                <w:color w:val="auto"/>
              </w:rPr>
              <w:t>3,342</w:t>
            </w:r>
          </w:p>
        </w:tc>
        <w:tc>
          <w:tcPr>
            <w:tcW w:w="280" w:type="dxa"/>
            <w:vAlign w:val="bottom"/>
            <w:tcBorders>
              <w:right w:val="single" w:sz="8" w:color="CCECFF"/>
            </w:tcBorders>
            <w:shd w:val="clear" w:color="auto" w:fill="CCECFF"/>
          </w:tcPr>
          <w:p>
            <w:pPr>
              <w:spacing w:after="0"/>
              <w:rPr>
                <w:sz w:val="16"/>
                <w:szCs w:val="16"/>
                <w:color w:val="auto"/>
              </w:rPr>
            </w:pPr>
          </w:p>
        </w:tc>
        <w:tc>
          <w:tcPr>
            <w:tcW w:w="240" w:type="dxa"/>
            <w:vAlign w:val="bottom"/>
            <w:shd w:val="clear" w:color="auto" w:fill="CCECFF"/>
          </w:tcPr>
          <w:p>
            <w:pPr>
              <w:jc w:val="right"/>
              <w:ind w:right="13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757</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0" w:type="dxa"/>
            <w:vAlign w:val="bottom"/>
            <w:shd w:val="clear" w:color="auto" w:fill="CCECFF"/>
          </w:tcPr>
          <w:p>
            <w:pPr>
              <w:spacing w:after="0" w:line="20" w:lineRule="exact"/>
              <w:rPr>
                <w:sz w:val="1"/>
                <w:szCs w:val="1"/>
                <w:color w:val="auto"/>
              </w:rPr>
            </w:pPr>
          </w:p>
        </w:tc>
        <w:tc>
          <w:tcPr>
            <w:tcW w:w="1280" w:type="dxa"/>
            <w:vAlign w:val="bottom"/>
            <w:tcBorders>
              <w:right w:val="single" w:sz="8" w:color="auto"/>
            </w:tcBorders>
            <w:shd w:val="clear" w:color="auto" w:fill="CCEC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Borders>
              <w:right w:val="single" w:sz="8" w:color="CCECFF"/>
            </w:tcBorders>
            <w:shd w:val="clear" w:color="auto" w:fill="000000"/>
          </w:tcPr>
          <w:p>
            <w:pPr>
              <w:spacing w:after="0" w:line="20" w:lineRule="exact"/>
              <w:rPr>
                <w:sz w:val="1"/>
                <w:szCs w:val="1"/>
                <w:color w:val="auto"/>
              </w:rPr>
            </w:pPr>
          </w:p>
        </w:tc>
        <w:tc>
          <w:tcPr>
            <w:tcW w:w="280" w:type="dxa"/>
            <w:vAlign w:val="bottom"/>
            <w:tcBorders>
              <w:right w:val="single" w:sz="8" w:color="CCECFF"/>
            </w:tcBorders>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40" w:type="dxa"/>
            <w:vAlign w:val="bottom"/>
            <w:gridSpan w:val="3"/>
            <w:vMerge w:val="restart"/>
          </w:tcPr>
          <w:p>
            <w:pPr>
              <w:spacing w:after="0"/>
              <w:rPr>
                <w:sz w:val="20"/>
                <w:szCs w:val="20"/>
                <w:color w:val="auto"/>
              </w:rPr>
            </w:pPr>
            <w:r>
              <w:rPr>
                <w:rFonts w:ascii="Arial" w:cs="Arial" w:eastAsia="Arial" w:hAnsi="Arial"/>
                <w:sz w:val="15"/>
                <w:szCs w:val="15"/>
                <w:b w:val="1"/>
                <w:bCs w:val="1"/>
                <w:color w:val="auto"/>
              </w:rPr>
              <w:t>Accrued Liabilities</w:t>
            </w:r>
          </w:p>
        </w:tc>
        <w:tc>
          <w:tcPr>
            <w:tcW w:w="1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5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00" w:type="dxa"/>
            <w:vAlign w:val="bottom"/>
          </w:tcPr>
          <w:p>
            <w:pPr>
              <w:spacing w:after="0"/>
              <w:rPr>
                <w:sz w:val="21"/>
                <w:szCs w:val="21"/>
                <w:color w:val="auto"/>
              </w:rPr>
            </w:pPr>
          </w:p>
        </w:tc>
        <w:tc>
          <w:tcPr>
            <w:tcW w:w="5240" w:type="dxa"/>
            <w:vAlign w:val="bottom"/>
            <w:gridSpan w:val="2"/>
          </w:tcPr>
          <w:p>
            <w:pPr>
              <w:ind w:left="220"/>
              <w:spacing w:after="0"/>
              <w:rPr>
                <w:sz w:val="20"/>
                <w:szCs w:val="20"/>
                <w:color w:val="auto"/>
              </w:rPr>
            </w:pPr>
            <w:r>
              <w:rPr>
                <w:rFonts w:ascii="Arial" w:cs="Arial" w:eastAsia="Arial" w:hAnsi="Arial"/>
                <w:sz w:val="15"/>
                <w:szCs w:val="15"/>
                <w:color w:val="auto"/>
              </w:rPr>
              <w:t>Accrued liabilities consist of the following (in thousands):</w:t>
            </w: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4"/>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jc w:val="center"/>
              <w:ind w:left="421"/>
              <w:spacing w:after="0"/>
              <w:rPr>
                <w:sz w:val="20"/>
                <w:szCs w:val="20"/>
                <w:color w:val="auto"/>
              </w:rPr>
            </w:pPr>
            <w:r>
              <w:rPr>
                <w:rFonts w:ascii="Arial" w:cs="Arial" w:eastAsia="Arial" w:hAnsi="Arial"/>
                <w:sz w:val="12"/>
                <w:szCs w:val="12"/>
                <w:b w:val="1"/>
                <w:bCs w:val="1"/>
                <w:color w:val="auto"/>
                <w:w w:val="87"/>
              </w:rPr>
              <w:t>June 30,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0" w:type="dxa"/>
            <w:vAlign w:val="bottom"/>
            <w:tcBorders>
              <w:bottom w:val="single" w:sz="8" w:color="CCECFF"/>
            </w:tcBorders>
          </w:tcPr>
          <w:p>
            <w:pPr>
              <w:spacing w:after="0"/>
              <w:rPr>
                <w:sz w:val="15"/>
                <w:szCs w:val="15"/>
                <w:color w:val="auto"/>
              </w:rPr>
            </w:pPr>
          </w:p>
        </w:tc>
        <w:tc>
          <w:tcPr>
            <w:tcW w:w="1280" w:type="dxa"/>
            <w:vAlign w:val="bottom"/>
            <w:tcBorders>
              <w:bottom w:val="single" w:sz="8" w:color="CCECFF"/>
            </w:tcBorders>
          </w:tcPr>
          <w:p>
            <w:pPr>
              <w:spacing w:after="0"/>
              <w:rPr>
                <w:sz w:val="15"/>
                <w:szCs w:val="15"/>
                <w:color w:val="auto"/>
              </w:rPr>
            </w:pPr>
          </w:p>
        </w:tc>
        <w:tc>
          <w:tcPr>
            <w:tcW w:w="1060" w:type="dxa"/>
            <w:vAlign w:val="bottom"/>
            <w:tcBorders>
              <w:bottom w:val="single" w:sz="8" w:color="auto"/>
            </w:tcBorders>
          </w:tcPr>
          <w:p>
            <w:pPr>
              <w:jc w:val="center"/>
              <w:ind w:left="421"/>
              <w:spacing w:after="0"/>
              <w:rPr>
                <w:sz w:val="20"/>
                <w:szCs w:val="20"/>
                <w:color w:val="auto"/>
              </w:rPr>
            </w:pPr>
            <w:r>
              <w:rPr>
                <w:rFonts w:ascii="Arial" w:cs="Arial" w:eastAsia="Arial" w:hAnsi="Arial"/>
                <w:sz w:val="12"/>
                <w:szCs w:val="12"/>
                <w:b w:val="1"/>
                <w:bCs w:val="1"/>
                <w:color w:val="auto"/>
                <w:w w:val="97"/>
              </w:rPr>
              <w:t>2018</w:t>
            </w: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CCEC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08"/>
              <w:spacing w:after="0"/>
              <w:rPr>
                <w:sz w:val="20"/>
                <w:szCs w:val="20"/>
                <w:color w:val="auto"/>
              </w:rPr>
            </w:pPr>
            <w:r>
              <w:rPr>
                <w:rFonts w:ascii="Arial" w:cs="Arial" w:eastAsia="Arial" w:hAnsi="Arial"/>
                <w:sz w:val="12"/>
                <w:szCs w:val="12"/>
                <w:b w:val="1"/>
                <w:bCs w:val="1"/>
                <w:color w:val="auto"/>
                <w:w w:val="89"/>
              </w:rPr>
              <w:t>2017</w:t>
            </w:r>
          </w:p>
        </w:tc>
        <w:tc>
          <w:tcPr>
            <w:tcW w:w="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0" w:type="dxa"/>
            <w:vAlign w:val="bottom"/>
            <w:shd w:val="clear" w:color="auto" w:fill="CCECFF"/>
          </w:tcPr>
          <w:p>
            <w:pPr>
              <w:spacing w:after="0"/>
              <w:rPr>
                <w:sz w:val="20"/>
                <w:szCs w:val="20"/>
                <w:color w:val="auto"/>
              </w:rPr>
            </w:pPr>
            <w:r>
              <w:rPr>
                <w:rFonts w:ascii="Arial" w:cs="Arial" w:eastAsia="Arial" w:hAnsi="Arial"/>
                <w:sz w:val="15"/>
                <w:szCs w:val="15"/>
                <w:color w:val="auto"/>
              </w:rPr>
              <w:t>Research and clinical study expenses</w:t>
            </w:r>
          </w:p>
        </w:tc>
        <w:tc>
          <w:tcPr>
            <w:tcW w:w="2340" w:type="dxa"/>
            <w:vAlign w:val="bottom"/>
            <w:gridSpan w:val="2"/>
            <w:shd w:val="clear" w:color="auto" w:fill="CCECFF"/>
          </w:tcPr>
          <w:p>
            <w:pPr>
              <w:jc w:val="right"/>
              <w:ind w:right="921"/>
              <w:spacing w:after="0"/>
              <w:rPr>
                <w:sz w:val="20"/>
                <w:szCs w:val="20"/>
                <w:color w:val="auto"/>
              </w:rPr>
            </w:pPr>
            <w:r>
              <w:rPr>
                <w:rFonts w:ascii="Arial" w:cs="Arial" w:eastAsia="Arial" w:hAnsi="Arial"/>
                <w:sz w:val="15"/>
                <w:szCs w:val="15"/>
                <w:color w:val="auto"/>
              </w:rPr>
              <w:t>$</w:t>
            </w:r>
          </w:p>
        </w:tc>
        <w:tc>
          <w:tcPr>
            <w:tcW w:w="5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5"/>
                <w:szCs w:val="15"/>
                <w:color w:val="auto"/>
              </w:rPr>
              <w:t>22,761</w:t>
            </w:r>
          </w:p>
        </w:tc>
        <w:tc>
          <w:tcPr>
            <w:tcW w:w="280" w:type="dxa"/>
            <w:vAlign w:val="bottom"/>
            <w:tcBorders>
              <w:right w:val="single" w:sz="8" w:color="CCECFF"/>
            </w:tcBorders>
            <w:shd w:val="clear" w:color="auto" w:fill="CCECFF"/>
          </w:tcPr>
          <w:p>
            <w:pPr>
              <w:spacing w:after="0"/>
              <w:rPr>
                <w:sz w:val="16"/>
                <w:szCs w:val="16"/>
                <w:color w:val="auto"/>
              </w:rPr>
            </w:pPr>
          </w:p>
        </w:tc>
        <w:tc>
          <w:tcPr>
            <w:tcW w:w="240" w:type="dxa"/>
            <w:vAlign w:val="bottom"/>
            <w:shd w:val="clear" w:color="auto" w:fill="CCECFF"/>
          </w:tcPr>
          <w:p>
            <w:pPr>
              <w:jc w:val="right"/>
              <w:ind w:right="13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17,141</w:t>
            </w:r>
          </w:p>
        </w:tc>
        <w:tc>
          <w:tcPr>
            <w:tcW w:w="8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240" w:type="dxa"/>
            <w:vAlign w:val="bottom"/>
            <w:gridSpan w:val="2"/>
          </w:tcPr>
          <w:p>
            <w:pPr>
              <w:ind w:left="840"/>
              <w:spacing w:after="0"/>
              <w:rPr>
                <w:sz w:val="20"/>
                <w:szCs w:val="20"/>
                <w:color w:val="auto"/>
              </w:rPr>
            </w:pPr>
            <w:r>
              <w:rPr>
                <w:rFonts w:ascii="Arial" w:cs="Arial" w:eastAsia="Arial" w:hAnsi="Arial"/>
                <w:sz w:val="15"/>
                <w:szCs w:val="15"/>
                <w:color w:val="auto"/>
              </w:rPr>
              <w:t>Payroll and related expenses</w:t>
            </w: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23,479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26,527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0" w:type="dxa"/>
            <w:vAlign w:val="bottom"/>
            <w:shd w:val="clear" w:color="auto" w:fill="CCECFF"/>
          </w:tcPr>
          <w:p>
            <w:pPr>
              <w:spacing w:after="0"/>
              <w:rPr>
                <w:sz w:val="20"/>
                <w:szCs w:val="20"/>
                <w:color w:val="auto"/>
              </w:rPr>
            </w:pPr>
            <w:r>
              <w:rPr>
                <w:rFonts w:ascii="Arial" w:cs="Arial" w:eastAsia="Arial" w:hAnsi="Arial"/>
                <w:sz w:val="15"/>
                <w:szCs w:val="15"/>
                <w:color w:val="auto"/>
              </w:rPr>
              <w:t>Repayment liability under collaboration agreement</w:t>
            </w:r>
          </w:p>
        </w:tc>
        <w:tc>
          <w:tcPr>
            <w:tcW w:w="1280" w:type="dxa"/>
            <w:vAlign w:val="bottom"/>
            <w:tcBorders>
              <w:right w:val="single" w:sz="8" w:color="CCECFF"/>
            </w:tcBorders>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780" w:type="dxa"/>
            <w:vAlign w:val="bottom"/>
            <w:tcBorders>
              <w:right w:val="single" w:sz="8" w:color="CCECFF"/>
            </w:tcBorders>
            <w:gridSpan w:val="2"/>
            <w:shd w:val="clear" w:color="auto" w:fill="CCECFF"/>
          </w:tcPr>
          <w:p>
            <w:pPr>
              <w:jc w:val="right"/>
              <w:ind w:right="3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CFF"/>
          </w:tcPr>
          <w:p>
            <w:pPr>
              <w:spacing w:after="0"/>
              <w:rPr>
                <w:sz w:val="17"/>
                <w:szCs w:val="17"/>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3,681</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5240" w:type="dxa"/>
            <w:vAlign w:val="bottom"/>
            <w:gridSpan w:val="2"/>
          </w:tcPr>
          <w:p>
            <w:pPr>
              <w:ind w:left="840"/>
              <w:spacing w:after="0"/>
              <w:rPr>
                <w:sz w:val="20"/>
                <w:szCs w:val="20"/>
                <w:color w:val="auto"/>
              </w:rPr>
            </w:pPr>
            <w:r>
              <w:rPr>
                <w:rFonts w:ascii="Arial" w:cs="Arial" w:eastAsia="Arial" w:hAnsi="Arial"/>
                <w:sz w:val="15"/>
                <w:szCs w:val="15"/>
                <w:color w:val="auto"/>
              </w:rPr>
              <w:t>Contract liabilities</w:t>
            </w: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1,244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5,986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0" w:type="dxa"/>
            <w:vAlign w:val="bottom"/>
            <w:shd w:val="clear" w:color="auto" w:fill="CCECFF"/>
          </w:tcPr>
          <w:p>
            <w:pPr>
              <w:spacing w:after="0"/>
              <w:rPr>
                <w:sz w:val="20"/>
                <w:szCs w:val="20"/>
                <w:color w:val="auto"/>
              </w:rPr>
            </w:pPr>
            <w:r>
              <w:rPr>
                <w:rFonts w:ascii="Arial" w:cs="Arial" w:eastAsia="Arial" w:hAnsi="Arial"/>
                <w:sz w:val="15"/>
                <w:szCs w:val="15"/>
                <w:color w:val="auto"/>
              </w:rPr>
              <w:t>Other</w:t>
            </w:r>
          </w:p>
        </w:tc>
        <w:tc>
          <w:tcPr>
            <w:tcW w:w="1280" w:type="dxa"/>
            <w:vAlign w:val="bottom"/>
            <w:tcBorders>
              <w:right w:val="single" w:sz="8" w:color="CCECFF"/>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spacing w:after="0"/>
              <w:rPr>
                <w:sz w:val="17"/>
                <w:szCs w:val="17"/>
                <w:color w:val="auto"/>
              </w:rPr>
            </w:pPr>
          </w:p>
        </w:tc>
        <w:tc>
          <w:tcPr>
            <w:tcW w:w="500" w:type="dxa"/>
            <w:vAlign w:val="bottom"/>
            <w:tcBorders>
              <w:bottom w:val="single" w:sz="8" w:color="auto"/>
              <w:right w:val="single" w:sz="8" w:color="CCECFF"/>
            </w:tcBorders>
            <w:shd w:val="clear" w:color="auto" w:fill="CCECFF"/>
          </w:tcPr>
          <w:p>
            <w:pPr>
              <w:jc w:val="right"/>
              <w:spacing w:after="0"/>
              <w:rPr>
                <w:sz w:val="20"/>
                <w:szCs w:val="20"/>
                <w:color w:val="auto"/>
              </w:rPr>
            </w:pPr>
            <w:r>
              <w:rPr>
                <w:rFonts w:ascii="Arial" w:cs="Arial" w:eastAsia="Arial" w:hAnsi="Arial"/>
                <w:sz w:val="15"/>
                <w:szCs w:val="15"/>
                <w:color w:val="auto"/>
              </w:rPr>
              <w:t>8,251</w:t>
            </w:r>
          </w:p>
        </w:tc>
        <w:tc>
          <w:tcPr>
            <w:tcW w:w="280" w:type="dxa"/>
            <w:vAlign w:val="bottom"/>
            <w:tcBorders>
              <w:right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8,793</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0" w:type="dxa"/>
            <w:vAlign w:val="bottom"/>
          </w:tcPr>
          <w:p>
            <w:pPr>
              <w:ind w:left="220"/>
              <w:spacing w:after="0"/>
              <w:rPr>
                <w:sz w:val="20"/>
                <w:szCs w:val="20"/>
                <w:color w:val="auto"/>
              </w:rPr>
            </w:pPr>
            <w:r>
              <w:rPr>
                <w:rFonts w:ascii="Arial" w:cs="Arial" w:eastAsia="Arial" w:hAnsi="Arial"/>
                <w:sz w:val="15"/>
                <w:szCs w:val="15"/>
                <w:color w:val="auto"/>
              </w:rPr>
              <w:t>Total accrued liabilities</w:t>
            </w:r>
          </w:p>
        </w:tc>
        <w:tc>
          <w:tcPr>
            <w:tcW w:w="2340" w:type="dxa"/>
            <w:vAlign w:val="bottom"/>
            <w:gridSpan w:val="2"/>
          </w:tcPr>
          <w:p>
            <w:pPr>
              <w:jc w:val="right"/>
              <w:ind w:right="921"/>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55,735</w:t>
            </w:r>
          </w:p>
        </w:tc>
        <w:tc>
          <w:tcPr>
            <w:tcW w:w="280" w:type="dxa"/>
            <w:vAlign w:val="bottom"/>
          </w:tcPr>
          <w:p>
            <w:pPr>
              <w:spacing w:after="0"/>
              <w:rPr>
                <w:sz w:val="16"/>
                <w:szCs w:val="16"/>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62,128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528" w:hanging="528"/>
        <w:spacing w:after="0"/>
        <w:tabs>
          <w:tab w:leader="none" w:pos="528"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Revenue</w:t>
      </w:r>
    </w:p>
    <w:p>
      <w:pPr>
        <w:spacing w:after="0" w:line="85" w:lineRule="exact"/>
        <w:rPr>
          <w:rFonts w:ascii="Arial" w:cs="Arial" w:eastAsia="Arial" w:hAnsi="Arial"/>
          <w:sz w:val="15"/>
          <w:szCs w:val="15"/>
          <w:b w:val="1"/>
          <w:bCs w:val="1"/>
          <w:color w:val="auto"/>
        </w:rPr>
      </w:pPr>
    </w:p>
    <w:p>
      <w:pPr>
        <w:ind w:left="528"/>
        <w:spacing w:after="0"/>
        <w:rPr>
          <w:rFonts w:ascii="Arial" w:cs="Arial" w:eastAsia="Arial" w:hAnsi="Arial"/>
          <w:sz w:val="15"/>
          <w:szCs w:val="15"/>
          <w:b w:val="1"/>
          <w:bCs w:val="1"/>
          <w:color w:val="auto"/>
        </w:rPr>
      </w:pPr>
      <w:r>
        <w:rPr>
          <w:rFonts w:ascii="Arial" w:cs="Arial" w:eastAsia="Arial" w:hAnsi="Arial"/>
          <w:sz w:val="15"/>
          <w:szCs w:val="15"/>
          <w:color w:val="auto"/>
        </w:rPr>
        <w:t>The following table disaggregates total revenues from external customers by collaboration and license revenue and product sales (in thousands):</w:t>
      </w:r>
    </w:p>
    <w:p>
      <w:pPr>
        <w:spacing w:after="0" w:line="257" w:lineRule="exact"/>
        <w:rPr>
          <w:sz w:val="20"/>
          <w:szCs w:val="20"/>
          <w:color w:val="auto"/>
        </w:rPr>
      </w:pPr>
    </w:p>
    <w:tbl>
      <w:tblPr>
        <w:tblLayout w:type="fixed"/>
        <w:tblInd w:w="1148" w:type="dxa"/>
        <w:tblCellMar>
          <w:top w:w="0" w:type="dxa"/>
          <w:left w:w="0" w:type="dxa"/>
          <w:bottom w:w="0" w:type="dxa"/>
          <w:right w:w="0" w:type="dxa"/>
        </w:tblCellMar>
      </w:tblPr>
      <w:tr>
        <w:trPr>
          <w:trHeight w:val="147"/>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5"/>
          </w:tcPr>
          <w:p>
            <w:pPr>
              <w:ind w:left="280"/>
              <w:spacing w:after="0"/>
              <w:rPr>
                <w:sz w:val="20"/>
                <w:szCs w:val="20"/>
                <w:color w:val="auto"/>
              </w:rPr>
            </w:pPr>
            <w:r>
              <w:rPr>
                <w:rFonts w:ascii="Arial" w:cs="Arial" w:eastAsia="Arial" w:hAnsi="Arial"/>
                <w:sz w:val="12"/>
                <w:szCs w:val="12"/>
                <w:b w:val="1"/>
                <w:bCs w:val="1"/>
                <w:color w:val="auto"/>
              </w:rPr>
              <w:t>Six Months Ended June 30,</w:t>
            </w:r>
          </w:p>
        </w:tc>
        <w:tc>
          <w:tcPr>
            <w:tcW w:w="80" w:type="dxa"/>
            <w:vAlign w:val="bottom"/>
          </w:tcPr>
          <w:p>
            <w:pPr>
              <w:spacing w:after="0"/>
              <w:rPr>
                <w:sz w:val="12"/>
                <w:szCs w:val="12"/>
                <w:color w:val="auto"/>
              </w:rPr>
            </w:pPr>
          </w:p>
        </w:tc>
      </w:tr>
      <w:tr>
        <w:trPr>
          <w:trHeight w:val="188"/>
        </w:trPr>
        <w:tc>
          <w:tcPr>
            <w:tcW w:w="32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2017</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86"/>
              <w:spacing w:after="0"/>
              <w:rPr>
                <w:sz w:val="20"/>
                <w:szCs w:val="20"/>
                <w:color w:val="auto"/>
              </w:rPr>
            </w:pPr>
            <w:r>
              <w:rPr>
                <w:rFonts w:ascii="Arial" w:cs="Arial" w:eastAsia="Arial" w:hAnsi="Arial"/>
                <w:sz w:val="12"/>
                <w:szCs w:val="12"/>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6"/>
                <w:szCs w:val="16"/>
                <w:color w:val="auto"/>
              </w:rPr>
            </w:pPr>
          </w:p>
        </w:tc>
      </w:tr>
      <w:tr>
        <w:trPr>
          <w:trHeight w:val="188"/>
        </w:trPr>
        <w:tc>
          <w:tcPr>
            <w:tcW w:w="32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5"/>
                <w:szCs w:val="15"/>
                <w:color w:val="auto"/>
              </w:rPr>
              <w:t>Collaboration and license revenue:</w:t>
            </w:r>
          </w:p>
        </w:tc>
        <w:tc>
          <w:tcPr>
            <w:tcW w:w="620" w:type="dxa"/>
            <w:vAlign w:val="bottom"/>
            <w:tcBorders>
              <w:top w:val="single" w:sz="8" w:color="CCECFF"/>
            </w:tcBorders>
            <w:shd w:val="clear" w:color="auto" w:fill="CCECFF"/>
          </w:tcPr>
          <w:p>
            <w:pPr>
              <w:spacing w:after="0"/>
              <w:rPr>
                <w:sz w:val="16"/>
                <w:szCs w:val="16"/>
                <w:color w:val="auto"/>
              </w:rPr>
            </w:pPr>
          </w:p>
        </w:tc>
        <w:tc>
          <w:tcPr>
            <w:tcW w:w="680" w:type="dxa"/>
            <w:vAlign w:val="bottom"/>
            <w:tcBorders>
              <w:top w:val="single" w:sz="8" w:color="auto"/>
            </w:tcBorders>
            <w:shd w:val="clear" w:color="auto" w:fill="CCECFF"/>
          </w:tcPr>
          <w:p>
            <w:pPr>
              <w:spacing w:after="0"/>
              <w:rPr>
                <w:sz w:val="16"/>
                <w:szCs w:val="16"/>
                <w:color w:val="auto"/>
              </w:rPr>
            </w:pPr>
          </w:p>
        </w:tc>
        <w:tc>
          <w:tcPr>
            <w:tcW w:w="440" w:type="dxa"/>
            <w:vAlign w:val="bottom"/>
            <w:tcBorders>
              <w:top w:val="single" w:sz="8" w:color="auto"/>
            </w:tcBorders>
            <w:shd w:val="clear" w:color="auto" w:fill="CCECFF"/>
          </w:tcPr>
          <w:p>
            <w:pPr>
              <w:spacing w:after="0"/>
              <w:rPr>
                <w:sz w:val="16"/>
                <w:szCs w:val="16"/>
                <w:color w:val="auto"/>
              </w:rPr>
            </w:pPr>
          </w:p>
        </w:tc>
        <w:tc>
          <w:tcPr>
            <w:tcW w:w="220" w:type="dxa"/>
            <w:vAlign w:val="bottom"/>
            <w:tcBorders>
              <w:top w:val="single" w:sz="8" w:color="CCECFF"/>
            </w:tcBorders>
            <w:shd w:val="clear" w:color="auto" w:fill="CCECFF"/>
          </w:tcPr>
          <w:p>
            <w:pPr>
              <w:spacing w:after="0"/>
              <w:rPr>
                <w:sz w:val="16"/>
                <w:szCs w:val="16"/>
                <w:color w:val="auto"/>
              </w:rPr>
            </w:pPr>
          </w:p>
        </w:tc>
        <w:tc>
          <w:tcPr>
            <w:tcW w:w="820" w:type="dxa"/>
            <w:vAlign w:val="bottom"/>
            <w:tcBorders>
              <w:top w:val="single" w:sz="8" w:color="auto"/>
            </w:tcBorders>
            <w:shd w:val="clear" w:color="auto" w:fill="CCECFF"/>
          </w:tcPr>
          <w:p>
            <w:pPr>
              <w:spacing w:after="0"/>
              <w:rPr>
                <w:sz w:val="16"/>
                <w:szCs w:val="16"/>
                <w:color w:val="auto"/>
              </w:rPr>
            </w:pPr>
          </w:p>
        </w:tc>
        <w:tc>
          <w:tcPr>
            <w:tcW w:w="320" w:type="dxa"/>
            <w:vAlign w:val="bottom"/>
            <w:tcBorders>
              <w:top w:val="single" w:sz="8" w:color="auto"/>
            </w:tcBorders>
            <w:shd w:val="clear" w:color="auto" w:fill="CCECFF"/>
          </w:tcPr>
          <w:p>
            <w:pPr>
              <w:spacing w:after="0"/>
              <w:rPr>
                <w:sz w:val="16"/>
                <w:szCs w:val="16"/>
                <w:color w:val="auto"/>
              </w:rPr>
            </w:pPr>
          </w:p>
        </w:tc>
        <w:tc>
          <w:tcPr>
            <w:tcW w:w="220" w:type="dxa"/>
            <w:vAlign w:val="bottom"/>
            <w:tcBorders>
              <w:top w:val="single" w:sz="8" w:color="CCECFF"/>
            </w:tcBorders>
            <w:shd w:val="clear" w:color="auto" w:fill="CCECFF"/>
          </w:tcPr>
          <w:p>
            <w:pPr>
              <w:spacing w:after="0"/>
              <w:rPr>
                <w:sz w:val="16"/>
                <w:szCs w:val="16"/>
                <w:color w:val="auto"/>
              </w:rPr>
            </w:pPr>
          </w:p>
        </w:tc>
        <w:tc>
          <w:tcPr>
            <w:tcW w:w="260" w:type="dxa"/>
            <w:vAlign w:val="bottom"/>
            <w:tcBorders>
              <w:top w:val="single" w:sz="8" w:color="auto"/>
            </w:tcBorders>
            <w:shd w:val="clear" w:color="auto" w:fill="CCECFF"/>
          </w:tcPr>
          <w:p>
            <w:pPr>
              <w:spacing w:after="0"/>
              <w:rPr>
                <w:sz w:val="16"/>
                <w:szCs w:val="16"/>
                <w:color w:val="auto"/>
              </w:rPr>
            </w:pPr>
          </w:p>
        </w:tc>
        <w:tc>
          <w:tcPr>
            <w:tcW w:w="880" w:type="dxa"/>
            <w:vAlign w:val="bottom"/>
            <w:tcBorders>
              <w:top w:val="single" w:sz="8" w:color="auto"/>
            </w:tcBorders>
            <w:shd w:val="clear" w:color="auto" w:fill="CCECFF"/>
          </w:tcPr>
          <w:p>
            <w:pPr>
              <w:spacing w:after="0"/>
              <w:rPr>
                <w:sz w:val="16"/>
                <w:szCs w:val="16"/>
                <w:color w:val="auto"/>
              </w:rPr>
            </w:pPr>
          </w:p>
        </w:tc>
        <w:tc>
          <w:tcPr>
            <w:tcW w:w="220" w:type="dxa"/>
            <w:vAlign w:val="bottom"/>
            <w:tcBorders>
              <w:top w:val="single" w:sz="8" w:color="CCECFF"/>
            </w:tcBorders>
            <w:shd w:val="clear" w:color="auto" w:fill="CCECFF"/>
          </w:tcPr>
          <w:p>
            <w:pPr>
              <w:spacing w:after="0"/>
              <w:rPr>
                <w:sz w:val="16"/>
                <w:szCs w:val="16"/>
                <w:color w:val="auto"/>
              </w:rPr>
            </w:pPr>
          </w:p>
        </w:tc>
        <w:tc>
          <w:tcPr>
            <w:tcW w:w="20" w:type="dxa"/>
            <w:vAlign w:val="bottom"/>
            <w:tcBorders>
              <w:top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90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r>
      <w:tr>
        <w:trPr>
          <w:trHeight w:val="196"/>
        </w:trPr>
        <w:tc>
          <w:tcPr>
            <w:tcW w:w="3240" w:type="dxa"/>
            <w:vAlign w:val="bottom"/>
          </w:tcPr>
          <w:p>
            <w:pPr>
              <w:ind w:left="100"/>
              <w:spacing w:after="0"/>
              <w:rPr>
                <w:sz w:val="20"/>
                <w:szCs w:val="20"/>
                <w:color w:val="auto"/>
              </w:rPr>
            </w:pPr>
            <w:r>
              <w:rPr>
                <w:rFonts w:ascii="Arial" w:cs="Arial" w:eastAsia="Arial" w:hAnsi="Arial"/>
                <w:sz w:val="15"/>
                <w:szCs w:val="15"/>
                <w:color w:val="auto"/>
              </w:rPr>
              <w:t>KHK (Crysvita)</w:t>
            </w:r>
          </w:p>
        </w:tc>
        <w:tc>
          <w:tcPr>
            <w:tcW w:w="1300" w:type="dxa"/>
            <w:vAlign w:val="bottom"/>
            <w:gridSpan w:val="2"/>
          </w:tcPr>
          <w:p>
            <w:pPr>
              <w:jc w:val="right"/>
              <w:ind w:right="539"/>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1,577</w:t>
            </w:r>
          </w:p>
        </w:tc>
        <w:tc>
          <w:tcPr>
            <w:tcW w:w="1040" w:type="dxa"/>
            <w:vAlign w:val="bottom"/>
            <w:gridSpan w:val="2"/>
          </w:tcPr>
          <w:p>
            <w:pPr>
              <w:jc w:val="right"/>
              <w:ind w:right="740"/>
              <w:spacing w:after="0"/>
              <w:rPr>
                <w:sz w:val="20"/>
                <w:szCs w:val="20"/>
                <w:color w:val="auto"/>
              </w:rPr>
            </w:pPr>
            <w:r>
              <w:rPr>
                <w:rFonts w:ascii="Arial" w:cs="Arial" w:eastAsia="Arial" w:hAnsi="Arial"/>
                <w:sz w:val="15"/>
                <w:szCs w:val="15"/>
                <w:color w:val="auto"/>
              </w:rPr>
              <w:t>$</w:t>
            </w:r>
          </w:p>
        </w:tc>
        <w:tc>
          <w:tcPr>
            <w:tcW w:w="320" w:type="dxa"/>
            <w:vAlign w:val="bottom"/>
          </w:tcPr>
          <w:p>
            <w:pPr>
              <w:ind w:left="14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1,592</w:t>
            </w:r>
          </w:p>
        </w:tc>
        <w:tc>
          <w:tcPr>
            <w:tcW w:w="220" w:type="dxa"/>
            <w:vAlign w:val="bottom"/>
          </w:tcPr>
          <w:p>
            <w:pPr>
              <w:spacing w:after="0"/>
              <w:rPr>
                <w:sz w:val="17"/>
                <w:szCs w:val="17"/>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20"/>
              <w:spacing w:after="0"/>
              <w:rPr>
                <w:sz w:val="20"/>
                <w:szCs w:val="20"/>
                <w:color w:val="auto"/>
              </w:rPr>
            </w:pPr>
            <w:r>
              <w:rPr>
                <w:rFonts w:ascii="Arial" w:cs="Arial" w:eastAsia="Arial" w:hAnsi="Arial"/>
                <w:sz w:val="15"/>
                <w:szCs w:val="15"/>
                <w:color w:val="auto"/>
              </w:rPr>
              <w:t>—</w:t>
            </w:r>
          </w:p>
        </w:tc>
      </w:tr>
      <w:tr>
        <w:trPr>
          <w:trHeight w:val="196"/>
        </w:trPr>
        <w:tc>
          <w:tcPr>
            <w:tcW w:w="3240" w:type="dxa"/>
            <w:vAlign w:val="bottom"/>
            <w:shd w:val="clear" w:color="auto" w:fill="CCECFF"/>
          </w:tcPr>
          <w:p>
            <w:pPr>
              <w:ind w:left="100"/>
              <w:spacing w:after="0"/>
              <w:rPr>
                <w:sz w:val="20"/>
                <w:szCs w:val="20"/>
                <w:color w:val="auto"/>
              </w:rPr>
            </w:pPr>
            <w:r>
              <w:rPr>
                <w:rFonts w:ascii="Arial" w:cs="Arial" w:eastAsia="Arial" w:hAnsi="Arial"/>
                <w:sz w:val="15"/>
                <w:szCs w:val="15"/>
                <w:color w:val="auto"/>
              </w:rPr>
              <w:t>Bayer</w:t>
            </w:r>
          </w:p>
        </w:tc>
        <w:tc>
          <w:tcPr>
            <w:tcW w:w="620" w:type="dxa"/>
            <w:vAlign w:val="bottom"/>
            <w:shd w:val="clear" w:color="auto" w:fill="CCECFF"/>
          </w:tcPr>
          <w:p>
            <w:pPr>
              <w:spacing w:after="0"/>
              <w:rPr>
                <w:sz w:val="17"/>
                <w:szCs w:val="17"/>
                <w:color w:val="auto"/>
              </w:rPr>
            </w:pPr>
          </w:p>
        </w:tc>
        <w:tc>
          <w:tcPr>
            <w:tcW w:w="680" w:type="dxa"/>
            <w:vAlign w:val="bottom"/>
            <w:tcBorders>
              <w:bottom w:val="single" w:sz="8" w:color="auto"/>
            </w:tcBorders>
            <w:shd w:val="clear" w:color="auto" w:fill="CCECFF"/>
          </w:tcPr>
          <w:p>
            <w:pPr>
              <w:spacing w:after="0"/>
              <w:rPr>
                <w:sz w:val="17"/>
                <w:szCs w:val="17"/>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8,942</w:t>
            </w:r>
          </w:p>
        </w:tc>
        <w:tc>
          <w:tcPr>
            <w:tcW w:w="220" w:type="dxa"/>
            <w:vAlign w:val="bottom"/>
            <w:shd w:val="clear" w:color="auto" w:fill="CCECFF"/>
          </w:tcPr>
          <w:p>
            <w:pPr>
              <w:spacing w:after="0"/>
              <w:rPr>
                <w:sz w:val="17"/>
                <w:szCs w:val="17"/>
                <w:color w:val="auto"/>
              </w:rPr>
            </w:pPr>
          </w:p>
        </w:tc>
        <w:tc>
          <w:tcPr>
            <w:tcW w:w="820" w:type="dxa"/>
            <w:vAlign w:val="bottom"/>
            <w:tcBorders>
              <w:bottom w:val="single" w:sz="8" w:color="auto"/>
            </w:tcBorders>
            <w:shd w:val="clear" w:color="auto" w:fill="CCECFF"/>
          </w:tcPr>
          <w:p>
            <w:pPr>
              <w:spacing w:after="0"/>
              <w:rPr>
                <w:sz w:val="17"/>
                <w:szCs w:val="17"/>
                <w:color w:val="auto"/>
              </w:rPr>
            </w:pPr>
          </w:p>
        </w:tc>
        <w:tc>
          <w:tcPr>
            <w:tcW w:w="320" w:type="dxa"/>
            <w:vAlign w:val="bottom"/>
            <w:tcBorders>
              <w:bottom w:val="single" w:sz="8" w:color="auto"/>
            </w:tcBorders>
            <w:shd w:val="clear" w:color="auto" w:fill="CCECFF"/>
          </w:tcPr>
          <w:p>
            <w:pPr>
              <w:ind w:lef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spacing w:after="0"/>
              <w:rPr>
                <w:sz w:val="17"/>
                <w:szCs w:val="17"/>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18,289</w:t>
            </w:r>
          </w:p>
        </w:tc>
        <w:tc>
          <w:tcPr>
            <w:tcW w:w="22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900" w:type="dxa"/>
            <w:vAlign w:val="bottom"/>
            <w:tcBorders>
              <w:bottom w:val="single" w:sz="8" w:color="auto"/>
            </w:tcBorders>
            <w:shd w:val="clear" w:color="auto" w:fill="CCECFF"/>
          </w:tcPr>
          <w:p>
            <w:pPr>
              <w:ind w:left="7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CFF"/>
          </w:tcPr>
          <w:p>
            <w:pPr>
              <w:spacing w:after="0"/>
              <w:rPr>
                <w:sz w:val="17"/>
                <w:szCs w:val="17"/>
                <w:color w:val="auto"/>
              </w:rPr>
            </w:pPr>
          </w:p>
        </w:tc>
      </w:tr>
      <w:tr>
        <w:trPr>
          <w:trHeight w:val="188"/>
        </w:trPr>
        <w:tc>
          <w:tcPr>
            <w:tcW w:w="3240" w:type="dxa"/>
            <w:vAlign w:val="bottom"/>
          </w:tcPr>
          <w:p>
            <w:pPr>
              <w:ind w:left="220"/>
              <w:spacing w:after="0"/>
              <w:rPr>
                <w:sz w:val="20"/>
                <w:szCs w:val="20"/>
                <w:color w:val="auto"/>
              </w:rPr>
            </w:pPr>
            <w:r>
              <w:rPr>
                <w:rFonts w:ascii="Arial" w:cs="Arial" w:eastAsia="Arial" w:hAnsi="Arial"/>
                <w:sz w:val="15"/>
                <w:szCs w:val="15"/>
                <w:color w:val="auto"/>
              </w:rPr>
              <w:t>Total collaboration and license revenue</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7"/>
              </w:rPr>
              <w:t>10,519</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ind w:lef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19,881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ind w:left="720"/>
              <w:spacing w:after="0"/>
              <w:rPr>
                <w:sz w:val="20"/>
                <w:szCs w:val="20"/>
                <w:color w:val="auto"/>
              </w:rPr>
            </w:pPr>
            <w:r>
              <w:rPr>
                <w:rFonts w:ascii="Arial" w:cs="Arial" w:eastAsia="Arial" w:hAnsi="Arial"/>
                <w:sz w:val="15"/>
                <w:szCs w:val="15"/>
                <w:color w:val="auto"/>
              </w:rPr>
              <w:t>—</w:t>
            </w:r>
          </w:p>
        </w:tc>
      </w:tr>
      <w:tr>
        <w:trPr>
          <w:trHeight w:val="196"/>
        </w:trPr>
        <w:tc>
          <w:tcPr>
            <w:tcW w:w="3240" w:type="dxa"/>
            <w:vAlign w:val="bottom"/>
            <w:shd w:val="clear" w:color="auto" w:fill="CCECFF"/>
          </w:tcPr>
          <w:p>
            <w:pPr>
              <w:spacing w:after="0"/>
              <w:rPr>
                <w:sz w:val="20"/>
                <w:szCs w:val="20"/>
                <w:color w:val="auto"/>
              </w:rPr>
            </w:pPr>
            <w:r>
              <w:rPr>
                <w:rFonts w:ascii="Arial" w:cs="Arial" w:eastAsia="Arial" w:hAnsi="Arial"/>
                <w:sz w:val="15"/>
                <w:szCs w:val="15"/>
                <w:color w:val="auto"/>
              </w:rPr>
              <w:t>Product sales:</w:t>
            </w:r>
          </w:p>
        </w:tc>
        <w:tc>
          <w:tcPr>
            <w:tcW w:w="62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4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8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r>
      <w:tr>
        <w:trPr>
          <w:trHeight w:val="196"/>
        </w:trPr>
        <w:tc>
          <w:tcPr>
            <w:tcW w:w="3240" w:type="dxa"/>
            <w:vAlign w:val="bottom"/>
          </w:tcPr>
          <w:p>
            <w:pPr>
              <w:ind w:left="100"/>
              <w:spacing w:after="0"/>
              <w:rPr>
                <w:sz w:val="20"/>
                <w:szCs w:val="20"/>
                <w:color w:val="auto"/>
              </w:rPr>
            </w:pPr>
            <w:r>
              <w:rPr>
                <w:rFonts w:ascii="Arial" w:cs="Arial" w:eastAsia="Arial" w:hAnsi="Arial"/>
                <w:sz w:val="15"/>
                <w:szCs w:val="15"/>
                <w:color w:val="auto"/>
              </w:rPr>
              <w:t>Crysvita</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ind w:left="1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ind w:left="720"/>
              <w:spacing w:after="0"/>
              <w:rPr>
                <w:sz w:val="20"/>
                <w:szCs w:val="20"/>
                <w:color w:val="auto"/>
              </w:rPr>
            </w:pPr>
            <w:r>
              <w:rPr>
                <w:rFonts w:ascii="Arial" w:cs="Arial" w:eastAsia="Arial" w:hAnsi="Arial"/>
                <w:sz w:val="15"/>
                <w:szCs w:val="15"/>
                <w:color w:val="auto"/>
              </w:rPr>
              <w:t>—</w:t>
            </w:r>
          </w:p>
        </w:tc>
      </w:tr>
      <w:tr>
        <w:trPr>
          <w:trHeight w:val="196"/>
        </w:trPr>
        <w:tc>
          <w:tcPr>
            <w:tcW w:w="3240" w:type="dxa"/>
            <w:vAlign w:val="bottom"/>
            <w:shd w:val="clear" w:color="auto" w:fill="CCECFF"/>
          </w:tcPr>
          <w:p>
            <w:pPr>
              <w:ind w:left="100"/>
              <w:spacing w:after="0"/>
              <w:rPr>
                <w:sz w:val="20"/>
                <w:szCs w:val="20"/>
                <w:color w:val="auto"/>
              </w:rPr>
            </w:pPr>
            <w:r>
              <w:rPr>
                <w:rFonts w:ascii="Arial" w:cs="Arial" w:eastAsia="Arial" w:hAnsi="Arial"/>
                <w:sz w:val="15"/>
                <w:szCs w:val="15"/>
                <w:color w:val="auto"/>
              </w:rPr>
              <w:t>Mepsevii</w:t>
            </w:r>
          </w:p>
        </w:tc>
        <w:tc>
          <w:tcPr>
            <w:tcW w:w="62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2,007</w:t>
            </w: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320" w:type="dxa"/>
            <w:vAlign w:val="bottom"/>
            <w:shd w:val="clear" w:color="auto" w:fill="CCECFF"/>
          </w:tcPr>
          <w:p>
            <w:pPr>
              <w:ind w:lef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3,126</w:t>
            </w:r>
          </w:p>
        </w:tc>
        <w:tc>
          <w:tcPr>
            <w:tcW w:w="22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80" w:type="dxa"/>
            <w:vAlign w:val="bottom"/>
            <w:gridSpan w:val="2"/>
            <w:shd w:val="clear" w:color="auto" w:fill="CCECFF"/>
          </w:tcPr>
          <w:p>
            <w:pPr>
              <w:ind w:left="720"/>
              <w:spacing w:after="0"/>
              <w:rPr>
                <w:sz w:val="20"/>
                <w:szCs w:val="20"/>
                <w:color w:val="auto"/>
              </w:rPr>
            </w:pPr>
            <w:r>
              <w:rPr>
                <w:rFonts w:ascii="Arial" w:cs="Arial" w:eastAsia="Arial" w:hAnsi="Arial"/>
                <w:sz w:val="15"/>
                <w:szCs w:val="15"/>
                <w:color w:val="auto"/>
              </w:rPr>
              <w:t>—</w:t>
            </w:r>
          </w:p>
        </w:tc>
      </w:tr>
      <w:tr>
        <w:trPr>
          <w:trHeight w:val="196"/>
        </w:trPr>
        <w:tc>
          <w:tcPr>
            <w:tcW w:w="3240" w:type="dxa"/>
            <w:vAlign w:val="bottom"/>
            <w:tcBorders>
              <w:bottom w:val="single" w:sz="8" w:color="CCECFF"/>
            </w:tcBorders>
          </w:tcPr>
          <w:p>
            <w:pPr>
              <w:ind w:left="100"/>
              <w:spacing w:after="0"/>
              <w:rPr>
                <w:sz w:val="20"/>
                <w:szCs w:val="20"/>
                <w:color w:val="auto"/>
              </w:rPr>
            </w:pPr>
            <w:r>
              <w:rPr>
                <w:rFonts w:ascii="Arial" w:cs="Arial" w:eastAsia="Arial" w:hAnsi="Arial"/>
                <w:sz w:val="15"/>
                <w:szCs w:val="15"/>
                <w:color w:val="auto"/>
              </w:rPr>
              <w:t>UX007</w:t>
            </w:r>
          </w:p>
        </w:tc>
        <w:tc>
          <w:tcPr>
            <w:tcW w:w="620" w:type="dxa"/>
            <w:vAlign w:val="bottom"/>
            <w:tcBorders>
              <w:bottom w:val="single" w:sz="8" w:color="CCEC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w:t>
            </w:r>
          </w:p>
        </w:tc>
        <w:tc>
          <w:tcPr>
            <w:tcW w:w="220" w:type="dxa"/>
            <w:vAlign w:val="bottom"/>
            <w:tcBorders>
              <w:bottom w:val="single" w:sz="8" w:color="CCEC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C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22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CFF"/>
            </w:tcBorders>
          </w:tcPr>
          <w:p>
            <w:pPr>
              <w:spacing w:after="0"/>
              <w:rPr>
                <w:sz w:val="17"/>
                <w:szCs w:val="17"/>
                <w:color w:val="auto"/>
              </w:rPr>
            </w:pPr>
          </w:p>
        </w:tc>
      </w:tr>
      <w:tr>
        <w:trPr>
          <w:trHeight w:val="188"/>
        </w:trPr>
        <w:tc>
          <w:tcPr>
            <w:tcW w:w="3240" w:type="dxa"/>
            <w:vAlign w:val="bottom"/>
            <w:shd w:val="clear" w:color="auto" w:fill="CCECFF"/>
          </w:tcPr>
          <w:p>
            <w:pPr>
              <w:ind w:left="220"/>
              <w:spacing w:after="0"/>
              <w:rPr>
                <w:sz w:val="20"/>
                <w:szCs w:val="20"/>
                <w:color w:val="auto"/>
              </w:rPr>
            </w:pPr>
            <w:r>
              <w:rPr>
                <w:rFonts w:ascii="Arial" w:cs="Arial" w:eastAsia="Arial" w:hAnsi="Arial"/>
                <w:sz w:val="15"/>
                <w:szCs w:val="15"/>
                <w:color w:val="auto"/>
              </w:rPr>
              <w:t>Total product sales</w:t>
            </w:r>
          </w:p>
        </w:tc>
        <w:tc>
          <w:tcPr>
            <w:tcW w:w="620" w:type="dxa"/>
            <w:vAlign w:val="bottom"/>
            <w:shd w:val="clear" w:color="auto" w:fill="CCECFF"/>
          </w:tcPr>
          <w:p>
            <w:pPr>
              <w:spacing w:after="0"/>
              <w:rPr>
                <w:sz w:val="16"/>
                <w:szCs w:val="16"/>
                <w:color w:val="auto"/>
              </w:rPr>
            </w:pPr>
          </w:p>
        </w:tc>
        <w:tc>
          <w:tcPr>
            <w:tcW w:w="680" w:type="dxa"/>
            <w:vAlign w:val="bottom"/>
            <w:tcBorders>
              <w:bottom w:val="single" w:sz="8" w:color="auto"/>
            </w:tcBorders>
            <w:shd w:val="clear" w:color="auto" w:fill="CCECFF"/>
          </w:tcPr>
          <w:p>
            <w:pPr>
              <w:spacing w:after="0"/>
              <w:rPr>
                <w:sz w:val="16"/>
                <w:szCs w:val="16"/>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2,275</w:t>
            </w:r>
          </w:p>
        </w:tc>
        <w:tc>
          <w:tcPr>
            <w:tcW w:w="220" w:type="dxa"/>
            <w:vAlign w:val="bottom"/>
            <w:shd w:val="clear" w:color="auto" w:fill="CCECFF"/>
          </w:tcPr>
          <w:p>
            <w:pPr>
              <w:spacing w:after="0"/>
              <w:rPr>
                <w:sz w:val="16"/>
                <w:szCs w:val="16"/>
                <w:color w:val="auto"/>
              </w:rPr>
            </w:pPr>
          </w:p>
        </w:tc>
        <w:tc>
          <w:tcPr>
            <w:tcW w:w="820" w:type="dxa"/>
            <w:vAlign w:val="bottom"/>
            <w:tcBorders>
              <w:bottom w:val="single" w:sz="8" w:color="auto"/>
            </w:tcBorders>
            <w:shd w:val="clear" w:color="auto" w:fill="CCECFF"/>
          </w:tcPr>
          <w:p>
            <w:pPr>
              <w:spacing w:after="0"/>
              <w:rPr>
                <w:sz w:val="16"/>
                <w:szCs w:val="16"/>
                <w:color w:val="auto"/>
              </w:rPr>
            </w:pPr>
          </w:p>
        </w:tc>
        <w:tc>
          <w:tcPr>
            <w:tcW w:w="320" w:type="dxa"/>
            <w:vAlign w:val="bottom"/>
            <w:tcBorders>
              <w:bottom w:val="single" w:sz="8" w:color="auto"/>
            </w:tcBorders>
            <w:shd w:val="clear" w:color="auto" w:fill="CCECFF"/>
          </w:tcPr>
          <w:p>
            <w:pPr>
              <w:ind w:lef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CFF"/>
          </w:tcPr>
          <w:p>
            <w:pPr>
              <w:spacing w:after="0"/>
              <w:rPr>
                <w:sz w:val="16"/>
                <w:szCs w:val="16"/>
                <w:color w:val="auto"/>
              </w:rPr>
            </w:pPr>
          </w:p>
        </w:tc>
        <w:tc>
          <w:tcPr>
            <w:tcW w:w="260" w:type="dxa"/>
            <w:vAlign w:val="bottom"/>
            <w:tcBorders>
              <w:bottom w:val="single" w:sz="8" w:color="auto"/>
            </w:tcBorders>
            <w:shd w:val="clear" w:color="auto" w:fill="CCECFF"/>
          </w:tcPr>
          <w:p>
            <w:pPr>
              <w:spacing w:after="0"/>
              <w:rPr>
                <w:sz w:val="16"/>
                <w:szCs w:val="16"/>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3,590</w:t>
            </w:r>
          </w:p>
        </w:tc>
        <w:tc>
          <w:tcPr>
            <w:tcW w:w="220" w:type="dxa"/>
            <w:vAlign w:val="bottom"/>
            <w:shd w:val="clear" w:color="auto" w:fill="CCECFF"/>
          </w:tcPr>
          <w:p>
            <w:pPr>
              <w:spacing w:after="0"/>
              <w:rPr>
                <w:sz w:val="16"/>
                <w:szCs w:val="16"/>
                <w:color w:val="auto"/>
              </w:rPr>
            </w:pPr>
          </w:p>
        </w:tc>
        <w:tc>
          <w:tcPr>
            <w:tcW w:w="20" w:type="dxa"/>
            <w:vAlign w:val="bottom"/>
            <w:shd w:val="clear" w:color="auto" w:fill="CCECFF"/>
          </w:tcPr>
          <w:p>
            <w:pPr>
              <w:spacing w:after="0"/>
              <w:rPr>
                <w:sz w:val="16"/>
                <w:szCs w:val="16"/>
                <w:color w:val="auto"/>
              </w:rPr>
            </w:pPr>
          </w:p>
        </w:tc>
        <w:tc>
          <w:tcPr>
            <w:tcW w:w="240" w:type="dxa"/>
            <w:vAlign w:val="bottom"/>
            <w:tcBorders>
              <w:bottom w:val="single" w:sz="8" w:color="auto"/>
            </w:tcBorders>
            <w:shd w:val="clear" w:color="auto" w:fill="CCECFF"/>
          </w:tcPr>
          <w:p>
            <w:pPr>
              <w:spacing w:after="0"/>
              <w:rPr>
                <w:sz w:val="16"/>
                <w:szCs w:val="16"/>
                <w:color w:val="auto"/>
              </w:rPr>
            </w:pPr>
          </w:p>
        </w:tc>
        <w:tc>
          <w:tcPr>
            <w:tcW w:w="900" w:type="dxa"/>
            <w:vAlign w:val="bottom"/>
            <w:tcBorders>
              <w:bottom w:val="single" w:sz="8" w:color="auto"/>
            </w:tcBorders>
            <w:shd w:val="clear" w:color="auto" w:fill="CCECFF"/>
          </w:tcPr>
          <w:p>
            <w:pPr>
              <w:ind w:left="7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CFF"/>
          </w:tcPr>
          <w:p>
            <w:pPr>
              <w:spacing w:after="0"/>
              <w:rPr>
                <w:sz w:val="16"/>
                <w:szCs w:val="16"/>
                <w:color w:val="auto"/>
              </w:rPr>
            </w:pPr>
          </w:p>
        </w:tc>
      </w:tr>
      <w:tr>
        <w:trPr>
          <w:trHeight w:val="188"/>
        </w:trPr>
        <w:tc>
          <w:tcPr>
            <w:tcW w:w="3240" w:type="dxa"/>
            <w:vAlign w:val="bottom"/>
          </w:tcPr>
          <w:p>
            <w:pPr>
              <w:ind w:left="420"/>
              <w:spacing w:after="0"/>
              <w:rPr>
                <w:sz w:val="20"/>
                <w:szCs w:val="20"/>
                <w:color w:val="auto"/>
              </w:rPr>
            </w:pPr>
            <w:r>
              <w:rPr>
                <w:rFonts w:ascii="Arial" w:cs="Arial" w:eastAsia="Arial" w:hAnsi="Arial"/>
                <w:sz w:val="15"/>
                <w:szCs w:val="15"/>
                <w:color w:val="auto"/>
              </w:rPr>
              <w:t>Total revenues</w:t>
            </w:r>
          </w:p>
        </w:tc>
        <w:tc>
          <w:tcPr>
            <w:tcW w:w="1300" w:type="dxa"/>
            <w:vAlign w:val="bottom"/>
            <w:gridSpan w:val="2"/>
          </w:tcPr>
          <w:p>
            <w:pPr>
              <w:jc w:val="right"/>
              <w:ind w:right="539"/>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87"/>
              </w:rPr>
              <w:t>12,794</w:t>
            </w:r>
          </w:p>
        </w:tc>
        <w:tc>
          <w:tcPr>
            <w:tcW w:w="1040" w:type="dxa"/>
            <w:vAlign w:val="bottom"/>
            <w:gridSpan w:val="2"/>
          </w:tcPr>
          <w:p>
            <w:pPr>
              <w:jc w:val="right"/>
              <w:ind w:right="740"/>
              <w:spacing w:after="0"/>
              <w:rPr>
                <w:sz w:val="20"/>
                <w:szCs w:val="20"/>
                <w:color w:val="auto"/>
              </w:rPr>
            </w:pPr>
            <w:r>
              <w:rPr>
                <w:rFonts w:ascii="Arial" w:cs="Arial" w:eastAsia="Arial" w:hAnsi="Arial"/>
                <w:sz w:val="15"/>
                <w:szCs w:val="15"/>
                <w:color w:val="auto"/>
              </w:rPr>
              <w:t>$</w:t>
            </w:r>
          </w:p>
        </w:tc>
        <w:tc>
          <w:tcPr>
            <w:tcW w:w="320" w:type="dxa"/>
            <w:vAlign w:val="bottom"/>
          </w:tcPr>
          <w:p>
            <w:pPr>
              <w:ind w:left="14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23,471</w:t>
            </w:r>
          </w:p>
        </w:tc>
        <w:tc>
          <w:tcPr>
            <w:tcW w:w="220" w:type="dxa"/>
            <w:vAlign w:val="bottom"/>
          </w:tcPr>
          <w:p>
            <w:pPr>
              <w:spacing w:after="0"/>
              <w:rPr>
                <w:sz w:val="16"/>
                <w:szCs w:val="16"/>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20"/>
              <w:spacing w:after="0"/>
              <w:rPr>
                <w:sz w:val="20"/>
                <w:szCs w:val="20"/>
                <w:color w:val="auto"/>
              </w:rPr>
            </w:pPr>
            <w:r>
              <w:rPr>
                <w:rFonts w:ascii="Arial" w:cs="Arial" w:eastAsia="Arial" w:hAnsi="Arial"/>
                <w:sz w:val="15"/>
                <w:szCs w:val="15"/>
                <w:color w:val="auto"/>
              </w:rPr>
              <w:t>—</w:t>
            </w: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63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8"/>
          </w:cols>
          <w:pgMar w:left="232" w:top="189" w:right="219" w:bottom="1440" w:gutter="0" w:footer="0" w:header="0"/>
        </w:sectPr>
      </w:pPr>
    </w:p>
    <w:bookmarkStart w:id="11" w:name="page12"/>
    <w:bookmarkEnd w:id="11"/>
    <w:p>
      <w:pPr>
        <w:ind w:left="528"/>
        <w:spacing w:after="0"/>
        <w:rPr>
          <w:sz w:val="20"/>
          <w:szCs w:val="20"/>
          <w:color w:val="auto"/>
        </w:rPr>
      </w:pPr>
      <w:r>
        <w:rPr>
          <w:rFonts w:ascii="Arial" w:cs="Arial" w:eastAsia="Arial" w:hAnsi="Arial"/>
          <w:sz w:val="15"/>
          <w:szCs w:val="15"/>
          <w:color w:val="auto"/>
        </w:rPr>
        <w:t>The following table disaggregates total revenues based on geographic location (in thousands):</w:t>
      </w:r>
    </w:p>
    <w:p>
      <w:pPr>
        <w:spacing w:after="0" w:line="141" w:lineRule="exact"/>
        <w:rPr>
          <w:sz w:val="20"/>
          <w:szCs w:val="20"/>
          <w:color w:val="auto"/>
        </w:rPr>
      </w:pPr>
    </w:p>
    <w:tbl>
      <w:tblPr>
        <w:tblLayout w:type="fixed"/>
        <w:tblInd w:w="528" w:type="dxa"/>
        <w:tblCellMar>
          <w:top w:w="0" w:type="dxa"/>
          <w:left w:w="0" w:type="dxa"/>
          <w:bottom w:w="0" w:type="dxa"/>
          <w:right w:w="0" w:type="dxa"/>
        </w:tblCellMar>
      </w:tblPr>
      <w:tr>
        <w:trPr>
          <w:trHeight w:val="147"/>
        </w:trPr>
        <w:tc>
          <w:tcPr>
            <w:tcW w:w="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gridSpan w:val="7"/>
          </w:tcPr>
          <w:p>
            <w:pPr>
              <w:jc w:val="right"/>
              <w:ind w:right="460"/>
              <w:spacing w:after="0"/>
              <w:rPr>
                <w:sz w:val="20"/>
                <w:szCs w:val="20"/>
                <w:color w:val="auto"/>
              </w:rPr>
            </w:pPr>
            <w:r>
              <w:rPr>
                <w:rFonts w:ascii="Arial" w:cs="Arial" w:eastAsia="Arial" w:hAnsi="Arial"/>
                <w:sz w:val="12"/>
                <w:szCs w:val="12"/>
                <w:b w:val="1"/>
                <w:bCs w:val="1"/>
                <w:color w:val="auto"/>
              </w:rPr>
              <w:t>Three Months Ended June 30,</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9"/>
          </w:tcPr>
          <w:p>
            <w:pPr>
              <w:ind w:left="380"/>
              <w:spacing w:after="0"/>
              <w:rPr>
                <w:sz w:val="20"/>
                <w:szCs w:val="20"/>
                <w:color w:val="auto"/>
              </w:rPr>
            </w:pPr>
            <w:r>
              <w:rPr>
                <w:rFonts w:ascii="Arial" w:cs="Arial" w:eastAsia="Arial" w:hAnsi="Arial"/>
                <w:sz w:val="12"/>
                <w:szCs w:val="12"/>
                <w:b w:val="1"/>
                <w:bCs w:val="1"/>
                <w:color w:val="auto"/>
              </w:rPr>
              <w:t>Six Months Ended June 30,</w:t>
            </w:r>
          </w:p>
        </w:tc>
      </w:tr>
      <w:tr>
        <w:trPr>
          <w:trHeight w:val="188"/>
        </w:trPr>
        <w:tc>
          <w:tcPr>
            <w:tcW w:w="620" w:type="dxa"/>
            <w:vAlign w:val="bottom"/>
          </w:tcPr>
          <w:p>
            <w:pPr>
              <w:spacing w:after="0"/>
              <w:rPr>
                <w:sz w:val="16"/>
                <w:szCs w:val="16"/>
                <w:color w:val="auto"/>
              </w:rPr>
            </w:pPr>
          </w:p>
        </w:tc>
        <w:tc>
          <w:tcPr>
            <w:tcW w:w="2460" w:type="dxa"/>
            <w:vAlign w:val="bottom"/>
            <w:tcBorders>
              <w:bottom w:val="single" w:sz="8" w:color="CCECFF"/>
            </w:tcBorders>
          </w:tcPr>
          <w:p>
            <w:pPr>
              <w:spacing w:after="0"/>
              <w:rPr>
                <w:sz w:val="16"/>
                <w:szCs w:val="16"/>
                <w:color w:val="auto"/>
              </w:rPr>
            </w:pPr>
          </w:p>
        </w:tc>
        <w:tc>
          <w:tcPr>
            <w:tcW w:w="1300" w:type="dxa"/>
            <w:vAlign w:val="bottom"/>
            <w:tcBorders>
              <w:bottom w:val="single" w:sz="8" w:color="CCECFF"/>
            </w:tcBorders>
          </w:tcPr>
          <w:p>
            <w:pPr>
              <w:spacing w:after="0"/>
              <w:rPr>
                <w:sz w:val="16"/>
                <w:szCs w:val="16"/>
                <w:color w:val="auto"/>
              </w:rPr>
            </w:pPr>
          </w:p>
        </w:tc>
        <w:tc>
          <w:tcPr>
            <w:tcW w:w="100" w:type="dxa"/>
            <w:vAlign w:val="bottom"/>
            <w:tcBorders>
              <w:bottom w:val="single" w:sz="8" w:color="CCEC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2018</w:t>
            </w:r>
          </w:p>
        </w:tc>
        <w:tc>
          <w:tcPr>
            <w:tcW w:w="4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CCECFF"/>
            </w:tcBorders>
          </w:tcPr>
          <w:p>
            <w:pPr>
              <w:spacing w:after="0"/>
              <w:rPr>
                <w:sz w:val="16"/>
                <w:szCs w:val="16"/>
                <w:color w:val="auto"/>
              </w:rPr>
            </w:pPr>
          </w:p>
        </w:tc>
        <w:tc>
          <w:tcPr>
            <w:tcW w:w="60" w:type="dxa"/>
            <w:vAlign w:val="bottom"/>
            <w:tcBorders>
              <w:top w:val="single" w:sz="8" w:color="auto"/>
              <w:bottom w:val="single" w:sz="8" w:color="CCEC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2"/>
                <w:szCs w:val="12"/>
                <w:b w:val="1"/>
                <w:bCs w:val="1"/>
                <w:color w:val="auto"/>
              </w:rPr>
              <w:t>2017</w:t>
            </w:r>
          </w:p>
        </w:tc>
        <w:tc>
          <w:tcPr>
            <w:tcW w:w="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CFF"/>
            </w:tcBorders>
          </w:tcPr>
          <w:p>
            <w:pPr>
              <w:spacing w:after="0"/>
              <w:rPr>
                <w:sz w:val="16"/>
                <w:szCs w:val="16"/>
                <w:color w:val="auto"/>
              </w:rPr>
            </w:pPr>
          </w:p>
        </w:tc>
        <w:tc>
          <w:tcPr>
            <w:tcW w:w="40" w:type="dxa"/>
            <w:vAlign w:val="bottom"/>
            <w:tcBorders>
              <w:bottom w:val="single" w:sz="8" w:color="CCEC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CFF"/>
            </w:tcBorders>
          </w:tcPr>
          <w:p>
            <w:pPr>
              <w:spacing w:after="0"/>
              <w:rPr>
                <w:sz w:val="16"/>
                <w:szCs w:val="16"/>
                <w:color w:val="auto"/>
              </w:rPr>
            </w:pPr>
          </w:p>
        </w:tc>
        <w:tc>
          <w:tcPr>
            <w:tcW w:w="80" w:type="dxa"/>
            <w:vAlign w:val="bottom"/>
            <w:tcBorders>
              <w:top w:val="single" w:sz="8" w:color="auto"/>
              <w:bottom w:val="single" w:sz="8" w:color="CCECFF"/>
            </w:tcBorders>
          </w:tcPr>
          <w:p>
            <w:pPr>
              <w:spacing w:after="0"/>
              <w:rPr>
                <w:sz w:val="16"/>
                <w:szCs w:val="16"/>
                <w:color w:val="auto"/>
              </w:rPr>
            </w:pPr>
          </w:p>
        </w:tc>
        <w:tc>
          <w:tcPr>
            <w:tcW w:w="60" w:type="dxa"/>
            <w:vAlign w:val="bottom"/>
            <w:tcBorders>
              <w:top w:val="single" w:sz="8" w:color="auto"/>
              <w:bottom w:val="single" w:sz="8" w:color="CCEC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2017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r>
      <w:tr>
        <w:trPr>
          <w:trHeight w:val="188"/>
        </w:trPr>
        <w:tc>
          <w:tcPr>
            <w:tcW w:w="620" w:type="dxa"/>
            <w:vAlign w:val="bottom"/>
          </w:tcPr>
          <w:p>
            <w:pPr>
              <w:spacing w:after="0"/>
              <w:rPr>
                <w:sz w:val="16"/>
                <w:szCs w:val="16"/>
                <w:color w:val="auto"/>
              </w:rPr>
            </w:pPr>
          </w:p>
        </w:tc>
        <w:tc>
          <w:tcPr>
            <w:tcW w:w="2460" w:type="dxa"/>
            <w:vAlign w:val="bottom"/>
            <w:shd w:val="clear" w:color="auto" w:fill="CCECFF"/>
          </w:tcPr>
          <w:p>
            <w:pPr>
              <w:spacing w:after="0"/>
              <w:rPr>
                <w:sz w:val="20"/>
                <w:szCs w:val="20"/>
                <w:color w:val="auto"/>
              </w:rPr>
            </w:pPr>
            <w:r>
              <w:rPr>
                <w:rFonts w:ascii="Arial" w:cs="Arial" w:eastAsia="Arial" w:hAnsi="Arial"/>
                <w:sz w:val="15"/>
                <w:szCs w:val="15"/>
                <w:color w:val="auto"/>
              </w:rPr>
              <w:t>United States</w:t>
            </w:r>
          </w:p>
        </w:tc>
        <w:tc>
          <w:tcPr>
            <w:tcW w:w="1640" w:type="dxa"/>
            <w:vAlign w:val="bottom"/>
            <w:gridSpan w:val="3"/>
            <w:shd w:val="clear" w:color="auto" w:fill="CCECFF"/>
          </w:tcPr>
          <w:p>
            <w:pPr>
              <w:ind w:left="14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CFF"/>
          </w:tcPr>
          <w:p>
            <w:pPr>
              <w:jc w:val="right"/>
              <w:ind w:right="20"/>
              <w:spacing w:after="0"/>
              <w:rPr>
                <w:sz w:val="20"/>
                <w:szCs w:val="20"/>
                <w:color w:val="auto"/>
              </w:rPr>
            </w:pPr>
            <w:r>
              <w:rPr>
                <w:rFonts w:ascii="Arial" w:cs="Arial" w:eastAsia="Arial" w:hAnsi="Arial"/>
                <w:sz w:val="15"/>
                <w:szCs w:val="15"/>
                <w:color w:val="auto"/>
              </w:rPr>
              <w:t>11,838</w:t>
            </w:r>
          </w:p>
        </w:tc>
        <w:tc>
          <w:tcPr>
            <w:tcW w:w="380" w:type="dxa"/>
            <w:vAlign w:val="bottom"/>
            <w:gridSpan w:val="3"/>
            <w:shd w:val="clear" w:color="auto" w:fill="CCEC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CFF"/>
          </w:tcPr>
          <w:p>
            <w:pPr>
              <w:ind w:left="800"/>
              <w:spacing w:after="0"/>
              <w:rPr>
                <w:sz w:val="20"/>
                <w:szCs w:val="20"/>
                <w:color w:val="auto"/>
              </w:rPr>
            </w:pPr>
            <w:r>
              <w:rPr>
                <w:rFonts w:ascii="Arial" w:cs="Arial" w:eastAsia="Arial" w:hAnsi="Arial"/>
                <w:sz w:val="15"/>
                <w:szCs w:val="15"/>
                <w:color w:val="auto"/>
              </w:rPr>
              <w:t>—</w:t>
            </w:r>
          </w:p>
        </w:tc>
        <w:tc>
          <w:tcPr>
            <w:tcW w:w="380" w:type="dxa"/>
            <w:vAlign w:val="bottom"/>
            <w:gridSpan w:val="3"/>
            <w:shd w:val="clear" w:color="auto" w:fill="CCEC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5"/>
                <w:szCs w:val="15"/>
                <w:color w:val="auto"/>
              </w:rPr>
              <w:t>21,852</w:t>
            </w:r>
          </w:p>
        </w:tc>
        <w:tc>
          <w:tcPr>
            <w:tcW w:w="100" w:type="dxa"/>
            <w:vAlign w:val="bottom"/>
            <w:shd w:val="clear" w:color="auto" w:fill="CCECFF"/>
          </w:tcPr>
          <w:p>
            <w:pPr>
              <w:spacing w:after="0"/>
              <w:rPr>
                <w:sz w:val="16"/>
                <w:szCs w:val="16"/>
                <w:color w:val="auto"/>
              </w:rPr>
            </w:pPr>
          </w:p>
        </w:tc>
        <w:tc>
          <w:tcPr>
            <w:tcW w:w="260" w:type="dxa"/>
            <w:vAlign w:val="bottom"/>
            <w:gridSpan w:val="3"/>
            <w:shd w:val="clear" w:color="auto" w:fill="CCECFF"/>
          </w:tcPr>
          <w:p>
            <w:pPr>
              <w:jc w:val="right"/>
              <w:ind w:right="60"/>
              <w:spacing w:after="0"/>
              <w:rPr>
                <w:sz w:val="20"/>
                <w:szCs w:val="20"/>
                <w:color w:val="auto"/>
              </w:rPr>
            </w:pPr>
            <w:r>
              <w:rPr>
                <w:rFonts w:ascii="Arial" w:cs="Arial" w:eastAsia="Arial" w:hAnsi="Arial"/>
                <w:sz w:val="15"/>
                <w:szCs w:val="15"/>
                <w:color w:val="auto"/>
              </w:rPr>
              <w:t>$</w:t>
            </w:r>
          </w:p>
        </w:tc>
        <w:tc>
          <w:tcPr>
            <w:tcW w:w="1100" w:type="dxa"/>
            <w:vAlign w:val="bottom"/>
            <w:gridSpan w:val="3"/>
            <w:shd w:val="clear" w:color="auto" w:fill="CCECFF"/>
          </w:tcPr>
          <w:p>
            <w:pPr>
              <w:jc w:val="right"/>
              <w:ind w:right="100"/>
              <w:spacing w:after="0"/>
              <w:rPr>
                <w:sz w:val="20"/>
                <w:szCs w:val="20"/>
                <w:color w:val="auto"/>
              </w:rPr>
            </w:pPr>
            <w:r>
              <w:rPr>
                <w:rFonts w:ascii="Arial" w:cs="Arial" w:eastAsia="Arial" w:hAnsi="Arial"/>
                <w:sz w:val="15"/>
                <w:szCs w:val="15"/>
                <w:color w:val="auto"/>
              </w:rPr>
              <w:t>—</w:t>
            </w:r>
          </w:p>
        </w:tc>
      </w:tr>
      <w:tr>
        <w:trPr>
          <w:trHeight w:val="196"/>
        </w:trPr>
        <w:tc>
          <w:tcPr>
            <w:tcW w:w="3080" w:type="dxa"/>
            <w:vAlign w:val="bottom"/>
            <w:gridSpan w:val="2"/>
          </w:tcPr>
          <w:p>
            <w:pPr>
              <w:ind w:left="620"/>
              <w:spacing w:after="0"/>
              <w:rPr>
                <w:sz w:val="20"/>
                <w:szCs w:val="20"/>
                <w:color w:val="auto"/>
              </w:rPr>
            </w:pPr>
            <w:r>
              <w:rPr>
                <w:rFonts w:ascii="Arial" w:cs="Arial" w:eastAsia="Arial" w:hAnsi="Arial"/>
                <w:sz w:val="15"/>
                <w:szCs w:val="15"/>
                <w:color w:val="auto"/>
              </w:rPr>
              <w:t>Europe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930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1,593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r>
      <w:tr>
        <w:trPr>
          <w:trHeight w:val="196"/>
        </w:trPr>
        <w:tc>
          <w:tcPr>
            <w:tcW w:w="620" w:type="dxa"/>
            <w:vAlign w:val="bottom"/>
          </w:tcPr>
          <w:p>
            <w:pPr>
              <w:spacing w:after="0"/>
              <w:rPr>
                <w:sz w:val="17"/>
                <w:szCs w:val="17"/>
                <w:color w:val="auto"/>
              </w:rPr>
            </w:pPr>
          </w:p>
        </w:tc>
        <w:tc>
          <w:tcPr>
            <w:tcW w:w="2460" w:type="dxa"/>
            <w:vAlign w:val="bottom"/>
            <w:shd w:val="clear" w:color="auto" w:fill="CCECFF"/>
          </w:tcPr>
          <w:p>
            <w:pPr>
              <w:spacing w:after="0"/>
              <w:rPr>
                <w:sz w:val="20"/>
                <w:szCs w:val="20"/>
                <w:color w:val="auto"/>
              </w:rPr>
            </w:pPr>
            <w:r>
              <w:rPr>
                <w:rFonts w:ascii="Arial" w:cs="Arial" w:eastAsia="Arial" w:hAnsi="Arial"/>
                <w:sz w:val="15"/>
                <w:szCs w:val="15"/>
                <w:color w:val="auto"/>
              </w:rPr>
              <w:t>All other</w:t>
            </w:r>
          </w:p>
        </w:tc>
        <w:tc>
          <w:tcPr>
            <w:tcW w:w="13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88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5"/>
                <w:szCs w:val="15"/>
                <w:color w:val="auto"/>
              </w:rPr>
              <w:t>26</w:t>
            </w:r>
          </w:p>
        </w:tc>
        <w:tc>
          <w:tcPr>
            <w:tcW w:w="16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980" w:type="dxa"/>
            <w:vAlign w:val="bottom"/>
            <w:tcBorders>
              <w:bottom w:val="single" w:sz="8" w:color="auto"/>
            </w:tcBorders>
            <w:gridSpan w:val="2"/>
            <w:shd w:val="clear" w:color="auto" w:fill="CCECFF"/>
          </w:tcPr>
          <w:p>
            <w:pPr>
              <w:ind w:left="8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98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02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CFF"/>
          </w:tcPr>
          <w:p>
            <w:pPr>
              <w:spacing w:after="0"/>
              <w:rPr>
                <w:sz w:val="17"/>
                <w:szCs w:val="17"/>
                <w:color w:val="auto"/>
              </w:rPr>
            </w:pPr>
          </w:p>
        </w:tc>
      </w:tr>
      <w:tr>
        <w:trPr>
          <w:trHeight w:val="188"/>
        </w:trPr>
        <w:tc>
          <w:tcPr>
            <w:tcW w:w="620" w:type="dxa"/>
            <w:vAlign w:val="bottom"/>
          </w:tcPr>
          <w:p>
            <w:pPr>
              <w:spacing w:after="0"/>
              <w:rPr>
                <w:sz w:val="16"/>
                <w:szCs w:val="16"/>
                <w:color w:val="auto"/>
              </w:rPr>
            </w:pPr>
          </w:p>
        </w:tc>
        <w:tc>
          <w:tcPr>
            <w:tcW w:w="246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1640" w:type="dxa"/>
            <w:vAlign w:val="bottom"/>
            <w:gridSpan w:val="3"/>
          </w:tcPr>
          <w:p>
            <w:pPr>
              <w:ind w:left="140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12,794</w:t>
            </w:r>
          </w:p>
        </w:tc>
        <w:tc>
          <w:tcPr>
            <w:tcW w:w="38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23,471</w:t>
            </w:r>
          </w:p>
        </w:tc>
        <w:tc>
          <w:tcPr>
            <w:tcW w:w="100" w:type="dxa"/>
            <w:vAlign w:val="bottom"/>
          </w:tcPr>
          <w:p>
            <w:pPr>
              <w:spacing w:after="0"/>
              <w:rPr>
                <w:sz w:val="16"/>
                <w:szCs w:val="16"/>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4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5"/>
        </w:trPr>
        <w:tc>
          <w:tcPr>
            <w:tcW w:w="7340" w:type="dxa"/>
            <w:vAlign w:val="bottom"/>
            <w:gridSpan w:val="15"/>
          </w:tcPr>
          <w:p>
            <w:pPr>
              <w:jc w:val="right"/>
              <w:ind w:right="120"/>
              <w:spacing w:after="0"/>
              <w:rPr>
                <w:sz w:val="20"/>
                <w:szCs w:val="20"/>
                <w:color w:val="auto"/>
              </w:rPr>
            </w:pPr>
            <w:r>
              <w:rPr>
                <w:rFonts w:ascii="Arial" w:cs="Arial" w:eastAsia="Arial" w:hAnsi="Arial"/>
                <w:sz w:val="15"/>
                <w:szCs w:val="15"/>
                <w:color w:val="auto"/>
                <w:w w:val="92"/>
              </w:rPr>
              <w:t>The following table presents changes in the contract liabilities for the six months ended June 30, 2018 (in thousands):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4"/>
        </w:trPr>
        <w:tc>
          <w:tcPr>
            <w:tcW w:w="620" w:type="dxa"/>
            <w:vAlign w:val="bottom"/>
          </w:tcPr>
          <w:p>
            <w:pPr>
              <w:spacing w:after="0"/>
              <w:rPr>
                <w:sz w:val="22"/>
                <w:szCs w:val="22"/>
                <w:color w:val="auto"/>
              </w:rPr>
            </w:pPr>
          </w:p>
        </w:tc>
        <w:tc>
          <w:tcPr>
            <w:tcW w:w="2460" w:type="dxa"/>
            <w:vAlign w:val="bottom"/>
            <w:tcBorders>
              <w:bottom w:val="single" w:sz="8" w:color="CCECFF"/>
            </w:tcBorders>
          </w:tcPr>
          <w:p>
            <w:pPr>
              <w:spacing w:after="0"/>
              <w:rPr>
                <w:sz w:val="22"/>
                <w:szCs w:val="22"/>
                <w:color w:val="auto"/>
              </w:rPr>
            </w:pPr>
          </w:p>
        </w:tc>
        <w:tc>
          <w:tcPr>
            <w:tcW w:w="1300" w:type="dxa"/>
            <w:vAlign w:val="bottom"/>
            <w:tcBorders>
              <w:bottom w:val="single" w:sz="8" w:color="CCECFF"/>
            </w:tcBorders>
          </w:tcPr>
          <w:p>
            <w:pPr>
              <w:spacing w:after="0"/>
              <w:rPr>
                <w:sz w:val="22"/>
                <w:szCs w:val="22"/>
                <w:color w:val="auto"/>
              </w:rPr>
            </w:pPr>
          </w:p>
        </w:tc>
        <w:tc>
          <w:tcPr>
            <w:tcW w:w="118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w w:val="99"/>
              </w:rPr>
              <w:t>December 31, 2017</w:t>
            </w:r>
          </w:p>
        </w:tc>
        <w:tc>
          <w:tcPr>
            <w:tcW w:w="40" w:type="dxa"/>
            <w:vAlign w:val="bottom"/>
            <w:tcBorders>
              <w:bottom w:val="single" w:sz="8" w:color="CCECFF"/>
            </w:tcBorders>
          </w:tcPr>
          <w:p>
            <w:pPr>
              <w:spacing w:after="0"/>
              <w:rPr>
                <w:sz w:val="22"/>
                <w:szCs w:val="22"/>
                <w:color w:val="auto"/>
              </w:rPr>
            </w:pPr>
          </w:p>
        </w:tc>
        <w:tc>
          <w:tcPr>
            <w:tcW w:w="160" w:type="dxa"/>
            <w:vAlign w:val="bottom"/>
            <w:tcBorders>
              <w:bottom w:val="single" w:sz="8" w:color="CCEC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Additions</w:t>
            </w:r>
          </w:p>
        </w:tc>
        <w:tc>
          <w:tcPr>
            <w:tcW w:w="40" w:type="dxa"/>
            <w:vAlign w:val="bottom"/>
            <w:tcBorders>
              <w:bottom w:val="single" w:sz="8" w:color="CCECFF"/>
            </w:tcBorders>
          </w:tcPr>
          <w:p>
            <w:pPr>
              <w:spacing w:after="0"/>
              <w:rPr>
                <w:sz w:val="22"/>
                <w:szCs w:val="22"/>
                <w:color w:val="auto"/>
              </w:rPr>
            </w:pPr>
          </w:p>
        </w:tc>
        <w:tc>
          <w:tcPr>
            <w:tcW w:w="180" w:type="dxa"/>
            <w:vAlign w:val="bottom"/>
            <w:tcBorders>
              <w:bottom w:val="single" w:sz="8" w:color="CCEC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w w:val="97"/>
              </w:rPr>
              <w:t>Deductions</w:t>
            </w:r>
          </w:p>
        </w:tc>
        <w:tc>
          <w:tcPr>
            <w:tcW w:w="120" w:type="dxa"/>
            <w:vAlign w:val="bottom"/>
            <w:tcBorders>
              <w:bottom w:val="single" w:sz="8" w:color="CCECFF"/>
            </w:tcBorders>
            <w:gridSpan w:val="2"/>
          </w:tcPr>
          <w:p>
            <w:pPr>
              <w:spacing w:after="0"/>
              <w:rPr>
                <w:sz w:val="22"/>
                <w:szCs w:val="22"/>
                <w:color w:val="auto"/>
              </w:rPr>
            </w:pPr>
          </w:p>
        </w:tc>
        <w:tc>
          <w:tcPr>
            <w:tcW w:w="80" w:type="dxa"/>
            <w:vAlign w:val="bottom"/>
            <w:tcBorders>
              <w:bottom w:val="single" w:sz="8" w:color="CCEC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w w:val="94"/>
              </w:rPr>
              <w:t>June 30, 2018</w:t>
            </w:r>
          </w:p>
        </w:tc>
        <w:tc>
          <w:tcPr>
            <w:tcW w:w="100" w:type="dxa"/>
            <w:vAlign w:val="bottom"/>
            <w:tcBorders>
              <w:bottom w:val="single" w:sz="8" w:color="CCECFF"/>
            </w:tcBorders>
            <w:gridSpan w:val="2"/>
          </w:tcPr>
          <w:p>
            <w:pPr>
              <w:spacing w:after="0"/>
              <w:rPr>
                <w:sz w:val="22"/>
                <w:szCs w:val="22"/>
                <w:color w:val="auto"/>
              </w:rPr>
            </w:pPr>
          </w:p>
        </w:tc>
      </w:tr>
      <w:tr>
        <w:trPr>
          <w:trHeight w:val="188"/>
        </w:trPr>
        <w:tc>
          <w:tcPr>
            <w:tcW w:w="620" w:type="dxa"/>
            <w:vAlign w:val="bottom"/>
          </w:tcPr>
          <w:p>
            <w:pPr>
              <w:spacing w:after="0"/>
              <w:rPr>
                <w:sz w:val="16"/>
                <w:szCs w:val="16"/>
                <w:color w:val="auto"/>
              </w:rPr>
            </w:pPr>
          </w:p>
        </w:tc>
        <w:tc>
          <w:tcPr>
            <w:tcW w:w="2460" w:type="dxa"/>
            <w:vAlign w:val="bottom"/>
            <w:shd w:val="clear" w:color="auto" w:fill="CCECFF"/>
          </w:tcPr>
          <w:p>
            <w:pPr>
              <w:spacing w:after="0"/>
              <w:rPr>
                <w:sz w:val="20"/>
                <w:szCs w:val="20"/>
                <w:color w:val="auto"/>
              </w:rPr>
            </w:pPr>
            <w:r>
              <w:rPr>
                <w:rFonts w:ascii="Arial" w:cs="Arial" w:eastAsia="Arial" w:hAnsi="Arial"/>
                <w:sz w:val="15"/>
                <w:szCs w:val="15"/>
                <w:color w:val="auto"/>
              </w:rPr>
              <w:t>Contract liabilities</w:t>
            </w:r>
          </w:p>
        </w:tc>
        <w:tc>
          <w:tcPr>
            <w:tcW w:w="14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CFF"/>
          </w:tcPr>
          <w:p>
            <w:pPr>
              <w:spacing w:after="0"/>
              <w:rPr>
                <w:sz w:val="16"/>
                <w:szCs w:val="16"/>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5,986</w:t>
            </w:r>
          </w:p>
        </w:tc>
        <w:tc>
          <w:tcPr>
            <w:tcW w:w="40" w:type="dxa"/>
            <w:vAlign w:val="bottom"/>
            <w:shd w:val="clear" w:color="auto" w:fill="CCECFF"/>
          </w:tcPr>
          <w:p>
            <w:pPr>
              <w:spacing w:after="0"/>
              <w:rPr>
                <w:sz w:val="16"/>
                <w:szCs w:val="16"/>
                <w:color w:val="auto"/>
              </w:rPr>
            </w:pPr>
          </w:p>
        </w:tc>
        <w:tc>
          <w:tcPr>
            <w:tcW w:w="380" w:type="dxa"/>
            <w:vAlign w:val="bottom"/>
            <w:gridSpan w:val="3"/>
            <w:shd w:val="clear" w:color="auto" w:fill="CCEC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14,135</w:t>
            </w:r>
          </w:p>
        </w:tc>
        <w:tc>
          <w:tcPr>
            <w:tcW w:w="40" w:type="dxa"/>
            <w:vAlign w:val="bottom"/>
            <w:shd w:val="clear" w:color="auto" w:fill="CCECFF"/>
          </w:tcPr>
          <w:p>
            <w:pPr>
              <w:spacing w:after="0"/>
              <w:rPr>
                <w:sz w:val="16"/>
                <w:szCs w:val="16"/>
                <w:color w:val="auto"/>
              </w:rPr>
            </w:pPr>
          </w:p>
        </w:tc>
        <w:tc>
          <w:tcPr>
            <w:tcW w:w="380" w:type="dxa"/>
            <w:vAlign w:val="bottom"/>
            <w:gridSpan w:val="3"/>
            <w:shd w:val="clear" w:color="auto" w:fill="CCECFF"/>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3"/>
            <w:shd w:val="clear" w:color="auto" w:fill="CCECFF"/>
          </w:tcPr>
          <w:p>
            <w:pPr>
              <w:jc w:val="right"/>
              <w:ind w:right="80"/>
              <w:spacing w:after="0"/>
              <w:rPr>
                <w:sz w:val="20"/>
                <w:szCs w:val="20"/>
                <w:color w:val="auto"/>
              </w:rPr>
            </w:pPr>
            <w:r>
              <w:rPr>
                <w:rFonts w:ascii="Arial" w:cs="Arial" w:eastAsia="Arial" w:hAnsi="Arial"/>
                <w:sz w:val="15"/>
                <w:szCs w:val="15"/>
                <w:color w:val="auto"/>
              </w:rPr>
              <w:t>(18,877)</w:t>
            </w:r>
          </w:p>
        </w:tc>
        <w:tc>
          <w:tcPr>
            <w:tcW w:w="260" w:type="dxa"/>
            <w:vAlign w:val="bottom"/>
            <w:gridSpan w:val="3"/>
            <w:shd w:val="clear" w:color="auto" w:fill="CCECFF"/>
          </w:tcPr>
          <w:p>
            <w:pPr>
              <w:jc w:val="right"/>
              <w:ind w:right="1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1,244</w:t>
            </w:r>
          </w:p>
        </w:tc>
        <w:tc>
          <w:tcPr>
            <w:tcW w:w="20" w:type="dxa"/>
            <w:vAlign w:val="bottom"/>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r>
    </w:tbl>
    <w:p>
      <w:pPr>
        <w:spacing w:after="0" w:line="197" w:lineRule="exact"/>
        <w:rPr>
          <w:sz w:val="20"/>
          <w:szCs w:val="20"/>
          <w:color w:val="auto"/>
        </w:rPr>
      </w:pPr>
    </w:p>
    <w:p>
      <w:pPr>
        <w:ind w:left="528"/>
        <w:spacing w:after="0"/>
        <w:rPr>
          <w:sz w:val="20"/>
          <w:szCs w:val="20"/>
          <w:color w:val="auto"/>
        </w:rPr>
      </w:pPr>
      <w:r>
        <w:rPr>
          <w:rFonts w:ascii="Arial" w:cs="Arial" w:eastAsia="Arial" w:hAnsi="Arial"/>
          <w:sz w:val="14"/>
          <w:szCs w:val="14"/>
          <w:color w:val="auto"/>
        </w:rPr>
        <w:t>The Company’s largest accounts receivables balance accounted for 81% of the June 30, 2018 total accounts receivable balance compared to 97% as of December 31, 2017.</w:t>
      </w:r>
    </w:p>
    <w:p>
      <w:pPr>
        <w:spacing w:after="0" w:line="216" w:lineRule="exact"/>
        <w:rPr>
          <w:sz w:val="20"/>
          <w:szCs w:val="20"/>
          <w:color w:val="auto"/>
        </w:rPr>
      </w:pPr>
    </w:p>
    <w:p>
      <w:pPr>
        <w:ind w:left="528" w:hanging="528"/>
        <w:spacing w:after="0"/>
        <w:tabs>
          <w:tab w:leader="none" w:pos="528"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License and Research Agreements</w:t>
      </w:r>
    </w:p>
    <w:p>
      <w:pPr>
        <w:spacing w:after="0" w:line="7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Kyowa Hakko Kirin Collaboration and License Agreement</w:t>
      </w:r>
    </w:p>
    <w:p>
      <w:pPr>
        <w:spacing w:after="0" w:line="74" w:lineRule="exact"/>
        <w:rPr>
          <w:sz w:val="20"/>
          <w:szCs w:val="20"/>
          <w:color w:val="auto"/>
        </w:rPr>
      </w:pPr>
    </w:p>
    <w:p>
      <w:pPr>
        <w:ind w:left="8" w:firstLine="579"/>
        <w:spacing w:after="0" w:line="259" w:lineRule="auto"/>
        <w:rPr>
          <w:sz w:val="20"/>
          <w:szCs w:val="20"/>
          <w:color w:val="auto"/>
        </w:rPr>
      </w:pPr>
      <w:r>
        <w:rPr>
          <w:rFonts w:ascii="Arial" w:cs="Arial" w:eastAsia="Arial" w:hAnsi="Arial"/>
          <w:sz w:val="15"/>
          <w:szCs w:val="15"/>
          <w:color w:val="auto"/>
        </w:rPr>
        <w:t>In August 2013, the Company entered into a collaboration and license agreement with Kyowa Hakko Kirin Co., Ltd. (KHK). Under the terms of this collaboration and license agreement, as amended, the Company and KHK will collaborate on the development and commercialization of Crysvita in the field of orphan diseases in the United States and Canada, or the profit share territory, and in the European Union and Switzerland, or the European territory, and the Company will have the right to develop and commercialize such products in the field of orphan diseases in Mexico and Central and South America, or Latin America. In the field of orphan diseases, and except for ongoing studies being conducted by KHK, the Company will be the lead party for development activities in the profit share territory and in the European territory until the applicable transition date; the Company will also be the lead party for core development activities conducted in Japan and Korea, for which the core development plan is limited to clinical trials mutually agreed to by the Company and KHK. The Company will share the costs for development activities in the profit share territory and the European territory conducted pursuant to the development plan before the applicable transition date equally with KHK, and KHK shall be responsible for 100% of the costs for development activities in Japan and Korea. On the applicable transition date in the profit share territory and the European territory, KHK will become the lead party and be responsible for the costs of the development activities. However, the Company will continue to share the costs of the studies commenced prior to the applicable transition date equally with KHK. Crysvita was approved in the European Union in November 2017 and was approved by the FDA in April 2018.</w:t>
      </w:r>
    </w:p>
    <w:p>
      <w:pPr>
        <w:spacing w:after="0" w:line="52" w:lineRule="exact"/>
        <w:rPr>
          <w:sz w:val="20"/>
          <w:szCs w:val="20"/>
          <w:color w:val="auto"/>
        </w:rPr>
      </w:pPr>
    </w:p>
    <w:p>
      <w:pPr>
        <w:ind w:left="588"/>
        <w:spacing w:after="0"/>
        <w:rPr>
          <w:sz w:val="20"/>
          <w:szCs w:val="20"/>
          <w:color w:val="auto"/>
        </w:rPr>
      </w:pPr>
      <w:r>
        <w:rPr>
          <w:rFonts w:ascii="Arial" w:cs="Arial" w:eastAsia="Arial" w:hAnsi="Arial"/>
          <w:sz w:val="14"/>
          <w:szCs w:val="14"/>
          <w:color w:val="auto"/>
        </w:rPr>
        <w:t>The collaboration and license agreements are within the scope of ASC 808, which provides guidance on the presentation and disclosure of collaborative arrangements.</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Collaboration revenue related to sales in profit share territory</w:t>
      </w:r>
    </w:p>
    <w:p>
      <w:pPr>
        <w:spacing w:after="0" w:line="70" w:lineRule="exact"/>
        <w:rPr>
          <w:sz w:val="20"/>
          <w:szCs w:val="20"/>
          <w:color w:val="auto"/>
        </w:rPr>
      </w:pPr>
    </w:p>
    <w:p>
      <w:pPr>
        <w:ind w:left="8" w:right="140" w:firstLine="520"/>
        <w:spacing w:after="0" w:line="267" w:lineRule="auto"/>
        <w:rPr>
          <w:sz w:val="20"/>
          <w:szCs w:val="20"/>
          <w:color w:val="auto"/>
        </w:rPr>
      </w:pPr>
      <w:r>
        <w:rPr>
          <w:rFonts w:ascii="Arial" w:cs="Arial" w:eastAsia="Arial" w:hAnsi="Arial"/>
          <w:sz w:val="15"/>
          <w:szCs w:val="15"/>
          <w:color w:val="auto"/>
        </w:rPr>
        <w:t>The Company and KHK share commercial responsibilities and profits in the profit share territory until the applicable transition date. Under the collaboration agreement, KHK will manufacture and supply Crysvita for commercial use in the profit share territory. The remaining profit or loss after supply costs from commercializing products in the profit-share territory, until the applicable transition date, are shared between the Company and KHK on a 50/50 basis. Thereafter, the Company will be entitled to receive a tiered double-digit revenue share in the mid-to-high 20% range.</w:t>
      </w:r>
    </w:p>
    <w:p>
      <w:pPr>
        <w:spacing w:after="0" w:line="40" w:lineRule="exact"/>
        <w:rPr>
          <w:sz w:val="20"/>
          <w:szCs w:val="20"/>
          <w:color w:val="auto"/>
        </w:rPr>
      </w:pPr>
    </w:p>
    <w:p>
      <w:pPr>
        <w:ind w:left="8" w:right="240" w:firstLine="520"/>
        <w:spacing w:after="0" w:line="267" w:lineRule="auto"/>
        <w:rPr>
          <w:sz w:val="20"/>
          <w:szCs w:val="20"/>
          <w:color w:val="auto"/>
        </w:rPr>
      </w:pPr>
      <w:r>
        <w:rPr>
          <w:rFonts w:ascii="Arial" w:cs="Arial" w:eastAsia="Arial" w:hAnsi="Arial"/>
          <w:sz w:val="15"/>
          <w:szCs w:val="15"/>
          <w:color w:val="auto"/>
        </w:rPr>
        <w:t>The Company is considered the agent in the arrangement as KHK controls the product before transfer to the customers and has the ability to direct the use of and obtain substantially all of the remaining benefits from the product. The Company recognizes a pro-rata share of collaboration revenue, net of supply costs, in the period the sale occurs. The Company concluded that its portion of KHK’s sales in the Profit Share Territory is analogous to a royalty and therefore recorded $1.1 million as collaboration revenue, similar to a royalty, during the three and six months ended June 30, 2018.</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Royalty revenue related to sales in European Territory</w:t>
      </w:r>
    </w:p>
    <w:p>
      <w:pPr>
        <w:spacing w:after="0" w:line="70" w:lineRule="exact"/>
        <w:rPr>
          <w:sz w:val="20"/>
          <w:szCs w:val="20"/>
          <w:color w:val="auto"/>
        </w:rPr>
      </w:pPr>
    </w:p>
    <w:p>
      <w:pPr>
        <w:ind w:left="528"/>
        <w:spacing w:after="0"/>
        <w:rPr>
          <w:sz w:val="20"/>
          <w:szCs w:val="20"/>
          <w:color w:val="auto"/>
        </w:rPr>
      </w:pPr>
      <w:r>
        <w:rPr>
          <w:rFonts w:ascii="Arial" w:cs="Arial" w:eastAsia="Arial" w:hAnsi="Arial"/>
          <w:sz w:val="14"/>
          <w:szCs w:val="14"/>
          <w:color w:val="auto"/>
        </w:rPr>
        <w:t>KHK has the commercial responsibility for Crysvita in the European territory. The Company is entitled to receive a royalty of up to 10% on net sales in the European territory.</w:t>
      </w:r>
    </w:p>
    <w:p>
      <w:pPr>
        <w:spacing w:after="0" w:line="81" w:lineRule="exact"/>
        <w:rPr>
          <w:sz w:val="20"/>
          <w:szCs w:val="20"/>
          <w:color w:val="auto"/>
        </w:rPr>
      </w:pPr>
    </w:p>
    <w:p>
      <w:pPr>
        <w:ind w:left="528"/>
        <w:spacing w:after="0"/>
        <w:rPr>
          <w:sz w:val="20"/>
          <w:szCs w:val="20"/>
          <w:color w:val="auto"/>
        </w:rPr>
      </w:pPr>
      <w:r>
        <w:rPr>
          <w:rFonts w:ascii="Arial" w:cs="Arial" w:eastAsia="Arial" w:hAnsi="Arial"/>
          <w:sz w:val="15"/>
          <w:szCs w:val="15"/>
          <w:color w:val="auto"/>
        </w:rPr>
        <w:t>The Company’s share of collaboration revenue related to Crysvita was as follows (in thousands):</w:t>
      </w:r>
    </w:p>
    <w:p>
      <w:pPr>
        <w:spacing w:after="0" w:line="266"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63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8"/>
          </w:cols>
          <w:pgMar w:left="232" w:top="187" w:right="27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47"/>
        </w:trPr>
        <w:tc>
          <w:tcPr>
            <w:tcW w:w="3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8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5"/>
          </w:tcPr>
          <w:p>
            <w:pPr>
              <w:ind w:left="280"/>
              <w:spacing w:after="0"/>
              <w:rPr>
                <w:sz w:val="20"/>
                <w:szCs w:val="20"/>
                <w:color w:val="auto"/>
              </w:rPr>
            </w:pPr>
            <w:r>
              <w:rPr>
                <w:rFonts w:ascii="Arial" w:cs="Arial" w:eastAsia="Arial" w:hAnsi="Arial"/>
                <w:sz w:val="12"/>
                <w:szCs w:val="12"/>
                <w:b w:val="1"/>
                <w:bCs w:val="1"/>
                <w:color w:val="auto"/>
              </w:rPr>
              <w:t>Six Months Ended June 30,</w:t>
            </w:r>
          </w:p>
        </w:tc>
        <w:tc>
          <w:tcPr>
            <w:tcW w:w="120" w:type="dxa"/>
            <w:vAlign w:val="bottom"/>
          </w:tcPr>
          <w:p>
            <w:pPr>
              <w:spacing w:after="0"/>
              <w:rPr>
                <w:sz w:val="12"/>
                <w:szCs w:val="12"/>
                <w:color w:val="auto"/>
              </w:rPr>
            </w:pPr>
          </w:p>
        </w:tc>
      </w:tr>
      <w:tr>
        <w:trPr>
          <w:trHeight w:val="130"/>
        </w:trPr>
        <w:tc>
          <w:tcPr>
            <w:tcW w:w="3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Borders>
              <w:top w:val="single" w:sz="8" w:color="auto"/>
            </w:tcBorders>
          </w:tcPr>
          <w:p>
            <w:pPr>
              <w:jc w:val="right"/>
              <w:ind w:right="5"/>
              <w:spacing w:after="0" w:line="130"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160"/>
              <w:spacing w:after="0" w:line="130"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89"/>
              <w:spacing w:after="0" w:line="130"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387"/>
              <w:spacing w:after="0" w:line="130"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7"/>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Company's share of collaboration revenue</w:t>
            </w:r>
          </w:p>
        </w:tc>
        <w:tc>
          <w:tcPr>
            <w:tcW w:w="6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CFF"/>
          </w:tcPr>
          <w:p>
            <w:pPr>
              <w:spacing w:after="0"/>
              <w:rPr>
                <w:sz w:val="15"/>
                <w:szCs w:val="15"/>
                <w:color w:val="auto"/>
              </w:rPr>
            </w:pPr>
          </w:p>
        </w:tc>
        <w:tc>
          <w:tcPr>
            <w:tcW w:w="400" w:type="dxa"/>
            <w:vAlign w:val="bottom"/>
            <w:tcBorders>
              <w:top w:val="single" w:sz="8" w:color="auto"/>
            </w:tcBorders>
            <w:shd w:val="clear" w:color="auto" w:fill="CCECFF"/>
          </w:tcPr>
          <w:p>
            <w:pPr>
              <w:spacing w:after="0"/>
              <w:rPr>
                <w:sz w:val="15"/>
                <w:szCs w:val="15"/>
                <w:color w:val="auto"/>
              </w:rPr>
            </w:pPr>
          </w:p>
        </w:tc>
        <w:tc>
          <w:tcPr>
            <w:tcW w:w="200" w:type="dxa"/>
            <w:vAlign w:val="bottom"/>
            <w:tcBorders>
              <w:top w:val="single" w:sz="8" w:color="CCECFF"/>
            </w:tcBorders>
            <w:shd w:val="clear" w:color="auto" w:fill="CCECFF"/>
          </w:tcPr>
          <w:p>
            <w:pPr>
              <w:spacing w:after="0"/>
              <w:rPr>
                <w:sz w:val="15"/>
                <w:szCs w:val="15"/>
                <w:color w:val="auto"/>
              </w:rPr>
            </w:pPr>
          </w:p>
        </w:tc>
        <w:tc>
          <w:tcPr>
            <w:tcW w:w="840" w:type="dxa"/>
            <w:vAlign w:val="bottom"/>
            <w:tcBorders>
              <w:top w:val="single" w:sz="8" w:color="auto"/>
            </w:tcBorders>
            <w:shd w:val="clear" w:color="auto" w:fill="CCECFF"/>
          </w:tcPr>
          <w:p>
            <w:pPr>
              <w:spacing w:after="0"/>
              <w:rPr>
                <w:sz w:val="15"/>
                <w:szCs w:val="15"/>
                <w:color w:val="auto"/>
              </w:rPr>
            </w:pPr>
          </w:p>
        </w:tc>
        <w:tc>
          <w:tcPr>
            <w:tcW w:w="320" w:type="dxa"/>
            <w:vAlign w:val="bottom"/>
            <w:tcBorders>
              <w:top w:val="single" w:sz="8" w:color="auto"/>
            </w:tcBorders>
            <w:shd w:val="clear" w:color="auto" w:fill="CCECFF"/>
          </w:tcPr>
          <w:p>
            <w:pPr>
              <w:spacing w:after="0"/>
              <w:rPr>
                <w:sz w:val="15"/>
                <w:szCs w:val="15"/>
                <w:color w:val="auto"/>
              </w:rPr>
            </w:pPr>
          </w:p>
        </w:tc>
        <w:tc>
          <w:tcPr>
            <w:tcW w:w="180" w:type="dxa"/>
            <w:vAlign w:val="bottom"/>
            <w:tcBorders>
              <w:top w:val="single" w:sz="8" w:color="CCECFF"/>
            </w:tcBorders>
            <w:shd w:val="clear" w:color="auto" w:fill="CCECFF"/>
          </w:tcPr>
          <w:p>
            <w:pPr>
              <w:spacing w:after="0"/>
              <w:rPr>
                <w:sz w:val="15"/>
                <w:szCs w:val="15"/>
                <w:color w:val="auto"/>
              </w:rPr>
            </w:pPr>
          </w:p>
        </w:tc>
        <w:tc>
          <w:tcPr>
            <w:tcW w:w="260" w:type="dxa"/>
            <w:vAlign w:val="bottom"/>
            <w:tcBorders>
              <w:top w:val="single" w:sz="8" w:color="auto"/>
            </w:tcBorders>
            <w:shd w:val="clear" w:color="auto" w:fill="CCECFF"/>
          </w:tcPr>
          <w:p>
            <w:pPr>
              <w:spacing w:after="0"/>
              <w:rPr>
                <w:sz w:val="15"/>
                <w:szCs w:val="15"/>
                <w:color w:val="auto"/>
              </w:rPr>
            </w:pPr>
          </w:p>
        </w:tc>
        <w:tc>
          <w:tcPr>
            <w:tcW w:w="900" w:type="dxa"/>
            <w:vAlign w:val="bottom"/>
            <w:tcBorders>
              <w:top w:val="single" w:sz="8" w:color="auto"/>
            </w:tcBorders>
            <w:shd w:val="clear" w:color="auto" w:fill="CCECFF"/>
          </w:tcPr>
          <w:p>
            <w:pPr>
              <w:spacing w:after="0"/>
              <w:rPr>
                <w:sz w:val="15"/>
                <w:szCs w:val="15"/>
                <w:color w:val="auto"/>
              </w:rPr>
            </w:pPr>
          </w:p>
        </w:tc>
        <w:tc>
          <w:tcPr>
            <w:tcW w:w="200" w:type="dxa"/>
            <w:vAlign w:val="bottom"/>
            <w:tcBorders>
              <w:top w:val="single" w:sz="8" w:color="CCECFF"/>
            </w:tcBorders>
            <w:shd w:val="clear" w:color="auto" w:fill="CCECFF"/>
          </w:tcPr>
          <w:p>
            <w:pPr>
              <w:spacing w:after="0"/>
              <w:rPr>
                <w:sz w:val="15"/>
                <w:szCs w:val="15"/>
                <w:color w:val="auto"/>
              </w:rPr>
            </w:pPr>
          </w:p>
        </w:tc>
        <w:tc>
          <w:tcPr>
            <w:tcW w:w="260" w:type="dxa"/>
            <w:vAlign w:val="bottom"/>
            <w:tcBorders>
              <w:top w:val="single" w:sz="8" w:color="auto"/>
            </w:tcBorders>
            <w:shd w:val="clear" w:color="auto" w:fill="CCECFF"/>
          </w:tcPr>
          <w:p>
            <w:pPr>
              <w:spacing w:after="0"/>
              <w:rPr>
                <w:sz w:val="15"/>
                <w:szCs w:val="15"/>
                <w:color w:val="auto"/>
              </w:rPr>
            </w:pPr>
          </w:p>
        </w:tc>
        <w:tc>
          <w:tcPr>
            <w:tcW w:w="900" w:type="dxa"/>
            <w:vAlign w:val="bottom"/>
            <w:tcBorders>
              <w:top w:val="single" w:sz="8" w:color="auto"/>
            </w:tcBorders>
            <w:shd w:val="clear" w:color="auto" w:fill="CCECFF"/>
          </w:tcPr>
          <w:p>
            <w:pPr>
              <w:spacing w:after="0"/>
              <w:rPr>
                <w:sz w:val="15"/>
                <w:szCs w:val="15"/>
                <w:color w:val="auto"/>
              </w:rPr>
            </w:pPr>
          </w:p>
        </w:tc>
        <w:tc>
          <w:tcPr>
            <w:tcW w:w="80" w:type="dxa"/>
            <w:vAlign w:val="bottom"/>
            <w:tcBorders>
              <w:top w:val="single" w:sz="8" w:color="CCECFF"/>
            </w:tcBorders>
            <w:shd w:val="clear" w:color="auto" w:fill="CCEC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95"/>
        </w:trPr>
        <w:tc>
          <w:tcPr>
            <w:tcW w:w="3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 profit share territory</w:t>
            </w:r>
          </w:p>
        </w:tc>
        <w:tc>
          <w:tcPr>
            <w:tcW w:w="600" w:type="dxa"/>
            <w:vAlign w:val="bottom"/>
            <w:shd w:val="clear" w:color="auto" w:fill="CCEEFF"/>
          </w:tcPr>
          <w:p>
            <w:pPr>
              <w:spacing w:after="0"/>
              <w:rPr>
                <w:sz w:val="16"/>
                <w:szCs w:val="16"/>
                <w:color w:val="auto"/>
              </w:rPr>
            </w:pPr>
          </w:p>
        </w:tc>
        <w:tc>
          <w:tcPr>
            <w:tcW w:w="740" w:type="dxa"/>
            <w:vAlign w:val="bottom"/>
            <w:shd w:val="clear" w:color="auto" w:fill="CCECFF"/>
          </w:tcPr>
          <w:p>
            <w:pPr>
              <w:jc w:val="right"/>
              <w:ind w:right="625"/>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1,065</w:t>
            </w:r>
          </w:p>
        </w:tc>
        <w:tc>
          <w:tcPr>
            <w:tcW w:w="1040" w:type="dxa"/>
            <w:vAlign w:val="bottom"/>
            <w:gridSpan w:val="2"/>
            <w:shd w:val="clear" w:color="auto" w:fill="CCECFF"/>
          </w:tcPr>
          <w:p>
            <w:pPr>
              <w:jc w:val="right"/>
              <w:ind w:right="7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CFF"/>
          </w:tcPr>
          <w:p>
            <w:pPr>
              <w:ind w:left="14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1,065</w:t>
            </w:r>
          </w:p>
        </w:tc>
        <w:tc>
          <w:tcPr>
            <w:tcW w:w="46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C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r>
      <w:tr>
        <w:trPr>
          <w:trHeight w:val="196"/>
        </w:trPr>
        <w:tc>
          <w:tcPr>
            <w:tcW w:w="3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Royalty revenue in European territory</w:t>
            </w:r>
          </w:p>
        </w:tc>
        <w:tc>
          <w:tcPr>
            <w:tcW w:w="6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w:t>
            </w:r>
          </w:p>
        </w:tc>
        <w:tc>
          <w:tcPr>
            <w:tcW w:w="200" w:type="dxa"/>
            <w:vAlign w:val="bottom"/>
            <w:tcBorders>
              <w:bottom w:val="single" w:sz="8" w:color="CCEC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C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527</w:t>
            </w:r>
          </w:p>
        </w:tc>
        <w:tc>
          <w:tcPr>
            <w:tcW w:w="200" w:type="dxa"/>
            <w:vAlign w:val="bottom"/>
            <w:tcBorders>
              <w:bottom w:val="single" w:sz="8" w:color="CCEC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w w:val="93"/>
              </w:rPr>
              <w:t>—</w:t>
            </w:r>
          </w:p>
        </w:tc>
        <w:tc>
          <w:tcPr>
            <w:tcW w:w="80" w:type="dxa"/>
            <w:vAlign w:val="bottom"/>
            <w:tcBorders>
              <w:bottom w:val="single" w:sz="8" w:color="CCEC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r>
      <w:tr>
        <w:trPr>
          <w:trHeight w:val="188"/>
        </w:trPr>
        <w:tc>
          <w:tcPr>
            <w:tcW w:w="31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600" w:type="dxa"/>
            <w:vAlign w:val="bottom"/>
            <w:shd w:val="clear" w:color="auto" w:fill="CCEEFF"/>
          </w:tcPr>
          <w:p>
            <w:pPr>
              <w:spacing w:after="0"/>
              <w:rPr>
                <w:sz w:val="16"/>
                <w:szCs w:val="16"/>
                <w:color w:val="auto"/>
              </w:rPr>
            </w:pPr>
          </w:p>
        </w:tc>
        <w:tc>
          <w:tcPr>
            <w:tcW w:w="740" w:type="dxa"/>
            <w:vAlign w:val="bottom"/>
            <w:shd w:val="clear" w:color="auto" w:fill="CCECFF"/>
          </w:tcPr>
          <w:p>
            <w:pPr>
              <w:jc w:val="right"/>
              <w:ind w:right="625"/>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1,577</w:t>
            </w:r>
          </w:p>
        </w:tc>
        <w:tc>
          <w:tcPr>
            <w:tcW w:w="1040" w:type="dxa"/>
            <w:vAlign w:val="bottom"/>
            <w:gridSpan w:val="2"/>
            <w:shd w:val="clear" w:color="auto" w:fill="CCECFF"/>
          </w:tcPr>
          <w:p>
            <w:pPr>
              <w:jc w:val="right"/>
              <w:ind w:right="7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CFF"/>
          </w:tcPr>
          <w:p>
            <w:pPr>
              <w:ind w:left="140"/>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1,592</w:t>
            </w:r>
          </w:p>
        </w:tc>
        <w:tc>
          <w:tcPr>
            <w:tcW w:w="460" w:type="dxa"/>
            <w:vAlign w:val="bottom"/>
            <w:gridSpan w:val="2"/>
            <w:shd w:val="clear" w:color="auto" w:fill="CCEC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C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Product revenue related to sales in Other Territories</w:t>
      </w:r>
    </w:p>
    <w:p>
      <w:pPr>
        <w:spacing w:after="0" w:line="70" w:lineRule="exact"/>
        <w:rPr>
          <w:sz w:val="20"/>
          <w:szCs w:val="20"/>
          <w:color w:val="auto"/>
        </w:rPr>
      </w:pPr>
    </w:p>
    <w:p>
      <w:pPr>
        <w:ind w:right="20" w:firstLine="520"/>
        <w:spacing w:after="0" w:line="272" w:lineRule="auto"/>
        <w:rPr>
          <w:sz w:val="20"/>
          <w:szCs w:val="20"/>
          <w:color w:val="auto"/>
        </w:rPr>
      </w:pPr>
      <w:r>
        <w:rPr>
          <w:rFonts w:ascii="Arial" w:cs="Arial" w:eastAsia="Arial" w:hAnsi="Arial"/>
          <w:sz w:val="15"/>
          <w:szCs w:val="15"/>
          <w:color w:val="auto"/>
        </w:rPr>
        <w:t>The Company is responsible for commercializing Crysvita in Latin America. The Company is considered the principal in the arrangement as the Company controls the product before it is transferred to the customer. Accordingly, the Company records revenue on a gross basis related to the sale of Crysvita once the product is delivered and the risk and title of the product is transferred to the distributor. Product sales are recorded net of estimated product returns and other deductions.</w:t>
      </w:r>
    </w:p>
    <w:p>
      <w:pPr>
        <w:spacing w:after="0" w:line="36" w:lineRule="exact"/>
        <w:rPr>
          <w:sz w:val="20"/>
          <w:szCs w:val="20"/>
          <w:color w:val="auto"/>
        </w:rPr>
      </w:pPr>
    </w:p>
    <w:p>
      <w:pPr>
        <w:ind w:right="340" w:firstLine="520"/>
        <w:spacing w:after="0" w:line="288" w:lineRule="auto"/>
        <w:rPr>
          <w:sz w:val="20"/>
          <w:szCs w:val="20"/>
          <w:color w:val="auto"/>
        </w:rPr>
      </w:pPr>
      <w:r>
        <w:rPr>
          <w:rFonts w:ascii="Arial" w:cs="Arial" w:eastAsia="Arial" w:hAnsi="Arial"/>
          <w:sz w:val="15"/>
          <w:szCs w:val="15"/>
          <w:color w:val="auto"/>
        </w:rPr>
        <w:t>Under the collaboration agreement, KHK manufactures and supplies Crysvita, which is purchased by the Company for commercial use in the Latin America territory. The Company also pays to KHK a low single-digit royalty on net sales.</w:t>
      </w:r>
    </w:p>
    <w:p>
      <w:pPr>
        <w:spacing w:after="0" w:line="13" w:lineRule="exact"/>
        <w:rPr>
          <w:sz w:val="20"/>
          <w:szCs w:val="20"/>
          <w:color w:val="auto"/>
        </w:rPr>
      </w:pPr>
    </w:p>
    <w:p>
      <w:pPr>
        <w:ind w:right="40" w:firstLine="520"/>
        <w:spacing w:after="0" w:line="267" w:lineRule="auto"/>
        <w:rPr>
          <w:sz w:val="20"/>
          <w:szCs w:val="20"/>
          <w:color w:val="auto"/>
        </w:rPr>
      </w:pPr>
      <w:r>
        <w:rPr>
          <w:rFonts w:ascii="Arial" w:cs="Arial" w:eastAsia="Arial" w:hAnsi="Arial"/>
          <w:sz w:val="15"/>
          <w:szCs w:val="15"/>
          <w:color w:val="auto"/>
        </w:rPr>
        <w:t>In May 2017, the Company signed an agreement with a wholly-owned subsidiary of KHK pursuant to which the Company was granted the right to commercialize Crysvita in Turkey. KHK’s subsidiary has the option to assume responsibility for commercialization efforts from the Company, after a certain minimum period. The Company is considered the principal in the arrangement as the Company controls the product before it is transferred to the customer; accordingly, the Company will record revenue on a gross basis for sales made in Turkey, including named patient sales, until KHK’s subsidiary assumes responsibility for commercialization efforts.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sharing payments</w:t>
      </w:r>
    </w:p>
    <w:p>
      <w:pPr>
        <w:spacing w:after="0" w:line="81" w:lineRule="exact"/>
        <w:rPr>
          <w:sz w:val="20"/>
          <w:szCs w:val="20"/>
          <w:color w:val="auto"/>
        </w:rPr>
      </w:pPr>
    </w:p>
    <w:p>
      <w:pPr>
        <w:ind w:right="280" w:firstLine="520"/>
        <w:spacing w:after="0" w:line="288" w:lineRule="auto"/>
        <w:rPr>
          <w:sz w:val="20"/>
          <w:szCs w:val="20"/>
          <w:color w:val="auto"/>
        </w:rPr>
      </w:pPr>
      <w:r>
        <w:rPr>
          <w:rFonts w:ascii="Arial" w:cs="Arial" w:eastAsia="Arial" w:hAnsi="Arial"/>
          <w:sz w:val="15"/>
          <w:szCs w:val="15"/>
          <w:color w:val="auto"/>
        </w:rPr>
        <w:t>Under the collaboration agreement, KHK and the Company shares certain development and commercialization costs. As a result, the Company’s expenses were reduced as follows (in thousands):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47"/>
        </w:trPr>
        <w:tc>
          <w:tcPr>
            <w:tcW w:w="2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0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5"/>
          </w:tcPr>
          <w:p>
            <w:pPr>
              <w:ind w:left="300"/>
              <w:spacing w:after="0"/>
              <w:rPr>
                <w:sz w:val="20"/>
                <w:szCs w:val="20"/>
                <w:color w:val="auto"/>
              </w:rPr>
            </w:pPr>
            <w:r>
              <w:rPr>
                <w:rFonts w:ascii="Arial" w:cs="Arial" w:eastAsia="Arial" w:hAnsi="Arial"/>
                <w:sz w:val="12"/>
                <w:szCs w:val="12"/>
                <w:b w:val="1"/>
                <w:bCs w:val="1"/>
                <w:color w:val="auto"/>
              </w:rPr>
              <w:t>Six Months Ended June 30,</w:t>
            </w:r>
          </w:p>
        </w:tc>
      </w:tr>
      <w:tr>
        <w:trPr>
          <w:trHeight w:val="130"/>
        </w:trPr>
        <w:tc>
          <w:tcPr>
            <w:tcW w:w="294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4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9"/>
              <w:spacing w:after="0" w:line="130"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7"/>
              <w:spacing w:after="0" w:line="130"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1"/>
                <w:szCs w:val="11"/>
                <w:color w:val="auto"/>
              </w:rPr>
            </w:pPr>
          </w:p>
        </w:tc>
      </w:tr>
      <w:tr>
        <w:trPr>
          <w:trHeight w:val="188"/>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500" w:type="dxa"/>
            <w:vAlign w:val="bottom"/>
            <w:gridSpan w:val="2"/>
            <w:shd w:val="clear" w:color="auto" w:fill="CCEEFF"/>
          </w:tcPr>
          <w:p>
            <w:pPr>
              <w:jc w:val="right"/>
              <w:ind w:right="559"/>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9,420</w:t>
            </w:r>
          </w:p>
        </w:tc>
        <w:tc>
          <w:tcPr>
            <w:tcW w:w="960" w:type="dxa"/>
            <w:vAlign w:val="bottom"/>
            <w:gridSpan w:val="2"/>
            <w:shd w:val="clear" w:color="auto" w:fill="CCEEFF"/>
          </w:tcPr>
          <w:p>
            <w:pPr>
              <w:jc w:val="right"/>
              <w:ind w:right="599"/>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17,656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15,325</w:t>
            </w:r>
          </w:p>
        </w:tc>
        <w:tc>
          <w:tcPr>
            <w:tcW w:w="100" w:type="dxa"/>
            <w:vAlign w:val="bottom"/>
            <w:shd w:val="clear" w:color="auto" w:fill="CCEEFF"/>
          </w:tcPr>
          <w:p>
            <w:pPr>
              <w:spacing w:after="0"/>
              <w:rPr>
                <w:sz w:val="16"/>
                <w:szCs w:val="16"/>
                <w:color w:val="auto"/>
              </w:rPr>
            </w:pPr>
          </w:p>
        </w:tc>
      </w:tr>
      <w:tr>
        <w:trPr>
          <w:trHeight w:val="196"/>
        </w:trPr>
        <w:tc>
          <w:tcPr>
            <w:tcW w:w="29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Selling, general and administrative</w:t>
            </w:r>
          </w:p>
        </w:tc>
        <w:tc>
          <w:tcPr>
            <w:tcW w:w="8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4,068</w:t>
            </w:r>
          </w:p>
        </w:tc>
        <w:tc>
          <w:tcPr>
            <w:tcW w:w="2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7,850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1,141</w:t>
            </w:r>
          </w:p>
        </w:tc>
        <w:tc>
          <w:tcPr>
            <w:tcW w:w="100" w:type="dxa"/>
            <w:vAlign w:val="bottom"/>
            <w:tcBorders>
              <w:bottom w:val="single" w:sz="8" w:color="CCEEFF"/>
            </w:tcBorders>
          </w:tcPr>
          <w:p>
            <w:pPr>
              <w:spacing w:after="0"/>
              <w:rPr>
                <w:sz w:val="17"/>
                <w:szCs w:val="17"/>
                <w:color w:val="auto"/>
              </w:rPr>
            </w:pPr>
          </w:p>
        </w:tc>
      </w:tr>
      <w:tr>
        <w:trPr>
          <w:trHeight w:val="188"/>
        </w:trPr>
        <w:tc>
          <w:tcPr>
            <w:tcW w:w="29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1500" w:type="dxa"/>
            <w:vAlign w:val="bottom"/>
            <w:gridSpan w:val="2"/>
            <w:shd w:val="clear" w:color="auto" w:fill="CCEEFF"/>
          </w:tcPr>
          <w:p>
            <w:pPr>
              <w:jc w:val="right"/>
              <w:ind w:right="559"/>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13,488</w:t>
            </w:r>
          </w:p>
        </w:tc>
        <w:tc>
          <w:tcPr>
            <w:tcW w:w="960" w:type="dxa"/>
            <w:vAlign w:val="bottom"/>
            <w:gridSpan w:val="2"/>
            <w:shd w:val="clear" w:color="auto" w:fill="CCEEFF"/>
          </w:tcPr>
          <w:p>
            <w:pPr>
              <w:jc w:val="right"/>
              <w:ind w:right="599"/>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8,527</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25,506</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16,466</w:t>
            </w:r>
          </w:p>
        </w:tc>
        <w:tc>
          <w:tcPr>
            <w:tcW w:w="100" w:type="dxa"/>
            <w:vAlign w:val="bottom"/>
            <w:shd w:val="clear" w:color="auto" w:fill="CCEEFF"/>
          </w:tcPr>
          <w:p>
            <w:pPr>
              <w:spacing w:after="0"/>
              <w:rPr>
                <w:sz w:val="16"/>
                <w:szCs w:val="16"/>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Collaboration receivable</w:t>
      </w:r>
    </w:p>
    <w:p>
      <w:pPr>
        <w:spacing w:after="0" w:line="70" w:lineRule="exact"/>
        <w:rPr>
          <w:sz w:val="20"/>
          <w:szCs w:val="20"/>
          <w:color w:val="auto"/>
        </w:rPr>
      </w:pPr>
    </w:p>
    <w:p>
      <w:pPr>
        <w:ind w:right="240" w:firstLine="520"/>
        <w:spacing w:after="0" w:line="288" w:lineRule="auto"/>
        <w:rPr>
          <w:sz w:val="20"/>
          <w:szCs w:val="20"/>
          <w:color w:val="auto"/>
        </w:rPr>
      </w:pPr>
      <w:r>
        <w:rPr>
          <w:rFonts w:ascii="Arial" w:cs="Arial" w:eastAsia="Arial" w:hAnsi="Arial"/>
          <w:sz w:val="15"/>
          <w:szCs w:val="15"/>
          <w:color w:val="auto"/>
        </w:rPr>
        <w:t>As of June 30, 2018 and December 31, 2017, the Company had receivables from KHK in the amount of $15.0 million and $10.3 million, respectively, for this collaboration arrangement.</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Takeda License and Collaboration and Purchase Agreements</w:t>
      </w:r>
    </w:p>
    <w:p>
      <w:pPr>
        <w:spacing w:after="0" w:line="85" w:lineRule="exact"/>
        <w:rPr>
          <w:sz w:val="20"/>
          <w:szCs w:val="20"/>
          <w:color w:val="auto"/>
        </w:rPr>
      </w:pPr>
    </w:p>
    <w:p>
      <w:pPr>
        <w:ind w:firstLine="520"/>
        <w:spacing w:after="0" w:line="281" w:lineRule="auto"/>
        <w:rPr>
          <w:sz w:val="20"/>
          <w:szCs w:val="20"/>
          <w:color w:val="auto"/>
        </w:rPr>
      </w:pPr>
      <w:r>
        <w:rPr>
          <w:rFonts w:ascii="Arial" w:cs="Arial" w:eastAsia="Arial" w:hAnsi="Arial"/>
          <w:sz w:val="14"/>
          <w:szCs w:val="14"/>
          <w:color w:val="auto"/>
        </w:rPr>
        <w:t>As of June 30, 2018, the research and development under the initial development plan pursuant to the collaboration and license agreement with Takeda Pharmaceutical Limited (Takeda) had been completed. The Company was responsible for the costs under the initial development plan. A significant portion of the work under the initial development plan was performed by Takeda, and as a result, the Company paid $10.6 million to Takeda for performance of their services. The Company concluded that the payments to Takeda were not in return for a distinct service that Takeda had transferred to the Company, therefore, the payments made to Takeda were accounted for as a reduction in the total transaction price of $14.3 million. As of June 30, 2018, the Company concluded that the remaining $3.7 million of the transaction price should not be constrained because it is probable that a significant reversal in the amount to be recognized will not occur. The unconstrained transaction price was allocated to the distinct performance obligations on a relative standalone selling price basis. The Company recorded $0.4 million and $0.3 million for the three months ended June 30, 2018 and June 30, 2017, respectively, and $1.2 million and $0.3 million for the six months ended June 30, 2018 and June 30, 2017, respectively, as a reduction of research and development expenses by measuring the progress toward complete satisfaction of the individual performance obligation using an input measure.</w:t>
      </w:r>
    </w:p>
    <w:p>
      <w:pPr>
        <w:spacing w:after="0" w:line="22" w:lineRule="exact"/>
        <w:rPr>
          <w:sz w:val="20"/>
          <w:szCs w:val="20"/>
          <w:color w:val="auto"/>
        </w:rPr>
      </w:pPr>
    </w:p>
    <w:p>
      <w:pPr>
        <w:ind w:right="40" w:firstLine="520"/>
        <w:spacing w:after="0" w:line="272" w:lineRule="auto"/>
        <w:rPr>
          <w:sz w:val="20"/>
          <w:szCs w:val="20"/>
          <w:color w:val="auto"/>
        </w:rPr>
      </w:pPr>
      <w:r>
        <w:rPr>
          <w:rFonts w:ascii="Arial" w:cs="Arial" w:eastAsia="Arial" w:hAnsi="Arial"/>
          <w:sz w:val="15"/>
          <w:szCs w:val="15"/>
          <w:color w:val="auto"/>
        </w:rPr>
        <w:t>Costs incurred by the Company associated with co-development activities performed under this collaboration are included in research and development expense in the accompanying consolidated statements of operations. The Company had no repayment liability as of June 30, 2018 and a $3.7 million repayment liability as of December 31, 2017 and no contract liability as of June 30, 2018 and a $0.6 million contract liability as of December 31, 2017.</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20"/>
          </w:cols>
          <w:pgMar w:left="240" w:top="189" w:right="339" w:bottom="1440" w:gutter="0" w:footer="0" w:header="0"/>
        </w:sectPr>
      </w:pPr>
    </w:p>
    <w:bookmarkStart w:id="13" w:name="page14"/>
    <w:bookmarkEnd w:id="13"/>
    <w:p>
      <w:pPr>
        <w:ind w:left="8"/>
        <w:spacing w:after="0"/>
        <w:rPr>
          <w:sz w:val="20"/>
          <w:szCs w:val="20"/>
          <w:color w:val="auto"/>
        </w:rPr>
      </w:pPr>
      <w:r>
        <w:rPr>
          <w:rFonts w:ascii="Arial" w:cs="Arial" w:eastAsia="Arial" w:hAnsi="Arial"/>
          <w:sz w:val="15"/>
          <w:szCs w:val="15"/>
          <w:b w:val="1"/>
          <w:bCs w:val="1"/>
          <w:color w:val="auto"/>
        </w:rPr>
        <w:t>Bayer HealthCare LLC</w:t>
      </w:r>
    </w:p>
    <w:p>
      <w:pPr>
        <w:spacing w:after="0" w:line="85" w:lineRule="exact"/>
        <w:rPr>
          <w:sz w:val="20"/>
          <w:szCs w:val="20"/>
          <w:color w:val="auto"/>
        </w:rPr>
      </w:pPr>
    </w:p>
    <w:p>
      <w:pPr>
        <w:ind w:left="8" w:right="80" w:firstLine="520"/>
        <w:spacing w:after="0" w:line="287" w:lineRule="auto"/>
        <w:rPr>
          <w:sz w:val="20"/>
          <w:szCs w:val="20"/>
          <w:color w:val="auto"/>
        </w:rPr>
      </w:pPr>
      <w:r>
        <w:rPr>
          <w:rFonts w:ascii="Arial" w:cs="Arial" w:eastAsia="Arial" w:hAnsi="Arial"/>
          <w:sz w:val="14"/>
          <w:szCs w:val="14"/>
          <w:color w:val="auto"/>
        </w:rPr>
        <w:t>The Company has an agreement with Bayer Healthcare LLC (Bayer) to research, develop and commercialize adeno-associated virus gene therapy products for treatment of hemophilia A (DTX 201). Under this agreement, Bayer has been granted an exclusive license to develop and commercialize one or more novel gene therapies for hemophilia A. The Company is responsible for the development of DTX201 under the agreement through a proof-of-concept (POC) clinical trial, in accordance with the mutually agreed upon research budget. Upon the successful demonstration of clinical POC, the agreement requires that Bayer use commercially reasonable efforts to manage and fund any subsequent clinical trials and commercialization of gene therapy products for treatment of hemophilia A. Bayer will have worldwide rights to commercialize the potential future product.</w:t>
      </w:r>
    </w:p>
    <w:p>
      <w:pPr>
        <w:spacing w:after="0" w:line="18" w:lineRule="exact"/>
        <w:rPr>
          <w:sz w:val="20"/>
          <w:szCs w:val="20"/>
          <w:color w:val="auto"/>
        </w:rPr>
      </w:pPr>
    </w:p>
    <w:p>
      <w:pPr>
        <w:ind w:left="8" w:right="300" w:firstLine="520"/>
        <w:spacing w:after="0" w:line="292" w:lineRule="auto"/>
        <w:rPr>
          <w:sz w:val="20"/>
          <w:szCs w:val="20"/>
          <w:color w:val="auto"/>
        </w:rPr>
      </w:pPr>
      <w:r>
        <w:rPr>
          <w:rFonts w:ascii="Arial" w:cs="Arial" w:eastAsia="Arial" w:hAnsi="Arial"/>
          <w:sz w:val="14"/>
          <w:szCs w:val="14"/>
          <w:color w:val="auto"/>
        </w:rPr>
        <w:t>Bayer is responsible to fund certain research and development services performed by the Company in the performance of its obligations under the annual research plan and budget. Under the terms of the agreement with Bayer, the Company is eligible to receive development and commercialization milestone payments of up to $232.0 million, as well as, royalty payments ranging in the high single-digit to low double-digit percentages, not exceeding the mid-teens, of net sales of licensed products. The Company achieved the first milestone in December 2017 and the second milestone in April 2018 and has received $15.0 million for such milestones to date.</w:t>
      </w:r>
    </w:p>
    <w:p>
      <w:pPr>
        <w:spacing w:after="0" w:line="12" w:lineRule="exact"/>
        <w:rPr>
          <w:sz w:val="20"/>
          <w:szCs w:val="20"/>
          <w:color w:val="auto"/>
        </w:rPr>
      </w:pPr>
    </w:p>
    <w:p>
      <w:pPr>
        <w:ind w:left="8" w:right="300" w:firstLine="520"/>
        <w:spacing w:after="0" w:line="267" w:lineRule="auto"/>
        <w:rPr>
          <w:sz w:val="20"/>
          <w:szCs w:val="20"/>
          <w:color w:val="auto"/>
        </w:rPr>
      </w:pPr>
      <w:r>
        <w:rPr>
          <w:rFonts w:ascii="Arial" w:cs="Arial" w:eastAsia="Arial" w:hAnsi="Arial"/>
          <w:sz w:val="15"/>
          <w:szCs w:val="15"/>
          <w:color w:val="auto"/>
        </w:rPr>
        <w:t xml:space="preserve">As of the acquisition date of Dimension Therapeutics, Inc. on November 7, 2017, the Company valued the contract under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and recorded an intangible asset of $13.5 million. The intangible asset is being amortized to research and development expense over the research term which is expected to be complete in 2019. The Company recorded a research and development expense of $4.4 million and $8.8 million for the three and six months ended June 30, 2018, respectively, for the amortization of the intangible asset.</w:t>
      </w:r>
    </w:p>
    <w:p>
      <w:pPr>
        <w:spacing w:after="0" w:line="40" w:lineRule="exact"/>
        <w:rPr>
          <w:sz w:val="20"/>
          <w:szCs w:val="20"/>
          <w:color w:val="auto"/>
        </w:rPr>
      </w:pPr>
    </w:p>
    <w:p>
      <w:pPr>
        <w:ind w:left="8" w:right="80" w:firstLine="520"/>
        <w:spacing w:after="0" w:line="283" w:lineRule="auto"/>
        <w:rPr>
          <w:sz w:val="20"/>
          <w:szCs w:val="20"/>
          <w:color w:val="auto"/>
        </w:rPr>
      </w:pPr>
      <w:r>
        <w:rPr>
          <w:rFonts w:ascii="Arial" w:cs="Arial" w:eastAsia="Arial" w:hAnsi="Arial"/>
          <w:sz w:val="14"/>
          <w:szCs w:val="14"/>
          <w:color w:val="auto"/>
        </w:rPr>
        <w:t>The Company evaluated the agreement under ASC 606 and recorded a contract liability as of November 7, 2017 of $2.5 million. It was determined that the performance obligations under the agreement includes (i) research and development services to be provided over the research term, (ii) a development and commercialization license and (iii) the Company’s participation in certain committees. It was determined that these performance obligations are not distinct in the context of the contract and therefore are a single performance obligation. The Company calculated the transaction price by including the unconstrained milestones along with the estimated payments for research and development services and recorded $9.0 million and $18.3 million as collaboration and license revenue for the three and six months ended June 30, 2018, respectively, by measuring the progress toward complete satisfaction of the performance obligation using an input measure. The performance obligation under the contract is expected to be substantially complete by end of 2019. As of June 30, 2018 and December 31, 2017, the Company had a $1.2 million and a $5.4 million contract liability, respectively.</w:t>
      </w:r>
    </w:p>
    <w:p>
      <w:pPr>
        <w:spacing w:after="0" w:line="144" w:lineRule="exact"/>
        <w:rPr>
          <w:sz w:val="20"/>
          <w:szCs w:val="20"/>
          <w:color w:val="auto"/>
        </w:rPr>
      </w:pPr>
    </w:p>
    <w:p>
      <w:pPr>
        <w:ind w:left="528" w:hanging="528"/>
        <w:spacing w:after="0"/>
        <w:tabs>
          <w:tab w:leader="none" w:pos="528"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Awards</w:t>
      </w:r>
    </w:p>
    <w:p>
      <w:pPr>
        <w:spacing w:after="0" w:line="74" w:lineRule="exact"/>
        <w:rPr>
          <w:sz w:val="20"/>
          <w:szCs w:val="20"/>
          <w:color w:val="auto"/>
        </w:rPr>
      </w:pPr>
    </w:p>
    <w:p>
      <w:pPr>
        <w:ind w:left="8" w:right="60" w:firstLine="520"/>
        <w:spacing w:after="0" w:line="342" w:lineRule="auto"/>
        <w:rPr>
          <w:sz w:val="20"/>
          <w:szCs w:val="20"/>
          <w:color w:val="auto"/>
        </w:rPr>
      </w:pPr>
      <w:r>
        <w:rPr>
          <w:rFonts w:ascii="Arial" w:cs="Arial" w:eastAsia="Arial" w:hAnsi="Arial"/>
          <w:sz w:val="13"/>
          <w:szCs w:val="13"/>
          <w:color w:val="auto"/>
        </w:rPr>
        <w:t>The 2014 Incentive Plan (the 2014 Plan) provides for automatic annual increases in shares available for grant, beginning on January 1, 2015 through January 1, 2024. As of June 30, 2018, there were 1,915,493 shares reserved under the 2014 Plan for the future issuance of equity awards and 2,246,823 shares reserved for the 2014 Employee Stock Purchase Plan.</w:t>
      </w:r>
    </w:p>
    <w:p>
      <w:pPr>
        <w:spacing w:after="0" w:line="1" w:lineRule="exact"/>
        <w:rPr>
          <w:sz w:val="20"/>
          <w:szCs w:val="20"/>
          <w:color w:val="auto"/>
        </w:rPr>
      </w:pPr>
    </w:p>
    <w:p>
      <w:pPr>
        <w:ind w:left="528"/>
        <w:spacing w:after="0"/>
        <w:rPr>
          <w:sz w:val="20"/>
          <w:szCs w:val="20"/>
          <w:color w:val="auto"/>
        </w:rPr>
      </w:pPr>
      <w:r>
        <w:rPr>
          <w:rFonts w:ascii="Arial" w:cs="Arial" w:eastAsia="Arial" w:hAnsi="Arial"/>
          <w:sz w:val="15"/>
          <w:szCs w:val="15"/>
          <w:color w:val="auto"/>
        </w:rPr>
        <w:t>The table below sets forth the stock-based compensation expense for the periods presented (in thousands):</w:t>
      </w:r>
    </w:p>
    <w:p>
      <w:pPr>
        <w:spacing w:after="0" w:line="199" w:lineRule="exact"/>
        <w:rPr>
          <w:sz w:val="20"/>
          <w:szCs w:val="20"/>
          <w:color w:val="auto"/>
        </w:rPr>
      </w:pPr>
    </w:p>
    <w:tbl>
      <w:tblPr>
        <w:tblLayout w:type="fixed"/>
        <w:tblInd w:w="1148" w:type="dxa"/>
        <w:tblCellMar>
          <w:top w:w="0" w:type="dxa"/>
          <w:left w:w="0" w:type="dxa"/>
          <w:bottom w:w="0" w:type="dxa"/>
          <w:right w:w="0" w:type="dxa"/>
        </w:tblCellMar>
      </w:tblPr>
      <w:tr>
        <w:trPr>
          <w:trHeight w:val="147"/>
        </w:trPr>
        <w:tc>
          <w:tcPr>
            <w:tcW w:w="2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June 30,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5"/>
          </w:tcPr>
          <w:p>
            <w:pPr>
              <w:ind w:left="300"/>
              <w:spacing w:after="0"/>
              <w:rPr>
                <w:sz w:val="20"/>
                <w:szCs w:val="20"/>
                <w:color w:val="auto"/>
              </w:rPr>
            </w:pPr>
            <w:r>
              <w:rPr>
                <w:rFonts w:ascii="Arial" w:cs="Arial" w:eastAsia="Arial" w:hAnsi="Arial"/>
                <w:sz w:val="12"/>
                <w:szCs w:val="12"/>
                <w:b w:val="1"/>
                <w:bCs w:val="1"/>
                <w:color w:val="auto"/>
              </w:rPr>
              <w:t>Six Months Ended June 30,</w:t>
            </w:r>
          </w:p>
        </w:tc>
      </w:tr>
      <w:tr>
        <w:trPr>
          <w:trHeight w:val="130"/>
        </w:trPr>
        <w:tc>
          <w:tcPr>
            <w:tcW w:w="296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4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46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9"/>
              <w:spacing w:after="0" w:line="130" w:lineRule="exact"/>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7"/>
              <w:spacing w:after="0" w:line="130"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EFF"/>
            </w:tcBorders>
          </w:tcPr>
          <w:p>
            <w:pPr>
              <w:spacing w:after="0"/>
              <w:rPr>
                <w:sz w:val="11"/>
                <w:szCs w:val="11"/>
                <w:color w:val="auto"/>
              </w:rPr>
            </w:pPr>
          </w:p>
        </w:tc>
      </w:tr>
      <w:tr>
        <w:trPr>
          <w:trHeight w:val="188"/>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480" w:type="dxa"/>
            <w:vAlign w:val="bottom"/>
            <w:gridSpan w:val="2"/>
            <w:shd w:val="clear" w:color="auto" w:fill="CCEEFF"/>
          </w:tcPr>
          <w:p>
            <w:pPr>
              <w:jc w:val="right"/>
              <w:ind w:right="559"/>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11,644</w:t>
            </w:r>
          </w:p>
        </w:tc>
        <w:tc>
          <w:tcPr>
            <w:tcW w:w="920" w:type="dxa"/>
            <w:vAlign w:val="bottom"/>
            <w:gridSpan w:val="2"/>
            <w:shd w:val="clear" w:color="auto" w:fill="CCEEFF"/>
          </w:tcPr>
          <w:p>
            <w:pPr>
              <w:jc w:val="right"/>
              <w:ind w:right="559"/>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10,034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22,891</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18,577</w:t>
            </w:r>
          </w:p>
        </w:tc>
        <w:tc>
          <w:tcPr>
            <w:tcW w:w="100" w:type="dxa"/>
            <w:vAlign w:val="bottom"/>
            <w:shd w:val="clear" w:color="auto" w:fill="CCEEFF"/>
          </w:tcPr>
          <w:p>
            <w:pPr>
              <w:spacing w:after="0"/>
              <w:rPr>
                <w:sz w:val="16"/>
                <w:szCs w:val="16"/>
                <w:color w:val="auto"/>
              </w:rPr>
            </w:pPr>
          </w:p>
        </w:tc>
      </w:tr>
      <w:tr>
        <w:trPr>
          <w:trHeight w:val="196"/>
        </w:trPr>
        <w:tc>
          <w:tcPr>
            <w:tcW w:w="29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Selling, general and administrative</w:t>
            </w:r>
          </w:p>
        </w:tc>
        <w:tc>
          <w:tcPr>
            <w:tcW w:w="8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7,919</w:t>
            </w: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6,760</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15,469</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12,716</w:t>
            </w:r>
          </w:p>
        </w:tc>
        <w:tc>
          <w:tcPr>
            <w:tcW w:w="100" w:type="dxa"/>
            <w:vAlign w:val="bottom"/>
            <w:tcBorders>
              <w:bottom w:val="single" w:sz="8" w:color="CCEEFF"/>
            </w:tcBorders>
          </w:tcPr>
          <w:p>
            <w:pPr>
              <w:spacing w:after="0"/>
              <w:rPr>
                <w:sz w:val="17"/>
                <w:szCs w:val="17"/>
                <w:color w:val="auto"/>
              </w:rPr>
            </w:pPr>
          </w:p>
        </w:tc>
      </w:tr>
      <w:tr>
        <w:trPr>
          <w:trHeight w:val="188"/>
        </w:trPr>
        <w:tc>
          <w:tcPr>
            <w:tcW w:w="29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stock-based compensation</w:t>
            </w:r>
          </w:p>
        </w:tc>
        <w:tc>
          <w:tcPr>
            <w:tcW w:w="1480" w:type="dxa"/>
            <w:vAlign w:val="bottom"/>
            <w:gridSpan w:val="2"/>
            <w:shd w:val="clear" w:color="auto" w:fill="CCEEFF"/>
          </w:tcPr>
          <w:p>
            <w:pPr>
              <w:jc w:val="right"/>
              <w:ind w:right="559"/>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19,563</w:t>
            </w:r>
          </w:p>
        </w:tc>
        <w:tc>
          <w:tcPr>
            <w:tcW w:w="920" w:type="dxa"/>
            <w:vAlign w:val="bottom"/>
            <w:gridSpan w:val="2"/>
            <w:shd w:val="clear" w:color="auto" w:fill="CCEEFF"/>
          </w:tcPr>
          <w:p>
            <w:pPr>
              <w:jc w:val="right"/>
              <w:ind w:right="559"/>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16,794</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38,360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31,293</w:t>
            </w:r>
          </w:p>
        </w:tc>
        <w:tc>
          <w:tcPr>
            <w:tcW w:w="100" w:type="dxa"/>
            <w:vAlign w:val="bottom"/>
            <w:shd w:val="clear" w:color="auto" w:fill="CCEEFF"/>
          </w:tcPr>
          <w:p>
            <w:pPr>
              <w:spacing w:after="0"/>
              <w:rPr>
                <w:sz w:val="16"/>
                <w:szCs w:val="16"/>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ind w:left="528" w:hanging="528"/>
        <w:spacing w:after="0"/>
        <w:tabs>
          <w:tab w:leader="none" w:pos="528"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Net Loss Per Share</w:t>
      </w:r>
    </w:p>
    <w:p>
      <w:pPr>
        <w:spacing w:after="0" w:line="85" w:lineRule="exact"/>
        <w:rPr>
          <w:sz w:val="20"/>
          <w:szCs w:val="20"/>
          <w:color w:val="auto"/>
        </w:rPr>
      </w:pPr>
    </w:p>
    <w:p>
      <w:pPr>
        <w:ind w:left="8" w:right="160" w:firstLine="520"/>
        <w:spacing w:after="0" w:line="318" w:lineRule="auto"/>
        <w:rPr>
          <w:sz w:val="20"/>
          <w:szCs w:val="20"/>
          <w:color w:val="auto"/>
        </w:rPr>
      </w:pPr>
      <w:r>
        <w:rPr>
          <w:rFonts w:ascii="Arial" w:cs="Arial" w:eastAsia="Arial" w:hAnsi="Arial"/>
          <w:sz w:val="14"/>
          <w:szCs w:val="14"/>
          <w:color w:val="auto"/>
        </w:rPr>
        <w:t>Basic net loss per share has been computed by dividing the net loss by the weighted-average number of shares of common stock outstanding during the period. Diluted net loss per share is calculated by dividing net loss by the weighted-average number of shares of common stock and potential dilutive securities outstanding during the period.</w:t>
      </w:r>
    </w:p>
    <w:p>
      <w:pPr>
        <w:ind w:left="8" w:right="380" w:firstLine="520"/>
        <w:spacing w:after="0" w:line="288" w:lineRule="auto"/>
        <w:rPr>
          <w:sz w:val="20"/>
          <w:szCs w:val="20"/>
          <w:color w:val="auto"/>
        </w:rPr>
      </w:pPr>
      <w:r>
        <w:rPr>
          <w:rFonts w:ascii="Arial" w:cs="Arial" w:eastAsia="Arial" w:hAnsi="Arial"/>
          <w:sz w:val="15"/>
          <w:szCs w:val="15"/>
          <w:color w:val="auto"/>
        </w:rPr>
        <w:t>The following weighted-average outstanding common stock equivalents were excluded from the computation of diluted net loss per share for the periods presented because including them would have been antidilutive:</w:t>
      </w:r>
    </w:p>
    <w:p>
      <w:pPr>
        <w:spacing w:after="0" w:line="223"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4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2"/>
                <w:szCs w:val="12"/>
                <w:b w:val="1"/>
                <w:bCs w:val="1"/>
                <w:color w:val="auto"/>
              </w:rPr>
              <w:t>Three Months Ended June 30,</w:t>
            </w:r>
          </w:p>
        </w:tc>
        <w:tc>
          <w:tcPr>
            <w:tcW w:w="220" w:type="dxa"/>
            <w:vAlign w:val="bottom"/>
          </w:tcPr>
          <w:p>
            <w:pPr>
              <w:spacing w:after="0"/>
              <w:rPr>
                <w:sz w:val="12"/>
                <w:szCs w:val="12"/>
                <w:color w:val="auto"/>
              </w:rPr>
            </w:pPr>
          </w:p>
        </w:tc>
        <w:tc>
          <w:tcPr>
            <w:tcW w:w="2160" w:type="dxa"/>
            <w:vAlign w:val="bottom"/>
            <w:tcBorders>
              <w:bottom w:val="single" w:sz="8" w:color="auto"/>
            </w:tcBorders>
            <w:gridSpan w:val="3"/>
          </w:tcPr>
          <w:p>
            <w:pPr>
              <w:jc w:val="right"/>
              <w:ind w:right="286"/>
              <w:spacing w:after="0"/>
              <w:rPr>
                <w:sz w:val="20"/>
                <w:szCs w:val="20"/>
                <w:color w:val="auto"/>
              </w:rPr>
            </w:pPr>
            <w:r>
              <w:rPr>
                <w:rFonts w:ascii="Arial" w:cs="Arial" w:eastAsia="Arial" w:hAnsi="Arial"/>
                <w:sz w:val="12"/>
                <w:szCs w:val="12"/>
                <w:b w:val="1"/>
                <w:bCs w:val="1"/>
                <w:color w:val="auto"/>
              </w:rPr>
              <w:t>Six Months Ended June 30,</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8"/>
        </w:trPr>
        <w:tc>
          <w:tcPr>
            <w:tcW w:w="1140" w:type="dxa"/>
            <w:vAlign w:val="bottom"/>
          </w:tcPr>
          <w:p>
            <w:pPr>
              <w:spacing w:after="0"/>
              <w:rPr>
                <w:sz w:val="16"/>
                <w:szCs w:val="16"/>
                <w:color w:val="auto"/>
              </w:rPr>
            </w:pPr>
          </w:p>
        </w:tc>
        <w:tc>
          <w:tcPr>
            <w:tcW w:w="3660" w:type="dxa"/>
            <w:vAlign w:val="bottom"/>
            <w:tcBorders>
              <w:bottom w:val="single" w:sz="8" w:color="CCECFF"/>
            </w:tcBorders>
          </w:tcPr>
          <w:p>
            <w:pPr>
              <w:spacing w:after="0"/>
              <w:rPr>
                <w:sz w:val="16"/>
                <w:szCs w:val="16"/>
                <w:color w:val="auto"/>
              </w:rPr>
            </w:pPr>
          </w:p>
        </w:tc>
        <w:tc>
          <w:tcPr>
            <w:tcW w:w="880" w:type="dxa"/>
            <w:vAlign w:val="bottom"/>
            <w:tcBorders>
              <w:bottom w:val="single" w:sz="8" w:color="CCECFF"/>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CFF"/>
            </w:tcBorders>
          </w:tcPr>
          <w:p>
            <w:pPr>
              <w:spacing w:after="0"/>
              <w:rPr>
                <w:sz w:val="16"/>
                <w:szCs w:val="16"/>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2017</w:t>
            </w:r>
          </w:p>
        </w:tc>
        <w:tc>
          <w:tcPr>
            <w:tcW w:w="220" w:type="dxa"/>
            <w:vAlign w:val="bottom"/>
            <w:tcBorders>
              <w:bottom w:val="single" w:sz="8" w:color="CCECFF"/>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CFF"/>
            </w:tcBorders>
          </w:tcPr>
          <w:p>
            <w:pPr>
              <w:spacing w:after="0"/>
              <w:rPr>
                <w:sz w:val="16"/>
                <w:szCs w:val="16"/>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2017</w:t>
            </w:r>
          </w:p>
        </w:tc>
        <w:tc>
          <w:tcPr>
            <w:tcW w:w="100" w:type="dxa"/>
            <w:vAlign w:val="bottom"/>
            <w:tcBorders>
              <w:bottom w:val="single" w:sz="8" w:color="CCECFF"/>
            </w:tcBorders>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660" w:type="dxa"/>
            <w:vAlign w:val="bottom"/>
            <w:shd w:val="clear" w:color="auto" w:fill="CCECFF"/>
          </w:tcPr>
          <w:p>
            <w:pPr>
              <w:spacing w:after="0"/>
              <w:rPr>
                <w:sz w:val="20"/>
                <w:szCs w:val="20"/>
                <w:color w:val="auto"/>
              </w:rPr>
            </w:pPr>
            <w:r>
              <w:rPr>
                <w:rFonts w:ascii="Arial" w:cs="Arial" w:eastAsia="Arial" w:hAnsi="Arial"/>
                <w:sz w:val="15"/>
                <w:szCs w:val="15"/>
                <w:color w:val="auto"/>
              </w:rPr>
              <w:t>Options to purchase common stock and RSUs</w:t>
            </w:r>
          </w:p>
        </w:tc>
        <w:tc>
          <w:tcPr>
            <w:tcW w:w="184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7,735,231</w:t>
            </w: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5,767,660</w:t>
            </w:r>
          </w:p>
        </w:tc>
        <w:tc>
          <w:tcPr>
            <w:tcW w:w="220" w:type="dxa"/>
            <w:vAlign w:val="bottom"/>
            <w:shd w:val="clear" w:color="auto" w:fill="CCECFF"/>
          </w:tcPr>
          <w:p>
            <w:pPr>
              <w:spacing w:after="0"/>
              <w:rPr>
                <w:sz w:val="16"/>
                <w:szCs w:val="16"/>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7,479,526</w:t>
            </w:r>
          </w:p>
        </w:tc>
        <w:tc>
          <w:tcPr>
            <w:tcW w:w="220" w:type="dxa"/>
            <w:vAlign w:val="bottom"/>
            <w:shd w:val="clear" w:color="auto" w:fill="CCECFF"/>
          </w:tcPr>
          <w:p>
            <w:pPr>
              <w:spacing w:after="0"/>
              <w:rPr>
                <w:sz w:val="16"/>
                <w:szCs w:val="16"/>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5,536,816</w:t>
            </w:r>
          </w:p>
        </w:tc>
        <w:tc>
          <w:tcPr>
            <w:tcW w:w="100" w:type="dxa"/>
            <w:vAlign w:val="bottom"/>
            <w:shd w:val="clear" w:color="auto" w:fill="CCECFF"/>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4800" w:type="dxa"/>
            <w:vAlign w:val="bottom"/>
            <w:gridSpan w:val="2"/>
          </w:tcPr>
          <w:p>
            <w:pPr>
              <w:ind w:left="1140"/>
              <w:spacing w:after="0"/>
              <w:rPr>
                <w:sz w:val="20"/>
                <w:szCs w:val="20"/>
                <w:color w:val="auto"/>
              </w:rPr>
            </w:pPr>
            <w:r>
              <w:rPr>
                <w:rFonts w:ascii="Arial" w:cs="Arial" w:eastAsia="Arial" w:hAnsi="Arial"/>
                <w:sz w:val="15"/>
                <w:szCs w:val="15"/>
                <w:color w:val="auto"/>
              </w:rPr>
              <w:t>Employee stock purchase plan</w:t>
            </w:r>
          </w:p>
        </w:tc>
        <w:tc>
          <w:tcPr>
            <w:tcW w:w="1840" w:type="dxa"/>
            <w:vAlign w:val="bottom"/>
            <w:gridSpan w:val="2"/>
          </w:tcPr>
          <w:p>
            <w:pPr>
              <w:jc w:val="right"/>
              <w:spacing w:after="0"/>
              <w:rPr>
                <w:sz w:val="20"/>
                <w:szCs w:val="20"/>
                <w:color w:val="auto"/>
              </w:rPr>
            </w:pPr>
            <w:r>
              <w:rPr>
                <w:rFonts w:ascii="Arial" w:cs="Arial" w:eastAsia="Arial" w:hAnsi="Arial"/>
                <w:sz w:val="15"/>
                <w:szCs w:val="15"/>
                <w:color w:val="auto"/>
              </w:rPr>
              <w:t>9,369</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6,760</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4,710</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3,399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660" w:type="dxa"/>
            <w:vAlign w:val="bottom"/>
            <w:shd w:val="clear" w:color="auto" w:fill="CCECFF"/>
          </w:tcPr>
          <w:p>
            <w:pPr>
              <w:spacing w:after="0"/>
              <w:rPr>
                <w:sz w:val="20"/>
                <w:szCs w:val="20"/>
                <w:color w:val="auto"/>
              </w:rPr>
            </w:pPr>
            <w:r>
              <w:rPr>
                <w:rFonts w:ascii="Arial" w:cs="Arial" w:eastAsia="Arial" w:hAnsi="Arial"/>
                <w:sz w:val="15"/>
                <w:szCs w:val="15"/>
                <w:color w:val="auto"/>
              </w:rPr>
              <w:t>Common stock warrants</w:t>
            </w:r>
          </w:p>
        </w:tc>
        <w:tc>
          <w:tcPr>
            <w:tcW w:w="880" w:type="dxa"/>
            <w:vAlign w:val="bottom"/>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149,700</w:t>
            </w:r>
          </w:p>
        </w:tc>
        <w:tc>
          <w:tcPr>
            <w:tcW w:w="220" w:type="dxa"/>
            <w:vAlign w:val="bottom"/>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149,700</w:t>
            </w:r>
          </w:p>
        </w:tc>
        <w:tc>
          <w:tcPr>
            <w:tcW w:w="220" w:type="dxa"/>
            <w:vAlign w:val="bottom"/>
            <w:shd w:val="clear" w:color="auto" w:fill="CCECFF"/>
          </w:tcPr>
          <w:p>
            <w:pPr>
              <w:spacing w:after="0"/>
              <w:rPr>
                <w:sz w:val="17"/>
                <w:szCs w:val="17"/>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149,700</w:t>
            </w:r>
          </w:p>
        </w:tc>
        <w:tc>
          <w:tcPr>
            <w:tcW w:w="220" w:type="dxa"/>
            <w:vAlign w:val="bottom"/>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149,700</w:t>
            </w:r>
          </w:p>
        </w:tc>
        <w:tc>
          <w:tcPr>
            <w:tcW w:w="100" w:type="dxa"/>
            <w:vAlign w:val="bottom"/>
            <w:shd w:val="clear" w:color="auto" w:fill="CCECFF"/>
          </w:tcPr>
          <w:p>
            <w:pPr>
              <w:spacing w:after="0"/>
              <w:rPr>
                <w:sz w:val="17"/>
                <w:szCs w:val="17"/>
                <w:color w:val="auto"/>
              </w:rPr>
            </w:pPr>
          </w:p>
        </w:tc>
        <w:tc>
          <w:tcPr>
            <w:tcW w:w="1160" w:type="dxa"/>
            <w:vAlign w:val="bottom"/>
          </w:tcPr>
          <w:p>
            <w:pPr>
              <w:spacing w:after="0"/>
              <w:rPr>
                <w:sz w:val="17"/>
                <w:szCs w:val="17"/>
                <w:color w:val="auto"/>
              </w:rPr>
            </w:pPr>
          </w:p>
        </w:tc>
      </w:tr>
      <w:tr>
        <w:trPr>
          <w:trHeight w:val="188"/>
        </w:trPr>
        <w:tc>
          <w:tcPr>
            <w:tcW w:w="11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5"/>
                <w:szCs w:val="15"/>
                <w:color w:val="auto"/>
              </w:rPr>
              <w:t>7,894,300</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5,924,120</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7,633,936</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5,689,915</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28"/>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40" w:type="dxa"/>
            <w:vAlign w:val="bottom"/>
            <w:gridSpan w:val="2"/>
          </w:tcPr>
          <w:p>
            <w:pPr>
              <w:jc w:val="right"/>
              <w:ind w:right="773"/>
              <w:spacing w:after="0"/>
              <w:rPr>
                <w:sz w:val="20"/>
                <w:szCs w:val="20"/>
                <w:color w:val="auto"/>
              </w:rPr>
            </w:pPr>
            <w:r>
              <w:rPr>
                <w:rFonts w:ascii="Arial" w:cs="Arial" w:eastAsia="Arial" w:hAnsi="Arial"/>
                <w:sz w:val="15"/>
                <w:szCs w:val="15"/>
                <w:color w:val="auto"/>
              </w:rPr>
              <w:t>12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95"/>
        </w:trPr>
        <w:tc>
          <w:tcPr>
            <w:tcW w:w="114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-26670</wp:posOffset>
            </wp:positionV>
            <wp:extent cx="3302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8"/>
          </w:cols>
          <w:pgMar w:left="232" w:top="321" w:right="199" w:bottom="1440" w:gutter="0" w:footer="0" w:header="0"/>
        </w:sectPr>
      </w:pPr>
    </w:p>
    <w:bookmarkStart w:id="14" w:name="page15"/>
    <w:bookmarkEnd w:id="14"/>
    <w:p>
      <w:pPr>
        <w:ind w:left="528" w:hanging="528"/>
        <w:spacing w:after="0"/>
        <w:tabs>
          <w:tab w:leader="none" w:pos="528"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Equity Transactions</w:t>
      </w:r>
    </w:p>
    <w:p>
      <w:pPr>
        <w:spacing w:after="0" w:line="74" w:lineRule="exact"/>
        <w:rPr>
          <w:sz w:val="20"/>
          <w:szCs w:val="20"/>
          <w:color w:val="auto"/>
        </w:rPr>
      </w:pPr>
    </w:p>
    <w:p>
      <w:pPr>
        <w:ind w:left="8" w:right="180" w:firstLine="520"/>
        <w:spacing w:after="0" w:line="264" w:lineRule="auto"/>
        <w:rPr>
          <w:sz w:val="20"/>
          <w:szCs w:val="20"/>
          <w:color w:val="auto"/>
        </w:rPr>
      </w:pPr>
      <w:r>
        <w:rPr>
          <w:rFonts w:ascii="Arial" w:cs="Arial" w:eastAsia="Arial" w:hAnsi="Arial"/>
          <w:sz w:val="15"/>
          <w:szCs w:val="15"/>
          <w:color w:val="auto"/>
        </w:rPr>
        <w:t>In July 2017, the Company entered into an At-The-Market, or ATM, sales agreement with Cowen and Company, LLC (Cowen), whereby the Company can sell up to $150.0 million in aggregate proceeds of common stock from time to time, through Cowen as its sales agent. In March 2018, the Company and Cowen entered into an amendment to the ATM sales agreement to sell, from time to time, the remaining $72.6 million in common stock under the sales agreement under the Company’s new registration statement that was filed with the SEC on February 21, 2018. During the three and six months ended June 30, 2018, 240,417 shares were sold pursuant to the sales agreement, resulting in net proceeds of approximately $11.8 million, after commissions and other offering costs.</w:t>
      </w:r>
    </w:p>
    <w:p>
      <w:pPr>
        <w:spacing w:after="0" w:line="43" w:lineRule="exact"/>
        <w:rPr>
          <w:sz w:val="20"/>
          <w:szCs w:val="20"/>
          <w:color w:val="auto"/>
        </w:rPr>
      </w:pPr>
    </w:p>
    <w:p>
      <w:pPr>
        <w:ind w:left="8" w:right="100" w:firstLine="520"/>
        <w:spacing w:after="0" w:line="272" w:lineRule="auto"/>
        <w:rPr>
          <w:sz w:val="20"/>
          <w:szCs w:val="20"/>
          <w:color w:val="auto"/>
        </w:rPr>
      </w:pPr>
      <w:r>
        <w:rPr>
          <w:rFonts w:ascii="Arial" w:cs="Arial" w:eastAsia="Arial" w:hAnsi="Arial"/>
          <w:sz w:val="15"/>
          <w:szCs w:val="15"/>
          <w:color w:val="auto"/>
        </w:rPr>
        <w:t>In January 2018, the Company completed an underwritten public offering in which 5,043,860 shares of common stock were sold, which includes 657,895 shares purchased by the underwriters pursuant to an option granted to them in connection with the offering, at a public offering price of $57.00 per share. The total proceeds that the Company received from the offering were approximately $271.0 million, net of underwriting discounts and commissions.</w:t>
      </w:r>
    </w:p>
    <w:p>
      <w:pPr>
        <w:spacing w:after="0" w:line="148" w:lineRule="exact"/>
        <w:rPr>
          <w:sz w:val="20"/>
          <w:szCs w:val="20"/>
          <w:color w:val="auto"/>
        </w:rPr>
      </w:pPr>
    </w:p>
    <w:p>
      <w:pPr>
        <w:ind w:left="528" w:hanging="528"/>
        <w:spacing w:after="0"/>
        <w:tabs>
          <w:tab w:leader="none" w:pos="528"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Accumulated Other Comprehensive Loss</w:t>
      </w:r>
    </w:p>
    <w:p>
      <w:pPr>
        <w:spacing w:after="0" w:line="73" w:lineRule="exact"/>
        <w:rPr>
          <w:rFonts w:ascii="Arial" w:cs="Arial" w:eastAsia="Arial" w:hAnsi="Arial"/>
          <w:sz w:val="15"/>
          <w:szCs w:val="15"/>
          <w:b w:val="1"/>
          <w:bCs w:val="1"/>
          <w:color w:val="auto"/>
        </w:rPr>
      </w:pPr>
    </w:p>
    <w:p>
      <w:pPr>
        <w:ind w:left="528"/>
        <w:spacing w:after="0"/>
        <w:rPr>
          <w:rFonts w:ascii="Arial" w:cs="Arial" w:eastAsia="Arial" w:hAnsi="Arial"/>
          <w:sz w:val="15"/>
          <w:szCs w:val="15"/>
          <w:b w:val="1"/>
          <w:bCs w:val="1"/>
          <w:color w:val="auto"/>
        </w:rPr>
      </w:pPr>
      <w:r>
        <w:rPr>
          <w:rFonts w:ascii="Arial" w:cs="Arial" w:eastAsia="Arial" w:hAnsi="Arial"/>
          <w:sz w:val="15"/>
          <w:szCs w:val="15"/>
          <w:color w:val="auto"/>
        </w:rPr>
        <w:t>Total accumulated other comprehensive loss consisted of the following (in thousands):</w:t>
      </w:r>
    </w:p>
    <w:p>
      <w:pPr>
        <w:spacing w:after="0" w:line="141" w:lineRule="exact"/>
        <w:rPr>
          <w:sz w:val="20"/>
          <w:szCs w:val="20"/>
          <w:color w:val="auto"/>
        </w:rPr>
      </w:pPr>
    </w:p>
    <w:tbl>
      <w:tblPr>
        <w:tblLayout w:type="fixed"/>
        <w:tblInd w:w="1728" w:type="dxa"/>
        <w:tblCellMar>
          <w:top w:w="0" w:type="dxa"/>
          <w:left w:w="0" w:type="dxa"/>
          <w:bottom w:w="0" w:type="dxa"/>
          <w:right w:w="0" w:type="dxa"/>
        </w:tblCellMar>
      </w:tblPr>
      <w:tr>
        <w:trPr>
          <w:trHeight w:val="160"/>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3"/>
              <w:spacing w:after="0"/>
              <w:rPr>
                <w:sz w:val="20"/>
                <w:szCs w:val="20"/>
                <w:color w:val="auto"/>
              </w:rPr>
            </w:pPr>
            <w:r>
              <w:rPr>
                <w:rFonts w:ascii="Arial" w:cs="Arial" w:eastAsia="Arial" w:hAnsi="Arial"/>
                <w:sz w:val="12"/>
                <w:szCs w:val="12"/>
                <w:b w:val="1"/>
                <w:bCs w:val="1"/>
                <w:color w:val="auto"/>
              </w:rPr>
              <w:t>June 30,</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83"/>
        </w:trPr>
        <w:tc>
          <w:tcPr>
            <w:tcW w:w="4840" w:type="dxa"/>
            <w:vAlign w:val="bottom"/>
            <w:tcBorders>
              <w:bottom w:val="single" w:sz="8" w:color="CCECFF"/>
            </w:tcBorders>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960" w:type="dxa"/>
            <w:vAlign w:val="bottom"/>
            <w:tcBorders>
              <w:bottom w:val="single" w:sz="8" w:color="auto"/>
            </w:tcBorders>
          </w:tcPr>
          <w:p>
            <w:pPr>
              <w:jc w:val="right"/>
              <w:ind w:right="113"/>
              <w:spacing w:after="0"/>
              <w:rPr>
                <w:sz w:val="20"/>
                <w:szCs w:val="20"/>
                <w:color w:val="auto"/>
              </w:rPr>
            </w:pPr>
            <w:r>
              <w:rPr>
                <w:rFonts w:ascii="Arial" w:cs="Arial" w:eastAsia="Arial" w:hAnsi="Arial"/>
                <w:sz w:val="12"/>
                <w:szCs w:val="12"/>
                <w:b w:val="1"/>
                <w:bCs w:val="1"/>
                <w:color w:val="auto"/>
              </w:rPr>
              <w:t>2018</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40" w:type="dxa"/>
            <w:vAlign w:val="bottom"/>
            <w:shd w:val="clear" w:color="auto" w:fill="CCECFF"/>
          </w:tcPr>
          <w:p>
            <w:pPr>
              <w:spacing w:after="0"/>
              <w:rPr>
                <w:sz w:val="20"/>
                <w:szCs w:val="20"/>
                <w:color w:val="auto"/>
              </w:rPr>
            </w:pPr>
            <w:r>
              <w:rPr>
                <w:rFonts w:ascii="Arial" w:cs="Arial" w:eastAsia="Arial" w:hAnsi="Arial"/>
                <w:sz w:val="15"/>
                <w:szCs w:val="15"/>
                <w:color w:val="auto"/>
              </w:rPr>
              <w:t>Foreign currency translation adjustments</w:t>
            </w:r>
          </w:p>
        </w:tc>
        <w:tc>
          <w:tcPr>
            <w:tcW w:w="1120" w:type="dxa"/>
            <w:vAlign w:val="bottom"/>
            <w:gridSpan w:val="2"/>
            <w:shd w:val="clear" w:color="auto" w:fill="CCECFF"/>
          </w:tcPr>
          <w:p>
            <w:pPr>
              <w:jc w:val="right"/>
              <w:ind w:right="81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(90</w:t>
            </w:r>
          </w:p>
        </w:tc>
        <w:tc>
          <w:tcPr>
            <w:tcW w:w="160" w:type="dxa"/>
            <w:vAlign w:val="bottom"/>
            <w:shd w:val="clear" w:color="auto" w:fill="CCECFF"/>
          </w:tcPr>
          <w:p>
            <w:pPr>
              <w:jc w:val="right"/>
              <w:ind w:right="23"/>
              <w:spacing w:after="0"/>
              <w:rPr>
                <w:sz w:val="20"/>
                <w:szCs w:val="20"/>
                <w:color w:val="auto"/>
              </w:rPr>
            </w:pPr>
            <w:r>
              <w:rPr>
                <w:rFonts w:ascii="Arial" w:cs="Arial" w:eastAsia="Arial" w:hAnsi="Arial"/>
                <w:sz w:val="15"/>
                <w:szCs w:val="15"/>
                <w:color w:val="auto"/>
                <w:w w:val="79"/>
              </w:rPr>
              <w:t>)</w:t>
            </w:r>
          </w:p>
        </w:tc>
        <w:tc>
          <w:tcPr>
            <w:tcW w:w="280" w:type="dxa"/>
            <w:vAlign w:val="bottom"/>
            <w:gridSpan w:val="2"/>
            <w:shd w:val="clear" w:color="auto" w:fill="CCEC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(5,298)</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20"/>
                <w:szCs w:val="20"/>
                <w:color w:val="auto"/>
              </w:rPr>
            </w:pPr>
            <w:r>
              <w:rPr>
                <w:rFonts w:ascii="Arial" w:cs="Arial" w:eastAsia="Arial" w:hAnsi="Arial"/>
                <w:sz w:val="15"/>
                <w:szCs w:val="15"/>
                <w:color w:val="auto"/>
              </w:rPr>
              <w:t>Unrealized loss on securities available-for-sale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gridSpan w:val="2"/>
          </w:tcPr>
          <w:p>
            <w:pPr>
              <w:jc w:val="right"/>
              <w:ind w:right="23"/>
              <w:spacing w:after="0"/>
              <w:rPr>
                <w:sz w:val="20"/>
                <w:szCs w:val="20"/>
                <w:color w:val="auto"/>
              </w:rPr>
            </w:pPr>
            <w:r>
              <w:rPr>
                <w:rFonts w:ascii="Arial" w:cs="Arial" w:eastAsia="Arial" w:hAnsi="Arial"/>
                <w:sz w:val="15"/>
                <w:szCs w:val="15"/>
                <w:color w:val="auto"/>
              </w:rPr>
              <w:t>(564)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CEEFF"/>
          </w:tcPr>
          <w:p>
            <w:pPr>
              <w:ind w:left="200"/>
              <w:spacing w:after="0"/>
              <w:rPr>
                <w:sz w:val="20"/>
                <w:szCs w:val="20"/>
                <w:color w:val="auto"/>
              </w:rPr>
            </w:pPr>
            <w:r>
              <w:rPr>
                <w:rFonts w:ascii="Arial" w:cs="Arial" w:eastAsia="Arial" w:hAnsi="Arial"/>
                <w:sz w:val="15"/>
                <w:szCs w:val="15"/>
                <w:color w:val="auto"/>
              </w:rPr>
              <w:t>Total accumulated other comprehensive loss</w:t>
            </w:r>
          </w:p>
        </w:tc>
        <w:tc>
          <w:tcPr>
            <w:tcW w:w="160" w:type="dxa"/>
            <w:vAlign w:val="bottom"/>
            <w:shd w:val="clear" w:color="auto" w:fill="CCEC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40" w:type="dxa"/>
            <w:vAlign w:val="bottom"/>
            <w:vMerge w:val="continue"/>
            <w:shd w:val="clear" w:color="auto" w:fill="CCEE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960" w:type="dxa"/>
            <w:vAlign w:val="bottom"/>
            <w:shd w:val="clear" w:color="auto" w:fill="CCECFF"/>
          </w:tcPr>
          <w:p>
            <w:pPr>
              <w:jc w:val="right"/>
              <w:ind w:right="81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CFF"/>
          </w:tcPr>
          <w:p>
            <w:pPr>
              <w:jc w:val="right"/>
              <w:ind w:right="23"/>
              <w:spacing w:after="0"/>
              <w:rPr>
                <w:sz w:val="20"/>
                <w:szCs w:val="20"/>
                <w:color w:val="auto"/>
              </w:rPr>
            </w:pPr>
            <w:r>
              <w:rPr>
                <w:rFonts w:ascii="Arial" w:cs="Arial" w:eastAsia="Arial" w:hAnsi="Arial"/>
                <w:sz w:val="15"/>
                <w:szCs w:val="15"/>
                <w:color w:val="auto"/>
              </w:rPr>
              <w:t>(654)</w:t>
            </w:r>
          </w:p>
        </w:tc>
        <w:tc>
          <w:tcPr>
            <w:tcW w:w="280" w:type="dxa"/>
            <w:vAlign w:val="bottom"/>
            <w:gridSpan w:val="2"/>
            <w:shd w:val="clear" w:color="auto" w:fill="CCECFF"/>
          </w:tcPr>
          <w:p>
            <w:pPr>
              <w:jc w:val="right"/>
              <w:ind w:righ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(5,680)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8" w:hanging="528"/>
        <w:spacing w:after="0"/>
        <w:tabs>
          <w:tab w:leader="none" w:pos="528"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Gain from Sale of Priority Review Vouchers</w:t>
      </w:r>
    </w:p>
    <w:p>
      <w:pPr>
        <w:spacing w:after="0" w:line="85" w:lineRule="exact"/>
        <w:rPr>
          <w:sz w:val="20"/>
          <w:szCs w:val="20"/>
          <w:color w:val="auto"/>
        </w:rPr>
      </w:pPr>
    </w:p>
    <w:p>
      <w:pPr>
        <w:jc w:val="both"/>
        <w:ind w:left="8" w:firstLine="520"/>
        <w:spacing w:after="0" w:line="292" w:lineRule="auto"/>
        <w:rPr>
          <w:sz w:val="20"/>
          <w:szCs w:val="20"/>
          <w:color w:val="auto"/>
        </w:rPr>
      </w:pPr>
      <w:r>
        <w:rPr>
          <w:rFonts w:ascii="Arial" w:cs="Arial" w:eastAsia="Arial" w:hAnsi="Arial"/>
          <w:sz w:val="14"/>
          <w:szCs w:val="14"/>
          <w:color w:val="auto"/>
        </w:rPr>
        <w:t>In January 2018, the Company completed the sale of a Rare Pediatric Disease Priority Review Voucher (PRV) it received in connection with the approval of Mepsevii for $130.0 million. In June 2018, the Company also completed the sale of the PRV it received in connection with the approval of Crysvita for $80.6 million, net, which was shared equally with KHK. As the PRVs did not have a carrying value, the gain recognized was equal to the net proceeds received. The Company recorded its portion of the net proceeds in other income of $40.3 million and $170.3 million for the three and six months ended June 30, 2018, respectively, as a gain from the sale of the priority review vouchers.</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631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8"/>
          </w:cols>
          <w:pgMar w:left="232" w:top="125"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b w:val="1"/>
          <w:bCs w:val="1"/>
          <w:i w:val="1"/>
          <w:iCs w:val="1"/>
          <w:color w:val="auto"/>
        </w:rPr>
        <w:t>Management’s Discussion and Analysis of Financial Condition and Results of Operations</w:t>
      </w:r>
    </w:p>
    <w:p>
      <w:pPr>
        <w:spacing w:after="0" w:line="74" w:lineRule="exact"/>
        <w:rPr>
          <w:sz w:val="20"/>
          <w:szCs w:val="20"/>
          <w:color w:val="auto"/>
        </w:rPr>
      </w:pPr>
    </w:p>
    <w:p>
      <w:pPr>
        <w:ind w:firstLine="520"/>
        <w:spacing w:after="0" w:line="272"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the accompanying unaudited consolidated financial statements and related notes in Item 1 and with the audited consolidated financial statements and the related notes included in our Annual Report on Form 10-K for the year ended December 31, 2017 (the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74" w:lineRule="exact"/>
        <w:rPr>
          <w:sz w:val="20"/>
          <w:szCs w:val="20"/>
          <w:color w:val="auto"/>
        </w:rPr>
      </w:pPr>
    </w:p>
    <w:p>
      <w:pPr>
        <w:ind w:firstLine="520"/>
        <w:spacing w:after="0" w:line="320" w:lineRule="auto"/>
        <w:rPr>
          <w:sz w:val="20"/>
          <w:szCs w:val="20"/>
          <w:color w:val="auto"/>
        </w:rPr>
      </w:pPr>
      <w:r>
        <w:rPr>
          <w:rFonts w:ascii="Arial" w:cs="Arial" w:eastAsia="Arial" w:hAnsi="Arial"/>
          <w:sz w:val="13"/>
          <w:szCs w:val="13"/>
          <w:color w:val="auto"/>
        </w:rPr>
        <w:t>We are a biopharmaceutical company focused on the identification, acquisition, development, and commercialization of novel products for the treatment of serious rare and ultra-rare diseases, with a focus on serious, debilitating genetic diseases. We target diseases for which the unmet medical need is high, the biology for treatment is clear, and for which there are no currently approved therapies. Since our inception in 2010, we have in-licensed potential treatments for multiple rare genetic disorders. Our strategy, which is predicated upon time- and cost-efficient drug development, allows us to pursue multiple programs in parallel with the goal of delivering safe and effective therapies to patients with the utmost urgency.</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Approved Therapies and Clinical Product Candidates</w:t>
      </w:r>
    </w:p>
    <w:p>
      <w:pPr>
        <w:spacing w:after="0" w:line="85" w:lineRule="exact"/>
        <w:rPr>
          <w:sz w:val="20"/>
          <w:szCs w:val="20"/>
          <w:color w:val="auto"/>
        </w:rPr>
      </w:pPr>
    </w:p>
    <w:p>
      <w:pPr>
        <w:ind w:firstLine="520"/>
        <w:spacing w:after="0" w:line="263" w:lineRule="auto"/>
        <w:rPr>
          <w:sz w:val="20"/>
          <w:szCs w:val="20"/>
          <w:color w:val="auto"/>
        </w:rPr>
      </w:pPr>
      <w:r>
        <w:rPr>
          <w:rFonts w:ascii="Arial" w:cs="Arial" w:eastAsia="Arial" w:hAnsi="Arial"/>
          <w:sz w:val="15"/>
          <w:szCs w:val="15"/>
          <w:color w:val="auto"/>
        </w:rPr>
        <w:t>Our current approved therapies and clinical-stage pipeline consist of three product categories: biologics, small-molecule substrate replacement therapies, and gene therapy product candidates.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 Gene therapy is a therapeutic approach in which an isolated gene sequence or segment of DNA is administered to a patient, most commonly for the purpose of treating a genetic disease that is caused by mutations. Gene therapy aims to address the disease-causing effects of absent or dysfunctional genes by delivering functional copies of the gene to the patient’s cells, offering the potential for durable therapeutic benefit.</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Our biologic products include approved therapies Crysvita® (burosumab) and Mepsevii™ (vestronidase alfa):</w:t>
      </w:r>
    </w:p>
    <w:p>
      <w:pPr>
        <w:spacing w:after="0" w:line="70" w:lineRule="exact"/>
        <w:rPr>
          <w:sz w:val="20"/>
          <w:szCs w:val="20"/>
          <w:color w:val="auto"/>
        </w:rPr>
      </w:pPr>
    </w:p>
    <w:p>
      <w:pPr>
        <w:ind w:left="760" w:hanging="387"/>
        <w:spacing w:after="0" w:line="262"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Crysvita is an antibody targeting fibroblast growth factor 23, or FGF23, that is approved for the treatment of X-linked hypophosphatemia, or XLH, a rare, hereditary, progressive and lifelong musculoskeletal disorder characterized by renal phosphate wasting caused by excess FGF23 production. The U.S. Food and Drug Administration, or FDA, approved Crysvita on April 17, 2018 for the treatment of XLH in adult and pediatric patients one year of age and older. In Europe, Crysvita received European conditional marketing authorization on February 23, 2018 for the treatment of XLH with radiographic evidence of bone disease in children one year of age and older and adolescents with growing skeletons. A filing to expand the label to include adults with XLH is also planned in Europe. In May 2018, we announced that the Phase 3 study in pediatric patients with XLH met its primary endpoint demonstrating that Crysvita was superior to oral phosphate and active vitamin D (conventional therapy) in improving rickets in children with XLH after 40 weeks of treatment.</w:t>
      </w:r>
    </w:p>
    <w:p>
      <w:pPr>
        <w:spacing w:after="0" w:line="100" w:lineRule="exact"/>
        <w:rPr>
          <w:rFonts w:ascii="Arial" w:cs="Arial" w:eastAsia="Arial" w:hAnsi="Arial"/>
          <w:sz w:val="15"/>
          <w:szCs w:val="15"/>
          <w:color w:val="auto"/>
        </w:rPr>
      </w:pPr>
    </w:p>
    <w:p>
      <w:pPr>
        <w:jc w:val="both"/>
        <w:ind w:left="760" w:right="180"/>
        <w:spacing w:after="0" w:line="272" w:lineRule="auto"/>
        <w:rPr>
          <w:rFonts w:ascii="Arial" w:cs="Arial" w:eastAsia="Arial" w:hAnsi="Arial"/>
          <w:sz w:val="15"/>
          <w:szCs w:val="15"/>
          <w:color w:val="auto"/>
        </w:rPr>
      </w:pPr>
      <w:r>
        <w:rPr>
          <w:rFonts w:ascii="Arial" w:cs="Arial" w:eastAsia="Arial" w:hAnsi="Arial"/>
          <w:sz w:val="15"/>
          <w:szCs w:val="15"/>
          <w:color w:val="auto"/>
        </w:rPr>
        <w:t>Crysvita is also being developed for the treatment of tumor-induced osteomalacia, or TIO. TIO results from typically benign tumors that produce excess levels of FGF23, which can lead to severe hypophosphatemia, osteomalacia, fractures, fatigue, bone and muscle pain, and muscle weakness. We expect 48-week data from our Phase 2 TIO study in the second half of 2018.</w:t>
      </w:r>
    </w:p>
    <w:p>
      <w:pPr>
        <w:spacing w:after="0" w:line="36" w:lineRule="exact"/>
        <w:rPr>
          <w:rFonts w:ascii="Arial" w:cs="Arial" w:eastAsia="Arial" w:hAnsi="Arial"/>
          <w:sz w:val="15"/>
          <w:szCs w:val="15"/>
          <w:color w:val="auto"/>
        </w:rPr>
      </w:pPr>
    </w:p>
    <w:p>
      <w:pPr>
        <w:ind w:left="760" w:right="360"/>
        <w:spacing w:after="0" w:line="288" w:lineRule="auto"/>
        <w:rPr>
          <w:rFonts w:ascii="Arial" w:cs="Arial" w:eastAsia="Arial" w:hAnsi="Arial"/>
          <w:sz w:val="15"/>
          <w:szCs w:val="15"/>
          <w:color w:val="auto"/>
        </w:rPr>
      </w:pPr>
      <w:r>
        <w:rPr>
          <w:rFonts w:ascii="Arial" w:cs="Arial" w:eastAsia="Arial" w:hAnsi="Arial"/>
          <w:sz w:val="15"/>
          <w:szCs w:val="15"/>
          <w:color w:val="auto"/>
        </w:rPr>
        <w:t>We are collaborating with Kyowa Hakko Kirin, or KHK, and Kyowa Kirin International, or Kyowa Kirin, a wholly owned subsidiary of KHK, on the development and commercialization of Crysvita globally.</w:t>
      </w:r>
    </w:p>
    <w:p>
      <w:pPr>
        <w:spacing w:after="0" w:line="12" w:lineRule="exact"/>
        <w:rPr>
          <w:rFonts w:ascii="Arial" w:cs="Arial" w:eastAsia="Arial" w:hAnsi="Arial"/>
          <w:sz w:val="15"/>
          <w:szCs w:val="15"/>
          <w:color w:val="auto"/>
        </w:rPr>
      </w:pPr>
    </w:p>
    <w:p>
      <w:pPr>
        <w:ind w:left="760" w:hanging="387"/>
        <w:spacing w:after="0" w:line="264"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Mepsevii is approved by the FDA for the treatment of children and adults with Mucopolysaccharidosis VII, also known as MPS VII or Sly syndrome. Mepsevii is an intravenous, or IV, enzyme replacement therapy for the treatment of MPS VII, a rare lysosomal storage disease that often leads to multi-organ dysfunction, pervasive skeletal disease, and death. In Europe, the Committee for Medicinal Products for Human Use, or CHMP in June 2018, adopted a positive opinion recommending the marketing authorization under exceptional circumstances of Mepsevii for the treatment of non-neurological manifestations of MPS VII. A decision from the European Commission, which has the authority to approve medicines for the European Union, is expected in the third quarter of 2018.</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Our substrate replacement therapy pipeline includes UX007 which is in clinical development for the treatment of two diseases:</w:t>
      </w:r>
    </w:p>
    <w:p>
      <w:pPr>
        <w:spacing w:after="0" w:line="22" w:lineRule="exact"/>
        <w:rPr>
          <w:sz w:val="20"/>
          <w:szCs w:val="20"/>
          <w:color w:val="auto"/>
        </w:rPr>
      </w:pPr>
    </w:p>
    <w:p>
      <w:pPr>
        <w:ind w:left="760" w:right="140" w:hanging="387"/>
        <w:spacing w:after="0" w:line="274"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4"/>
          <w:szCs w:val="14"/>
          <w:color w:val="auto"/>
        </w:rPr>
        <w:t>UX007 is a synthetic triglyceride with a specifically designed chemical composition being studied for the treatment of long-chain fatty acid oxidation disorders, or LC-FAOD. LC-FAOD is a set of rare metabolic diseases that prevents the conversion of fat into energy and can cause low blood sugar, muscle rupture, and heart and liver disease. We previously reported positive 78-week data from the Phase 2 study in LC-FAOD patients, and discussions are ongoing with FDA and EMA to determine the acceptability of filing based on the totality of currently available data. The data from the Phase 2 study show a significant reduction in major clinical events; however, the FDA continues to believe that the data are confounded by the changes in dietary care of patients during the study, and are not sufficient to support a New Drug Application (NDA). We continue to pursue potential filings with FDA and EMA based on the current data and expect to conclude discussions in the second half of 2018. These discussions also should provide further clarity regarding whether an additional study would be required for approval.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left="387" w:right="60" w:hanging="387"/>
        <w:spacing w:after="0" w:line="267" w:lineRule="auto"/>
        <w:tabs>
          <w:tab w:leader="none" w:pos="387" w:val="left"/>
        </w:tabs>
        <w:numPr>
          <w:ilvl w:val="0"/>
          <w:numId w:val="16"/>
        </w:numPr>
        <w:rPr>
          <w:rFonts w:ascii="Arial" w:cs="Arial" w:eastAsia="Arial" w:hAnsi="Arial"/>
          <w:sz w:val="15"/>
          <w:szCs w:val="15"/>
          <w:color w:val="auto"/>
        </w:rPr>
      </w:pPr>
      <w:r>
        <w:rPr>
          <w:rFonts w:ascii="Arial" w:cs="Arial" w:eastAsia="Arial" w:hAnsi="Arial"/>
          <w:sz w:val="15"/>
          <w:szCs w:val="15"/>
          <w:color w:val="auto"/>
        </w:rPr>
        <w:t>UX007 is also being studied for the treatment of glucose transporter type-1 deficiency syndrome, or Glut1 DS, a rare metabolic disease of brain energy deficiency that is characterized by seizures, developmental delay, and movement disorder. We have completed enrollment of, and randomized, 43 patients in the Phase 3 study in movement disorders, and expect to announce data from this study in the second half of 2018. If positive, the movement disorder study could serve as the basis for regulatory submissions.</w:t>
      </w:r>
    </w:p>
    <w:p>
      <w:pPr>
        <w:spacing w:after="0" w:line="28" w:lineRule="exact"/>
        <w:rPr>
          <w:sz w:val="20"/>
          <w:szCs w:val="20"/>
          <w:color w:val="auto"/>
        </w:rPr>
      </w:pPr>
    </w:p>
    <w:p>
      <w:pPr>
        <w:ind w:left="147"/>
        <w:spacing w:after="0"/>
        <w:rPr>
          <w:sz w:val="20"/>
          <w:szCs w:val="20"/>
          <w:color w:val="auto"/>
        </w:rPr>
      </w:pPr>
      <w:r>
        <w:rPr>
          <w:rFonts w:ascii="Arial" w:cs="Arial" w:eastAsia="Arial" w:hAnsi="Arial"/>
          <w:sz w:val="15"/>
          <w:szCs w:val="15"/>
          <w:color w:val="auto"/>
        </w:rPr>
        <w:t>Our gene therapy pipeline includes DTX301, DTX401 and DTX201 in clinical development for the treatment of three diseases:</w:t>
      </w:r>
    </w:p>
    <w:p>
      <w:pPr>
        <w:spacing w:after="0" w:line="81" w:lineRule="exact"/>
        <w:rPr>
          <w:sz w:val="20"/>
          <w:szCs w:val="20"/>
          <w:color w:val="auto"/>
        </w:rPr>
      </w:pPr>
    </w:p>
    <w:p>
      <w:pPr>
        <w:ind w:left="387" w:hanging="387"/>
        <w:spacing w:after="0" w:line="264" w:lineRule="auto"/>
        <w:tabs>
          <w:tab w:leader="none" w:pos="387" w:val="left"/>
        </w:tabs>
        <w:numPr>
          <w:ilvl w:val="0"/>
          <w:numId w:val="17"/>
        </w:numPr>
        <w:rPr>
          <w:rFonts w:ascii="Arial" w:cs="Arial" w:eastAsia="Arial" w:hAnsi="Arial"/>
          <w:sz w:val="15"/>
          <w:szCs w:val="15"/>
          <w:color w:val="auto"/>
        </w:rPr>
      </w:pPr>
      <w:r>
        <w:rPr>
          <w:rFonts w:ascii="Arial" w:cs="Arial" w:eastAsia="Arial" w:hAnsi="Arial"/>
          <w:sz w:val="15"/>
          <w:szCs w:val="15"/>
          <w:color w:val="auto"/>
        </w:rPr>
        <w:t>DTX301 is an adeno-associated virus 8, or AAV8, gene therapy product candidate designed for the treatment of patients with ornithine transcarbamylase, or OTC, deficiency. OTC is part of the urea cycle, an enzymatic pathway in the liver that converts excess nitrogen, in the form of ammonia, to urea for excretion. OTC deficiency is the most common urea cycle disorder and leads to increased levels of ammonia. Patients with OTC deficiency suffer from acute hyperammonemic episodes that can lead to hospitalization, adverse cognitive and neurological effects, and death. The second dose cohort of the Phase1/2 open-label clinical trial of DTX301 is fully enrolled and we expect data in the second half of 2018.</w:t>
      </w:r>
    </w:p>
    <w:p>
      <w:pPr>
        <w:spacing w:after="0" w:line="31" w:lineRule="exact"/>
        <w:rPr>
          <w:rFonts w:ascii="Arial" w:cs="Arial" w:eastAsia="Arial" w:hAnsi="Arial"/>
          <w:sz w:val="15"/>
          <w:szCs w:val="15"/>
          <w:color w:val="auto"/>
        </w:rPr>
      </w:pPr>
    </w:p>
    <w:p>
      <w:pPr>
        <w:jc w:val="both"/>
        <w:ind w:left="387" w:right="260" w:hanging="387"/>
        <w:spacing w:after="0" w:line="272" w:lineRule="auto"/>
        <w:tabs>
          <w:tab w:leader="none" w:pos="387" w:val="left"/>
        </w:tabs>
        <w:numPr>
          <w:ilvl w:val="0"/>
          <w:numId w:val="17"/>
        </w:numPr>
        <w:rPr>
          <w:rFonts w:ascii="Arial" w:cs="Arial" w:eastAsia="Arial" w:hAnsi="Arial"/>
          <w:sz w:val="15"/>
          <w:szCs w:val="15"/>
          <w:color w:val="auto"/>
        </w:rPr>
      </w:pPr>
      <w:r>
        <w:rPr>
          <w:rFonts w:ascii="Arial" w:cs="Arial" w:eastAsia="Arial" w:hAnsi="Arial"/>
          <w:sz w:val="15"/>
          <w:szCs w:val="15"/>
          <w:color w:val="auto"/>
        </w:rPr>
        <w:t>DTX401 is an AAV8 gene therapy clinical candidate for the treatment of patients with glycogen storage disease type Ia, or GSDIa, a disease that arises from a defect in G6Pase, an essential enzyme in glycogen and glucose metabolism. GSDIa is the most common glycogen storage disease. The first patient in the first dose cohort of the Phase 1/2 study has been dosed and we expect data from this cohort in the second half of 2018.</w:t>
      </w:r>
    </w:p>
    <w:p>
      <w:pPr>
        <w:spacing w:after="0" w:line="24" w:lineRule="exact"/>
        <w:rPr>
          <w:rFonts w:ascii="Arial" w:cs="Arial" w:eastAsia="Arial" w:hAnsi="Arial"/>
          <w:sz w:val="15"/>
          <w:szCs w:val="15"/>
          <w:color w:val="auto"/>
        </w:rPr>
      </w:pPr>
    </w:p>
    <w:p>
      <w:pPr>
        <w:ind w:left="387" w:right="140" w:hanging="387"/>
        <w:spacing w:after="0"/>
        <w:tabs>
          <w:tab w:leader="none" w:pos="387" w:val="left"/>
        </w:tabs>
        <w:numPr>
          <w:ilvl w:val="0"/>
          <w:numId w:val="17"/>
        </w:numPr>
        <w:rPr>
          <w:rFonts w:ascii="Arial" w:cs="Arial" w:eastAsia="Arial" w:hAnsi="Arial"/>
          <w:sz w:val="18"/>
          <w:szCs w:val="18"/>
          <w:color w:val="auto"/>
        </w:rPr>
      </w:pPr>
      <w:r>
        <w:rPr>
          <w:rFonts w:ascii="Arial" w:cs="Arial" w:eastAsia="Arial" w:hAnsi="Arial"/>
          <w:sz w:val="15"/>
          <w:szCs w:val="15"/>
          <w:color w:val="auto"/>
        </w:rPr>
        <w:t>DTX201 is an FVIII gene therapy clinical candidate for the treatment of hemophilia A that we are developing in collaboration with Bayer Healthcare LLC, or Bayer. The IND was accepted by the FDA and made active in the second quarter of 2018.</w:t>
      </w:r>
    </w:p>
    <w:p>
      <w:pPr>
        <w:spacing w:after="0" w:line="47" w:lineRule="exact"/>
        <w:rPr>
          <w:sz w:val="20"/>
          <w:szCs w:val="20"/>
          <w:color w:val="auto"/>
        </w:rPr>
      </w:pPr>
    </w:p>
    <w:p>
      <w:pPr>
        <w:ind w:left="187"/>
        <w:spacing w:after="0"/>
        <w:rPr>
          <w:sz w:val="20"/>
          <w:szCs w:val="20"/>
          <w:color w:val="auto"/>
        </w:rPr>
      </w:pPr>
      <w:r>
        <w:rPr>
          <w:rFonts w:ascii="Arial" w:cs="Arial" w:eastAsia="Arial" w:hAnsi="Arial"/>
          <w:sz w:val="15"/>
          <w:szCs w:val="15"/>
          <w:color w:val="auto"/>
        </w:rPr>
        <w:t>The following table summarizes our approved products and advanced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139065</wp:posOffset>
            </wp:positionV>
            <wp:extent cx="5266690" cy="3633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66690" cy="363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53"/>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60325</wp:posOffset>
            </wp:positionV>
            <wp:extent cx="730631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0947"/>
          </w:cols>
          <w:pgMar w:left="613" w:top="129" w:right="3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Recent program updates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CRYSVITA for the treatment of XLH</w:t>
      </w:r>
    </w:p>
    <w:p>
      <w:pPr>
        <w:spacing w:after="0" w:line="70" w:lineRule="exact"/>
        <w:rPr>
          <w:sz w:val="20"/>
          <w:szCs w:val="20"/>
          <w:color w:val="auto"/>
        </w:rPr>
      </w:pPr>
    </w:p>
    <w:p>
      <w:pPr>
        <w:ind w:right="20" w:firstLine="477"/>
        <w:spacing w:after="0" w:line="267" w:lineRule="auto"/>
        <w:rPr>
          <w:sz w:val="20"/>
          <w:szCs w:val="20"/>
          <w:color w:val="auto"/>
        </w:rPr>
      </w:pPr>
      <w:r>
        <w:rPr>
          <w:rFonts w:ascii="Arial" w:cs="Arial" w:eastAsia="Arial" w:hAnsi="Arial"/>
          <w:sz w:val="15"/>
          <w:szCs w:val="15"/>
          <w:color w:val="auto"/>
        </w:rPr>
        <w:t>In April 2018, we and Kyowa Kirin announced the FDA approval and commercial launch of Crysvita for the treatment of XLH in adult and pediatric patients one year of age and older. With the approval of Crysvita, the FDA issued a Rare Pediatric Disease Priority Review Voucher, or PRV, which confers priority review to a subsequent drug application that would not otherwise qualify for priority review. We completed the sale of the PRV in June 2018 for $80.6 million. We shared the net proceeds from the sale of the PRV equally with KHK.</w:t>
      </w:r>
    </w:p>
    <w:p>
      <w:pPr>
        <w:spacing w:after="0" w:line="28" w:lineRule="exact"/>
        <w:rPr>
          <w:sz w:val="20"/>
          <w:szCs w:val="20"/>
          <w:color w:val="auto"/>
        </w:rPr>
      </w:pPr>
    </w:p>
    <w:p>
      <w:pPr>
        <w:ind w:right="20" w:firstLine="477"/>
        <w:spacing w:after="0" w:line="267" w:lineRule="auto"/>
        <w:rPr>
          <w:sz w:val="20"/>
          <w:szCs w:val="20"/>
          <w:color w:val="auto"/>
        </w:rPr>
      </w:pPr>
      <w:r>
        <w:rPr>
          <w:rFonts w:ascii="Arial" w:cs="Arial" w:eastAsia="Arial" w:hAnsi="Arial"/>
          <w:sz w:val="15"/>
          <w:szCs w:val="15"/>
          <w:color w:val="auto"/>
        </w:rPr>
        <w:t>In May 2018, we reported that the Phase 3 study of Crysvita met its primary endpoint demonstrating that Crysvita was superior to oral phosphate and active vitamin D (conventional therapy) in improving rickets as assessed by the RGI-C global score in children with XLH after 40 weeks of treatment (LS Mean treatment difference of +1.14, p&lt;0.0001). The study also showed improvement in important metabolic and functional measures with Crysvita treatment, and a safety profile similar to that observed in other Crysvita pediatric XLH studies.</w:t>
      </w:r>
    </w:p>
    <w:p>
      <w:pPr>
        <w:spacing w:after="0" w:line="40" w:lineRule="exact"/>
        <w:rPr>
          <w:sz w:val="20"/>
          <w:szCs w:val="20"/>
          <w:color w:val="auto"/>
        </w:rPr>
      </w:pPr>
    </w:p>
    <w:p>
      <w:pPr>
        <w:jc w:val="both"/>
        <w:ind w:right="440" w:firstLine="477"/>
        <w:spacing w:after="0" w:line="300" w:lineRule="auto"/>
        <w:rPr>
          <w:sz w:val="20"/>
          <w:szCs w:val="20"/>
          <w:color w:val="auto"/>
        </w:rPr>
      </w:pPr>
      <w:r>
        <w:rPr>
          <w:rFonts w:ascii="Arial" w:cs="Arial" w:eastAsia="Arial" w:hAnsi="Arial"/>
          <w:sz w:val="14"/>
          <w:szCs w:val="14"/>
          <w:color w:val="auto"/>
        </w:rPr>
        <w:t>We previously announced 48-week data from the Phase 3 study of Crysvita in adults with XLH. Crysvita treatment was associated with significant improvements in serum phosphorus, pain, stiffness, and physical functioning, and healing of fractures and pseudofractures; however, upon further analysis, there was no meaningful difference in patient-reported pain medication use, which was not a pre-specified endpoint in the study. The safety profile was consistent with what had been previously reported in the study.</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Mepsevii for the treatment of MPS VII</w:t>
      </w:r>
    </w:p>
    <w:p>
      <w:pPr>
        <w:spacing w:after="0" w:line="70" w:lineRule="exact"/>
        <w:rPr>
          <w:sz w:val="20"/>
          <w:szCs w:val="20"/>
          <w:color w:val="auto"/>
        </w:rPr>
      </w:pPr>
    </w:p>
    <w:p>
      <w:pPr>
        <w:ind w:right="600" w:firstLine="477"/>
        <w:spacing w:after="0" w:line="288" w:lineRule="auto"/>
        <w:rPr>
          <w:sz w:val="20"/>
          <w:szCs w:val="20"/>
          <w:color w:val="auto"/>
        </w:rPr>
      </w:pPr>
      <w:r>
        <w:rPr>
          <w:rFonts w:ascii="Arial" w:cs="Arial" w:eastAsia="Arial" w:hAnsi="Arial"/>
          <w:sz w:val="15"/>
          <w:szCs w:val="15"/>
          <w:color w:val="auto"/>
        </w:rPr>
        <w:t>In June 2018, we announced that the CHMP adopted a positive opinion recommending the marketing authorization under exceptional circumstances of Mepsevii for the treatment of non-neurological manifestations of MPS VII.</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UX007 for the treatment of LC-FAOD</w:t>
      </w:r>
    </w:p>
    <w:p>
      <w:pPr>
        <w:spacing w:after="0" w:line="70" w:lineRule="exact"/>
        <w:rPr>
          <w:sz w:val="20"/>
          <w:szCs w:val="20"/>
          <w:color w:val="auto"/>
        </w:rPr>
      </w:pPr>
    </w:p>
    <w:p>
      <w:pPr>
        <w:ind w:right="100" w:firstLine="477"/>
        <w:spacing w:after="0" w:line="264" w:lineRule="auto"/>
        <w:rPr>
          <w:sz w:val="20"/>
          <w:szCs w:val="20"/>
          <w:color w:val="auto"/>
        </w:rPr>
      </w:pPr>
      <w:r>
        <w:rPr>
          <w:rFonts w:ascii="Arial" w:cs="Arial" w:eastAsia="Arial" w:hAnsi="Arial"/>
          <w:sz w:val="15"/>
          <w:szCs w:val="15"/>
          <w:color w:val="auto"/>
        </w:rPr>
        <w:t>We previously reported positive 78-week data from the Phase 2 study in LC-FAOD patients, and discussions are ongoing with FDA and EMA to determine the acceptability of filing based on the totality of currently available data. The data from the Phase 2 study show a significant reduction in major clinical events; however, the FDA continues to believe that the data are confounded by the changes in dietary care of patients during the study, and are not sufficient to support a New Drug Application (NDA). We continue to pursue potential filings with FDA and EMA based on the current data and expect to conclude discussions in the second half of 2018. These discussions also should provide further clarity regarding whether an additional study would be required for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DTX401 for the treatment of GSDIa</w:t>
      </w:r>
    </w:p>
    <w:p>
      <w:pPr>
        <w:spacing w:after="0" w:line="81" w:lineRule="exact"/>
        <w:rPr>
          <w:sz w:val="20"/>
          <w:szCs w:val="20"/>
          <w:color w:val="auto"/>
        </w:rPr>
      </w:pPr>
    </w:p>
    <w:p>
      <w:pPr>
        <w:ind w:right="140" w:firstLine="477"/>
        <w:spacing w:after="0" w:line="288" w:lineRule="auto"/>
        <w:rPr>
          <w:sz w:val="20"/>
          <w:szCs w:val="20"/>
          <w:color w:val="auto"/>
        </w:rPr>
      </w:pPr>
      <w:r>
        <w:rPr>
          <w:rFonts w:ascii="Arial" w:cs="Arial" w:eastAsia="Arial" w:hAnsi="Arial"/>
          <w:sz w:val="15"/>
          <w:szCs w:val="15"/>
          <w:color w:val="auto"/>
        </w:rPr>
        <w:t>In July 2018 we announced that the first patient has been enrolled in the first dose cohort of the Phase 1/2 study of DTX401for the treatment of patients with GSDIa. We expect data from the first cohort of the study in the second half of 2018.</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DTX201 for the treatment of Hemophilia A</w:t>
      </w:r>
    </w:p>
    <w:p>
      <w:pPr>
        <w:spacing w:after="0" w:line="70" w:lineRule="exact"/>
        <w:rPr>
          <w:sz w:val="20"/>
          <w:szCs w:val="20"/>
          <w:color w:val="auto"/>
        </w:rPr>
      </w:pPr>
    </w:p>
    <w:p>
      <w:pPr>
        <w:ind w:firstLine="477"/>
        <w:spacing w:after="0" w:line="288" w:lineRule="auto"/>
        <w:rPr>
          <w:sz w:val="20"/>
          <w:szCs w:val="20"/>
          <w:color w:val="auto"/>
        </w:rPr>
      </w:pPr>
      <w:r>
        <w:rPr>
          <w:rFonts w:ascii="Arial" w:cs="Arial" w:eastAsia="Arial" w:hAnsi="Arial"/>
          <w:sz w:val="15"/>
          <w:szCs w:val="15"/>
          <w:color w:val="auto"/>
        </w:rPr>
        <w:t>DTX201 is our FVIII gene therapy clinical candidate for the treatment of hemophilia A that we are developing with Bayer. The IND was accepted by the FDA and made active in the second quarter of 2018.</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rhPPCA (UX004) for the treatment of galactosialidosis</w:t>
      </w:r>
    </w:p>
    <w:p>
      <w:pPr>
        <w:spacing w:after="0" w:line="70" w:lineRule="exact"/>
        <w:rPr>
          <w:sz w:val="20"/>
          <w:szCs w:val="20"/>
          <w:color w:val="auto"/>
        </w:rPr>
      </w:pPr>
    </w:p>
    <w:p>
      <w:pPr>
        <w:ind w:right="60" w:firstLine="477"/>
        <w:spacing w:after="0" w:line="288" w:lineRule="auto"/>
        <w:rPr>
          <w:sz w:val="20"/>
          <w:szCs w:val="20"/>
          <w:color w:val="auto"/>
        </w:rPr>
      </w:pPr>
      <w:r>
        <w:rPr>
          <w:rFonts w:ascii="Arial" w:cs="Arial" w:eastAsia="Arial" w:hAnsi="Arial"/>
          <w:sz w:val="15"/>
          <w:szCs w:val="15"/>
          <w:color w:val="auto"/>
        </w:rPr>
        <w:t>We have decided not to pursue further preclinical development of recombinant human protective protein cathepsin-A, or rhPPCA, which we in-licensed from St. Jude Children’s Research Hospital, or St. Jude, in September 2012, as an enzyme replacement therapy for galactosialidosis, a rare lysosomal storage disease.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Operations Overview</w:t>
      </w:r>
    </w:p>
    <w:p>
      <w:pPr>
        <w:spacing w:after="0" w:line="85" w:lineRule="exact"/>
        <w:rPr>
          <w:sz w:val="20"/>
          <w:szCs w:val="20"/>
          <w:color w:val="auto"/>
        </w:rPr>
      </w:pPr>
    </w:p>
    <w:p>
      <w:pPr>
        <w:ind w:right="120" w:firstLine="477"/>
        <w:spacing w:after="0" w:line="272" w:lineRule="auto"/>
        <w:rPr>
          <w:sz w:val="20"/>
          <w:szCs w:val="20"/>
          <w:color w:val="auto"/>
        </w:rPr>
      </w:pPr>
      <w:r>
        <w:rPr>
          <w:rFonts w:ascii="Arial" w:cs="Arial" w:eastAsia="Arial" w:hAnsi="Arial"/>
          <w:sz w:val="15"/>
          <w:szCs w:val="15"/>
          <w:color w:val="auto"/>
        </w:rPr>
        <w:t>We are a biopharmaceutical company with a limited operating history. To date, we have invested substantially all of our efforts and financial resources in identifying, acquiring, and developing our products and product candidates, including conducting clinical studies and providing selling, general and administrative support for these operations. To date, we have funded our operations primarily from the sale of equity securities.</w:t>
      </w:r>
    </w:p>
    <w:p>
      <w:pPr>
        <w:spacing w:after="0" w:line="25" w:lineRule="exact"/>
        <w:rPr>
          <w:sz w:val="20"/>
          <w:szCs w:val="20"/>
          <w:color w:val="auto"/>
        </w:rPr>
      </w:pPr>
    </w:p>
    <w:p>
      <w:pPr>
        <w:jc w:val="both"/>
        <w:ind w:right="100" w:firstLine="477"/>
        <w:spacing w:after="0" w:line="272" w:lineRule="auto"/>
        <w:rPr>
          <w:sz w:val="20"/>
          <w:szCs w:val="20"/>
          <w:color w:val="auto"/>
        </w:rPr>
      </w:pPr>
      <w:r>
        <w:rPr>
          <w:rFonts w:ascii="Arial" w:cs="Arial" w:eastAsia="Arial" w:hAnsi="Arial"/>
          <w:sz w:val="15"/>
          <w:szCs w:val="15"/>
          <w:color w:val="auto"/>
        </w:rPr>
        <w:t>We have incurred net losses in each year since inception. Our net loss was $52.7 million and $72.9 million for the three months ended June 30, 2018 and 2017, respectively, and $22.5 million and $141.2 million for the six months ended June 30, 2018 and 2017, respectively. Substantially all of our net losses have resulted from costs incurred in connection with our research and development programs and from selling, general and administrative costs associated with our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Significant Judgments and Estimates</w:t>
      </w:r>
    </w:p>
    <w:p>
      <w:pPr>
        <w:spacing w:after="0" w:line="85" w:lineRule="exact"/>
        <w:rPr>
          <w:sz w:val="20"/>
          <w:szCs w:val="20"/>
          <w:color w:val="auto"/>
        </w:rPr>
      </w:pPr>
    </w:p>
    <w:p>
      <w:pPr>
        <w:ind w:right="220" w:firstLine="520"/>
        <w:spacing w:after="0" w:line="288"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consolidated financial statements, which have been prepared in accordance with GAAP. The preparation of these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 w:name="page19"/>
    <w:bookmarkEnd w:id="18"/>
    <w:p>
      <w:pPr>
        <w:ind w:right="40"/>
        <w:spacing w:after="0" w:line="310" w:lineRule="auto"/>
        <w:rPr>
          <w:sz w:val="20"/>
          <w:szCs w:val="20"/>
          <w:color w:val="auto"/>
        </w:rPr>
      </w:pPr>
      <w:r>
        <w:rPr>
          <w:rFonts w:ascii="Arial" w:cs="Arial" w:eastAsia="Arial" w:hAnsi="Arial"/>
          <w:sz w:val="13"/>
          <w:szCs w:val="13"/>
          <w:color w:val="auto"/>
        </w:rPr>
        <w:t>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There have been no significant and material changes in our critical accounting policies during the six months ended June 30, 2018, as compared to those disclosed in “Management’s Discussion and Analysis of Financial Condition and Results of Operations — Critical Accounting Policies and Significant Judgments and Estimates” in our Annual Report other than those disclosed in the “Summary of Significant Accounting Policies” in Item 1.</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three and six months ended June 30, 2018 to the three and six months ended June 30, 2017:</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Revenue (dollars in thousands)</w:t>
      </w: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42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2"/>
                <w:szCs w:val="12"/>
                <w:b w:val="1"/>
                <w:bCs w:val="1"/>
                <w:color w:val="auto"/>
                <w:w w:val="91"/>
              </w:rPr>
              <w:t>Three Months Ended June 30,</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ind w:right="146"/>
              <w:spacing w:after="0"/>
              <w:rPr>
                <w:sz w:val="20"/>
                <w:szCs w:val="20"/>
                <w:color w:val="auto"/>
              </w:rPr>
            </w:pPr>
            <w:r>
              <w:rPr>
                <w:rFonts w:ascii="Arial" w:cs="Arial" w:eastAsia="Arial" w:hAnsi="Arial"/>
                <w:sz w:val="12"/>
                <w:szCs w:val="12"/>
                <w:b w:val="1"/>
                <w:bCs w:val="1"/>
                <w:color w:val="auto"/>
                <w:w w:val="99"/>
              </w:rPr>
              <w:t>Dollar</w:t>
            </w:r>
          </w:p>
        </w:tc>
        <w:tc>
          <w:tcPr>
            <w:tcW w:w="1300" w:type="dxa"/>
            <w:vAlign w:val="bottom"/>
            <w:gridSpan w:val="2"/>
          </w:tcPr>
          <w:p>
            <w:pPr>
              <w:jc w:val="center"/>
              <w:ind w:left="145"/>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420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700" w:type="dxa"/>
            <w:vAlign w:val="bottom"/>
          </w:tcPr>
          <w:p>
            <w:pPr>
              <w:spacing w:after="0"/>
              <w:rPr>
                <w:sz w:val="11"/>
                <w:szCs w:val="11"/>
                <w:color w:val="auto"/>
              </w:rPr>
            </w:pPr>
          </w:p>
        </w:tc>
        <w:tc>
          <w:tcPr>
            <w:tcW w:w="1440" w:type="dxa"/>
            <w:vAlign w:val="bottom"/>
            <w:gridSpan w:val="2"/>
          </w:tcPr>
          <w:p>
            <w:pPr>
              <w:jc w:val="right"/>
              <w:ind w:right="260"/>
              <w:spacing w:after="0" w:line="130" w:lineRule="exact"/>
              <w:rPr>
                <w:sz w:val="20"/>
                <w:szCs w:val="20"/>
                <w:color w:val="auto"/>
              </w:rPr>
            </w:pPr>
            <w:r>
              <w:rPr>
                <w:rFonts w:ascii="Arial" w:cs="Arial" w:eastAsia="Arial" w:hAnsi="Arial"/>
                <w:sz w:val="12"/>
                <w:szCs w:val="12"/>
                <w:b w:val="1"/>
                <w:bCs w:val="1"/>
                <w:color w:val="auto"/>
              </w:rPr>
              <w:t>2017</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26"/>
              <w:spacing w:after="0" w:line="130" w:lineRule="exact"/>
              <w:rPr>
                <w:sz w:val="20"/>
                <w:szCs w:val="20"/>
                <w:color w:val="auto"/>
              </w:rPr>
            </w:pPr>
            <w:r>
              <w:rPr>
                <w:rFonts w:ascii="Arial" w:cs="Arial" w:eastAsia="Arial" w:hAnsi="Arial"/>
                <w:sz w:val="12"/>
                <w:szCs w:val="12"/>
                <w:b w:val="1"/>
                <w:bCs w:val="1"/>
                <w:color w:val="auto"/>
                <w:w w:val="90"/>
              </w:rPr>
              <w:t>Change</w:t>
            </w:r>
          </w:p>
        </w:tc>
        <w:tc>
          <w:tcPr>
            <w:tcW w:w="240" w:type="dxa"/>
            <w:vAlign w:val="bottom"/>
          </w:tcPr>
          <w:p>
            <w:pPr>
              <w:spacing w:after="0"/>
              <w:rPr>
                <w:sz w:val="11"/>
                <w:szCs w:val="11"/>
                <w:color w:val="auto"/>
              </w:rPr>
            </w:pPr>
          </w:p>
        </w:tc>
        <w:tc>
          <w:tcPr>
            <w:tcW w:w="10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0" w:type="dxa"/>
            <w:vAlign w:val="bottom"/>
          </w:tcPr>
          <w:p>
            <w:pPr>
              <w:spacing w:after="0"/>
              <w:rPr>
                <w:sz w:val="1"/>
                <w:szCs w:val="1"/>
                <w:color w:val="auto"/>
              </w:rPr>
            </w:pPr>
          </w:p>
        </w:tc>
      </w:tr>
      <w:tr>
        <w:trPr>
          <w:trHeight w:val="188"/>
        </w:trPr>
        <w:tc>
          <w:tcPr>
            <w:tcW w:w="42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5"/>
                <w:szCs w:val="15"/>
                <w:color w:val="auto"/>
              </w:rPr>
              <w:t>Collaboration and license revenue:</w:t>
            </w:r>
          </w:p>
        </w:tc>
        <w:tc>
          <w:tcPr>
            <w:tcW w:w="960" w:type="dxa"/>
            <w:vAlign w:val="bottom"/>
            <w:tcBorders>
              <w:top w:val="single" w:sz="8" w:color="auto"/>
            </w:tcBorders>
            <w:shd w:val="clear" w:color="auto" w:fill="CCECFF"/>
          </w:tcPr>
          <w:p>
            <w:pPr>
              <w:spacing w:after="0"/>
              <w:rPr>
                <w:sz w:val="16"/>
                <w:szCs w:val="16"/>
                <w:color w:val="auto"/>
              </w:rPr>
            </w:pPr>
          </w:p>
        </w:tc>
        <w:tc>
          <w:tcPr>
            <w:tcW w:w="700" w:type="dxa"/>
            <w:vAlign w:val="bottom"/>
            <w:tcBorders>
              <w:top w:val="single" w:sz="8" w:color="auto"/>
            </w:tcBorders>
            <w:shd w:val="clear" w:color="auto" w:fill="CCECFF"/>
          </w:tcPr>
          <w:p>
            <w:pPr>
              <w:spacing w:after="0"/>
              <w:rPr>
                <w:sz w:val="16"/>
                <w:szCs w:val="16"/>
                <w:color w:val="auto"/>
              </w:rPr>
            </w:pPr>
          </w:p>
        </w:tc>
        <w:tc>
          <w:tcPr>
            <w:tcW w:w="260" w:type="dxa"/>
            <w:vAlign w:val="bottom"/>
            <w:tcBorders>
              <w:top w:val="single" w:sz="8" w:color="CCECFF"/>
            </w:tcBorders>
            <w:shd w:val="clear" w:color="auto" w:fill="CCECFF"/>
          </w:tcPr>
          <w:p>
            <w:pPr>
              <w:spacing w:after="0"/>
              <w:rPr>
                <w:sz w:val="16"/>
                <w:szCs w:val="16"/>
                <w:color w:val="auto"/>
              </w:rPr>
            </w:pPr>
          </w:p>
        </w:tc>
        <w:tc>
          <w:tcPr>
            <w:tcW w:w="1180" w:type="dxa"/>
            <w:vAlign w:val="bottom"/>
            <w:tcBorders>
              <w:top w:val="single" w:sz="8" w:color="auto"/>
            </w:tcBorders>
            <w:shd w:val="clear" w:color="auto" w:fill="CCECFF"/>
          </w:tcPr>
          <w:p>
            <w:pPr>
              <w:spacing w:after="0"/>
              <w:rPr>
                <w:sz w:val="16"/>
                <w:szCs w:val="16"/>
                <w:color w:val="auto"/>
              </w:rPr>
            </w:pPr>
          </w:p>
        </w:tc>
        <w:tc>
          <w:tcPr>
            <w:tcW w:w="420" w:type="dxa"/>
            <w:vAlign w:val="bottom"/>
            <w:tcBorders>
              <w:top w:val="single" w:sz="8" w:color="auto"/>
            </w:tcBorders>
            <w:shd w:val="clear" w:color="auto" w:fill="CCECFF"/>
          </w:tcPr>
          <w:p>
            <w:pPr>
              <w:spacing w:after="0"/>
              <w:rPr>
                <w:sz w:val="16"/>
                <w:szCs w:val="16"/>
                <w:color w:val="auto"/>
              </w:rPr>
            </w:pPr>
          </w:p>
        </w:tc>
        <w:tc>
          <w:tcPr>
            <w:tcW w:w="24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840" w:type="dxa"/>
            <w:vAlign w:val="bottom"/>
            <w:tcBorders>
              <w:top w:val="single" w:sz="8" w:color="auto"/>
            </w:tcBorders>
            <w:shd w:val="clear" w:color="auto" w:fill="CCECFF"/>
          </w:tcPr>
          <w:p>
            <w:pPr>
              <w:spacing w:after="0"/>
              <w:rPr>
                <w:sz w:val="16"/>
                <w:szCs w:val="16"/>
                <w:color w:val="auto"/>
              </w:rPr>
            </w:pPr>
          </w:p>
        </w:tc>
        <w:tc>
          <w:tcPr>
            <w:tcW w:w="240" w:type="dxa"/>
            <w:vAlign w:val="bottom"/>
            <w:tcBorders>
              <w:top w:val="single" w:sz="8" w:color="CCECFF"/>
            </w:tcBorders>
            <w:shd w:val="clear" w:color="auto" w:fill="CCECFF"/>
          </w:tcPr>
          <w:p>
            <w:pPr>
              <w:spacing w:after="0"/>
              <w:rPr>
                <w:sz w:val="16"/>
                <w:szCs w:val="16"/>
                <w:color w:val="auto"/>
              </w:rPr>
            </w:pPr>
          </w:p>
        </w:tc>
        <w:tc>
          <w:tcPr>
            <w:tcW w:w="1060" w:type="dxa"/>
            <w:vAlign w:val="bottom"/>
            <w:tcBorders>
              <w:top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Arial" w:cs="Arial" w:eastAsia="Arial" w:hAnsi="Arial"/>
                <w:sz w:val="15"/>
                <w:szCs w:val="15"/>
                <w:color w:val="auto"/>
              </w:rPr>
              <w:t>KHK (Crysvita)</w:t>
            </w:r>
          </w:p>
        </w:tc>
        <w:tc>
          <w:tcPr>
            <w:tcW w:w="960" w:type="dxa"/>
            <w:vAlign w:val="bottom"/>
          </w:tcPr>
          <w:p>
            <w:pPr>
              <w:jc w:val="right"/>
              <w:ind w:right="80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1,577</w:t>
            </w:r>
          </w:p>
        </w:tc>
        <w:tc>
          <w:tcPr>
            <w:tcW w:w="1440" w:type="dxa"/>
            <w:vAlign w:val="bottom"/>
            <w:gridSpan w:val="2"/>
          </w:tcPr>
          <w:p>
            <w:pPr>
              <w:jc w:val="right"/>
              <w:ind w:right="1120"/>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1,577</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CECFF"/>
          </w:tcPr>
          <w:p>
            <w:pPr>
              <w:ind w:left="120"/>
              <w:spacing w:after="0"/>
              <w:rPr>
                <w:sz w:val="20"/>
                <w:szCs w:val="20"/>
                <w:color w:val="auto"/>
              </w:rPr>
            </w:pPr>
            <w:r>
              <w:rPr>
                <w:rFonts w:ascii="Arial" w:cs="Arial" w:eastAsia="Arial" w:hAnsi="Arial"/>
                <w:sz w:val="15"/>
                <w:szCs w:val="15"/>
                <w:color w:val="auto"/>
              </w:rPr>
              <w:t>Bayer</w:t>
            </w:r>
          </w:p>
        </w:tc>
        <w:tc>
          <w:tcPr>
            <w:tcW w:w="960" w:type="dxa"/>
            <w:vAlign w:val="bottom"/>
            <w:tcBorders>
              <w:bottom w:val="single" w:sz="8" w:color="auto"/>
            </w:tcBorders>
            <w:shd w:val="clear" w:color="auto" w:fill="CCECFF"/>
          </w:tcPr>
          <w:p>
            <w:pPr>
              <w:spacing w:after="0"/>
              <w:rPr>
                <w:sz w:val="17"/>
                <w:szCs w:val="17"/>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8,942</w:t>
            </w:r>
          </w:p>
        </w:tc>
        <w:tc>
          <w:tcPr>
            <w:tcW w:w="260" w:type="dxa"/>
            <w:vAlign w:val="bottom"/>
            <w:shd w:val="clear" w:color="auto" w:fill="CCECFF"/>
          </w:tcPr>
          <w:p>
            <w:pPr>
              <w:spacing w:after="0"/>
              <w:rPr>
                <w:sz w:val="17"/>
                <w:szCs w:val="17"/>
                <w:color w:val="auto"/>
              </w:rPr>
            </w:pPr>
          </w:p>
        </w:tc>
        <w:tc>
          <w:tcPr>
            <w:tcW w:w="1180" w:type="dxa"/>
            <w:vAlign w:val="bottom"/>
            <w:tcBorders>
              <w:bottom w:val="single" w:sz="8" w:color="auto"/>
            </w:tcBorders>
            <w:shd w:val="clear" w:color="auto" w:fill="CCECFF"/>
          </w:tcPr>
          <w:p>
            <w:pPr>
              <w:spacing w:after="0"/>
              <w:rPr>
                <w:sz w:val="17"/>
                <w:szCs w:val="17"/>
                <w:color w:val="auto"/>
              </w:rPr>
            </w:pPr>
          </w:p>
        </w:tc>
        <w:tc>
          <w:tcPr>
            <w:tcW w:w="420" w:type="dxa"/>
            <w:vAlign w:val="bottom"/>
            <w:tcBorders>
              <w:bottom w:val="single" w:sz="8" w:color="auto"/>
            </w:tcBorders>
            <w:shd w:val="clear" w:color="auto" w:fill="CCECFF"/>
          </w:tcPr>
          <w:p>
            <w:pPr>
              <w:ind w:left="26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8,942</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rPr>
                <w:sz w:val="20"/>
                <w:szCs w:val="20"/>
                <w:color w:val="auto"/>
              </w:rPr>
            </w:pPr>
            <w:r>
              <w:rPr>
                <w:rFonts w:ascii="Arial" w:cs="Arial" w:eastAsia="Arial" w:hAnsi="Arial"/>
                <w:sz w:val="15"/>
                <w:szCs w:val="15"/>
                <w:color w:val="auto"/>
              </w:rPr>
              <w:t>Total collaboration and license revenue</w:t>
            </w: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10,519</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10,519</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CECFF"/>
          </w:tcPr>
          <w:p>
            <w:pPr>
              <w:spacing w:after="0"/>
              <w:rPr>
                <w:sz w:val="20"/>
                <w:szCs w:val="20"/>
                <w:color w:val="auto"/>
              </w:rPr>
            </w:pPr>
            <w:r>
              <w:rPr>
                <w:rFonts w:ascii="Arial" w:cs="Arial" w:eastAsia="Arial" w:hAnsi="Arial"/>
                <w:sz w:val="15"/>
                <w:szCs w:val="15"/>
                <w:color w:val="auto"/>
              </w:rPr>
              <w:t>Product sales:</w:t>
            </w:r>
          </w:p>
        </w:tc>
        <w:tc>
          <w:tcPr>
            <w:tcW w:w="96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4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Arial" w:cs="Arial" w:eastAsia="Arial" w:hAnsi="Arial"/>
                <w:sz w:val="15"/>
                <w:szCs w:val="15"/>
                <w:color w:val="auto"/>
              </w:rPr>
              <w:t>Crysvita</w:t>
            </w: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CECFF"/>
          </w:tcPr>
          <w:p>
            <w:pPr>
              <w:ind w:left="120"/>
              <w:spacing w:after="0"/>
              <w:rPr>
                <w:sz w:val="20"/>
                <w:szCs w:val="20"/>
                <w:color w:val="auto"/>
              </w:rPr>
            </w:pPr>
            <w:r>
              <w:rPr>
                <w:rFonts w:ascii="Arial" w:cs="Arial" w:eastAsia="Arial" w:hAnsi="Arial"/>
                <w:sz w:val="15"/>
                <w:szCs w:val="15"/>
                <w:color w:val="auto"/>
              </w:rPr>
              <w:t>Mepsevii</w:t>
            </w:r>
          </w:p>
        </w:tc>
        <w:tc>
          <w:tcPr>
            <w:tcW w:w="960" w:type="dxa"/>
            <w:vAlign w:val="bottom"/>
            <w:shd w:val="clear" w:color="auto" w:fill="CCECFF"/>
          </w:tcPr>
          <w:p>
            <w:pPr>
              <w:spacing w:after="0"/>
              <w:rPr>
                <w:sz w:val="17"/>
                <w:szCs w:val="17"/>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2,007</w:t>
            </w:r>
          </w:p>
        </w:tc>
        <w:tc>
          <w:tcPr>
            <w:tcW w:w="26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660" w:type="dxa"/>
            <w:vAlign w:val="bottom"/>
            <w:gridSpan w:val="2"/>
            <w:shd w:val="clear" w:color="auto" w:fill="CCECFF"/>
          </w:tcPr>
          <w:p>
            <w:pPr>
              <w:ind w:lef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2,007</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CFF"/>
            </w:tcBorders>
          </w:tcPr>
          <w:p>
            <w:pPr>
              <w:ind w:left="120"/>
              <w:spacing w:after="0"/>
              <w:rPr>
                <w:sz w:val="20"/>
                <w:szCs w:val="20"/>
                <w:color w:val="auto"/>
              </w:rPr>
            </w:pPr>
            <w:r>
              <w:rPr>
                <w:rFonts w:ascii="Arial" w:cs="Arial" w:eastAsia="Arial" w:hAnsi="Arial"/>
                <w:sz w:val="15"/>
                <w:szCs w:val="15"/>
                <w:color w:val="auto"/>
              </w:rPr>
              <w:t>UX007</w:t>
            </w: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w:t>
            </w:r>
          </w:p>
        </w:tc>
        <w:tc>
          <w:tcPr>
            <w:tcW w:w="260" w:type="dxa"/>
            <w:vAlign w:val="bottom"/>
            <w:tcBorders>
              <w:bottom w:val="single" w:sz="8" w:color="CCEC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93"/>
              </w:rPr>
              <w:t>—</w:t>
            </w:r>
          </w:p>
        </w:tc>
        <w:tc>
          <w:tcPr>
            <w:tcW w:w="24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w:t>
            </w:r>
          </w:p>
        </w:tc>
        <w:tc>
          <w:tcPr>
            <w:tcW w:w="1300" w:type="dxa"/>
            <w:vAlign w:val="bottom"/>
            <w:tcBorders>
              <w:bottom w:val="single" w:sz="8" w:color="CCECFF"/>
            </w:tcBorders>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200" w:type="dxa"/>
            <w:vAlign w:val="bottom"/>
            <w:shd w:val="clear" w:color="auto" w:fill="CCECFF"/>
          </w:tcPr>
          <w:p>
            <w:pPr>
              <w:ind w:left="220"/>
              <w:spacing w:after="0"/>
              <w:rPr>
                <w:sz w:val="20"/>
                <w:szCs w:val="20"/>
                <w:color w:val="auto"/>
              </w:rPr>
            </w:pPr>
            <w:r>
              <w:rPr>
                <w:rFonts w:ascii="Arial" w:cs="Arial" w:eastAsia="Arial" w:hAnsi="Arial"/>
                <w:sz w:val="15"/>
                <w:szCs w:val="15"/>
                <w:color w:val="auto"/>
              </w:rPr>
              <w:t>Total product sales</w:t>
            </w:r>
          </w:p>
        </w:tc>
        <w:tc>
          <w:tcPr>
            <w:tcW w:w="960" w:type="dxa"/>
            <w:vAlign w:val="bottom"/>
            <w:tcBorders>
              <w:bottom w:val="single" w:sz="8" w:color="auto"/>
            </w:tcBorders>
            <w:shd w:val="clear" w:color="auto" w:fill="CCECFF"/>
          </w:tcPr>
          <w:p>
            <w:pPr>
              <w:spacing w:after="0"/>
              <w:rPr>
                <w:sz w:val="16"/>
                <w:szCs w:val="16"/>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2,275</w:t>
            </w:r>
          </w:p>
        </w:tc>
        <w:tc>
          <w:tcPr>
            <w:tcW w:w="260" w:type="dxa"/>
            <w:vAlign w:val="bottom"/>
            <w:shd w:val="clear" w:color="auto" w:fill="CCECFF"/>
          </w:tcPr>
          <w:p>
            <w:pPr>
              <w:spacing w:after="0"/>
              <w:rPr>
                <w:sz w:val="16"/>
                <w:szCs w:val="16"/>
                <w:color w:val="auto"/>
              </w:rPr>
            </w:pPr>
          </w:p>
        </w:tc>
        <w:tc>
          <w:tcPr>
            <w:tcW w:w="1180" w:type="dxa"/>
            <w:vAlign w:val="bottom"/>
            <w:tcBorders>
              <w:bottom w:val="single" w:sz="8" w:color="auto"/>
            </w:tcBorders>
            <w:shd w:val="clear" w:color="auto" w:fill="CCECFF"/>
          </w:tcPr>
          <w:p>
            <w:pPr>
              <w:spacing w:after="0"/>
              <w:rPr>
                <w:sz w:val="16"/>
                <w:szCs w:val="16"/>
                <w:color w:val="auto"/>
              </w:rPr>
            </w:pPr>
          </w:p>
        </w:tc>
        <w:tc>
          <w:tcPr>
            <w:tcW w:w="420" w:type="dxa"/>
            <w:vAlign w:val="bottom"/>
            <w:tcBorders>
              <w:bottom w:val="single" w:sz="8" w:color="auto"/>
            </w:tcBorders>
            <w:shd w:val="clear" w:color="auto" w:fill="CCECFF"/>
          </w:tcPr>
          <w:p>
            <w:pPr>
              <w:ind w:left="26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2,275</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200" w:type="dxa"/>
            <w:vAlign w:val="bottom"/>
          </w:tcPr>
          <w:p>
            <w:pPr>
              <w:ind w:left="420"/>
              <w:spacing w:after="0"/>
              <w:rPr>
                <w:sz w:val="20"/>
                <w:szCs w:val="20"/>
                <w:color w:val="auto"/>
              </w:rPr>
            </w:pPr>
            <w:r>
              <w:rPr>
                <w:rFonts w:ascii="Arial" w:cs="Arial" w:eastAsia="Arial" w:hAnsi="Arial"/>
                <w:sz w:val="15"/>
                <w:szCs w:val="15"/>
                <w:color w:val="auto"/>
              </w:rPr>
              <w:t>Total revenues</w:t>
            </w:r>
          </w:p>
        </w:tc>
        <w:tc>
          <w:tcPr>
            <w:tcW w:w="960" w:type="dxa"/>
            <w:vAlign w:val="bottom"/>
          </w:tcPr>
          <w:p>
            <w:pPr>
              <w:jc w:val="right"/>
              <w:ind w:right="80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12,794</w:t>
            </w:r>
          </w:p>
        </w:tc>
        <w:tc>
          <w:tcPr>
            <w:tcW w:w="1440" w:type="dxa"/>
            <w:vAlign w:val="bottom"/>
            <w:gridSpan w:val="2"/>
          </w:tcPr>
          <w:p>
            <w:pPr>
              <w:jc w:val="right"/>
              <w:ind w:right="1120"/>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12,794</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5"/>
                <w:szCs w:val="15"/>
                <w:color w:val="auto"/>
              </w:rPr>
              <w:t>* not meaningful</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42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2"/>
                <w:szCs w:val="12"/>
                <w:b w:val="1"/>
                <w:bCs w:val="1"/>
                <w:color w:val="auto"/>
                <w:w w:val="96"/>
              </w:rPr>
              <w:t>Six Months Ended June 30,</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center"/>
              <w:ind w:right="146"/>
              <w:spacing w:after="0"/>
              <w:rPr>
                <w:sz w:val="20"/>
                <w:szCs w:val="20"/>
                <w:color w:val="auto"/>
              </w:rPr>
            </w:pPr>
            <w:r>
              <w:rPr>
                <w:rFonts w:ascii="Arial" w:cs="Arial" w:eastAsia="Arial" w:hAnsi="Arial"/>
                <w:sz w:val="12"/>
                <w:szCs w:val="12"/>
                <w:b w:val="1"/>
                <w:bCs w:val="1"/>
                <w:color w:val="auto"/>
                <w:w w:val="99"/>
              </w:rPr>
              <w:t>Dollar</w:t>
            </w:r>
          </w:p>
        </w:tc>
        <w:tc>
          <w:tcPr>
            <w:tcW w:w="1300" w:type="dxa"/>
            <w:vAlign w:val="bottom"/>
            <w:gridSpan w:val="2"/>
          </w:tcPr>
          <w:p>
            <w:pPr>
              <w:jc w:val="center"/>
              <w:ind w:left="145"/>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420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700" w:type="dxa"/>
            <w:vAlign w:val="bottom"/>
          </w:tcPr>
          <w:p>
            <w:pPr>
              <w:spacing w:after="0"/>
              <w:rPr>
                <w:sz w:val="11"/>
                <w:szCs w:val="11"/>
                <w:color w:val="auto"/>
              </w:rPr>
            </w:pPr>
          </w:p>
        </w:tc>
        <w:tc>
          <w:tcPr>
            <w:tcW w:w="1440" w:type="dxa"/>
            <w:vAlign w:val="bottom"/>
            <w:gridSpan w:val="2"/>
          </w:tcPr>
          <w:p>
            <w:pPr>
              <w:jc w:val="right"/>
              <w:ind w:right="260"/>
              <w:spacing w:after="0" w:line="130" w:lineRule="exact"/>
              <w:rPr>
                <w:sz w:val="20"/>
                <w:szCs w:val="20"/>
                <w:color w:val="auto"/>
              </w:rPr>
            </w:pPr>
            <w:r>
              <w:rPr>
                <w:rFonts w:ascii="Arial" w:cs="Arial" w:eastAsia="Arial" w:hAnsi="Arial"/>
                <w:sz w:val="12"/>
                <w:szCs w:val="12"/>
                <w:b w:val="1"/>
                <w:bCs w:val="1"/>
                <w:color w:val="auto"/>
              </w:rPr>
              <w:t>2017</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ind w:right="126"/>
              <w:spacing w:after="0" w:line="130" w:lineRule="exact"/>
              <w:rPr>
                <w:sz w:val="20"/>
                <w:szCs w:val="20"/>
                <w:color w:val="auto"/>
              </w:rPr>
            </w:pPr>
            <w:r>
              <w:rPr>
                <w:rFonts w:ascii="Arial" w:cs="Arial" w:eastAsia="Arial" w:hAnsi="Arial"/>
                <w:sz w:val="12"/>
                <w:szCs w:val="12"/>
                <w:b w:val="1"/>
                <w:bCs w:val="1"/>
                <w:color w:val="auto"/>
                <w:w w:val="90"/>
              </w:rPr>
              <w:t>Change</w:t>
            </w:r>
          </w:p>
        </w:tc>
        <w:tc>
          <w:tcPr>
            <w:tcW w:w="240" w:type="dxa"/>
            <w:vAlign w:val="bottom"/>
          </w:tcPr>
          <w:p>
            <w:pPr>
              <w:spacing w:after="0"/>
              <w:rPr>
                <w:sz w:val="11"/>
                <w:szCs w:val="11"/>
                <w:color w:val="auto"/>
              </w:rPr>
            </w:pPr>
          </w:p>
        </w:tc>
        <w:tc>
          <w:tcPr>
            <w:tcW w:w="10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0" w:type="dxa"/>
            <w:vAlign w:val="bottom"/>
          </w:tcPr>
          <w:p>
            <w:pPr>
              <w:spacing w:after="0"/>
              <w:rPr>
                <w:sz w:val="1"/>
                <w:szCs w:val="1"/>
                <w:color w:val="auto"/>
              </w:rPr>
            </w:pPr>
          </w:p>
        </w:tc>
      </w:tr>
      <w:tr>
        <w:trPr>
          <w:trHeight w:val="188"/>
        </w:trPr>
        <w:tc>
          <w:tcPr>
            <w:tcW w:w="42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5"/>
                <w:szCs w:val="15"/>
                <w:color w:val="auto"/>
              </w:rPr>
              <w:t>Collaboration and license revenue:</w:t>
            </w:r>
          </w:p>
        </w:tc>
        <w:tc>
          <w:tcPr>
            <w:tcW w:w="960" w:type="dxa"/>
            <w:vAlign w:val="bottom"/>
            <w:tcBorders>
              <w:top w:val="single" w:sz="8" w:color="auto"/>
            </w:tcBorders>
            <w:shd w:val="clear" w:color="auto" w:fill="CCECFF"/>
          </w:tcPr>
          <w:p>
            <w:pPr>
              <w:spacing w:after="0"/>
              <w:rPr>
                <w:sz w:val="16"/>
                <w:szCs w:val="16"/>
                <w:color w:val="auto"/>
              </w:rPr>
            </w:pPr>
          </w:p>
        </w:tc>
        <w:tc>
          <w:tcPr>
            <w:tcW w:w="700" w:type="dxa"/>
            <w:vAlign w:val="bottom"/>
            <w:tcBorders>
              <w:top w:val="single" w:sz="8" w:color="auto"/>
            </w:tcBorders>
            <w:shd w:val="clear" w:color="auto" w:fill="CCECFF"/>
          </w:tcPr>
          <w:p>
            <w:pPr>
              <w:spacing w:after="0"/>
              <w:rPr>
                <w:sz w:val="16"/>
                <w:szCs w:val="16"/>
                <w:color w:val="auto"/>
              </w:rPr>
            </w:pPr>
          </w:p>
        </w:tc>
        <w:tc>
          <w:tcPr>
            <w:tcW w:w="260" w:type="dxa"/>
            <w:vAlign w:val="bottom"/>
            <w:tcBorders>
              <w:top w:val="single" w:sz="8" w:color="CCECFF"/>
            </w:tcBorders>
            <w:shd w:val="clear" w:color="auto" w:fill="CCECFF"/>
          </w:tcPr>
          <w:p>
            <w:pPr>
              <w:spacing w:after="0"/>
              <w:rPr>
                <w:sz w:val="16"/>
                <w:szCs w:val="16"/>
                <w:color w:val="auto"/>
              </w:rPr>
            </w:pPr>
          </w:p>
        </w:tc>
        <w:tc>
          <w:tcPr>
            <w:tcW w:w="1180" w:type="dxa"/>
            <w:vAlign w:val="bottom"/>
            <w:tcBorders>
              <w:top w:val="single" w:sz="8" w:color="auto"/>
            </w:tcBorders>
            <w:shd w:val="clear" w:color="auto" w:fill="CCECFF"/>
          </w:tcPr>
          <w:p>
            <w:pPr>
              <w:spacing w:after="0"/>
              <w:rPr>
                <w:sz w:val="16"/>
                <w:szCs w:val="16"/>
                <w:color w:val="auto"/>
              </w:rPr>
            </w:pPr>
          </w:p>
        </w:tc>
        <w:tc>
          <w:tcPr>
            <w:tcW w:w="420" w:type="dxa"/>
            <w:vAlign w:val="bottom"/>
            <w:tcBorders>
              <w:top w:val="single" w:sz="8" w:color="auto"/>
            </w:tcBorders>
            <w:shd w:val="clear" w:color="auto" w:fill="CCECFF"/>
          </w:tcPr>
          <w:p>
            <w:pPr>
              <w:spacing w:after="0"/>
              <w:rPr>
                <w:sz w:val="16"/>
                <w:szCs w:val="16"/>
                <w:color w:val="auto"/>
              </w:rPr>
            </w:pPr>
          </w:p>
        </w:tc>
        <w:tc>
          <w:tcPr>
            <w:tcW w:w="24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840" w:type="dxa"/>
            <w:vAlign w:val="bottom"/>
            <w:tcBorders>
              <w:top w:val="single" w:sz="8" w:color="auto"/>
            </w:tcBorders>
            <w:shd w:val="clear" w:color="auto" w:fill="CCECFF"/>
          </w:tcPr>
          <w:p>
            <w:pPr>
              <w:spacing w:after="0"/>
              <w:rPr>
                <w:sz w:val="16"/>
                <w:szCs w:val="16"/>
                <w:color w:val="auto"/>
              </w:rPr>
            </w:pPr>
          </w:p>
        </w:tc>
        <w:tc>
          <w:tcPr>
            <w:tcW w:w="240" w:type="dxa"/>
            <w:vAlign w:val="bottom"/>
            <w:tcBorders>
              <w:top w:val="single" w:sz="8" w:color="CCECFF"/>
            </w:tcBorders>
            <w:shd w:val="clear" w:color="auto" w:fill="CCECFF"/>
          </w:tcPr>
          <w:p>
            <w:pPr>
              <w:spacing w:after="0"/>
              <w:rPr>
                <w:sz w:val="16"/>
                <w:szCs w:val="16"/>
                <w:color w:val="auto"/>
              </w:rPr>
            </w:pPr>
          </w:p>
        </w:tc>
        <w:tc>
          <w:tcPr>
            <w:tcW w:w="1060" w:type="dxa"/>
            <w:vAlign w:val="bottom"/>
            <w:tcBorders>
              <w:top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Arial" w:cs="Arial" w:eastAsia="Arial" w:hAnsi="Arial"/>
                <w:sz w:val="15"/>
                <w:szCs w:val="15"/>
                <w:color w:val="auto"/>
              </w:rPr>
              <w:t>KHK (Crysvita)</w:t>
            </w:r>
          </w:p>
        </w:tc>
        <w:tc>
          <w:tcPr>
            <w:tcW w:w="960" w:type="dxa"/>
            <w:vAlign w:val="bottom"/>
          </w:tcPr>
          <w:p>
            <w:pPr>
              <w:jc w:val="right"/>
              <w:ind w:right="80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1,592</w:t>
            </w:r>
          </w:p>
        </w:tc>
        <w:tc>
          <w:tcPr>
            <w:tcW w:w="1440" w:type="dxa"/>
            <w:vAlign w:val="bottom"/>
            <w:gridSpan w:val="2"/>
          </w:tcPr>
          <w:p>
            <w:pPr>
              <w:jc w:val="right"/>
              <w:ind w:right="1120"/>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1,592</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CECFF"/>
          </w:tcPr>
          <w:p>
            <w:pPr>
              <w:ind w:left="120"/>
              <w:spacing w:after="0"/>
              <w:rPr>
                <w:sz w:val="20"/>
                <w:szCs w:val="20"/>
                <w:color w:val="auto"/>
              </w:rPr>
            </w:pPr>
            <w:r>
              <w:rPr>
                <w:rFonts w:ascii="Arial" w:cs="Arial" w:eastAsia="Arial" w:hAnsi="Arial"/>
                <w:sz w:val="15"/>
                <w:szCs w:val="15"/>
                <w:color w:val="auto"/>
              </w:rPr>
              <w:t>Bayer</w:t>
            </w:r>
          </w:p>
        </w:tc>
        <w:tc>
          <w:tcPr>
            <w:tcW w:w="960" w:type="dxa"/>
            <w:vAlign w:val="bottom"/>
            <w:tcBorders>
              <w:bottom w:val="single" w:sz="8" w:color="auto"/>
            </w:tcBorders>
            <w:shd w:val="clear" w:color="auto" w:fill="CCECFF"/>
          </w:tcPr>
          <w:p>
            <w:pPr>
              <w:spacing w:after="0"/>
              <w:rPr>
                <w:sz w:val="17"/>
                <w:szCs w:val="17"/>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18,289</w:t>
            </w:r>
          </w:p>
        </w:tc>
        <w:tc>
          <w:tcPr>
            <w:tcW w:w="260" w:type="dxa"/>
            <w:vAlign w:val="bottom"/>
            <w:shd w:val="clear" w:color="auto" w:fill="CCECFF"/>
          </w:tcPr>
          <w:p>
            <w:pPr>
              <w:spacing w:after="0"/>
              <w:rPr>
                <w:sz w:val="17"/>
                <w:szCs w:val="17"/>
                <w:color w:val="auto"/>
              </w:rPr>
            </w:pPr>
          </w:p>
        </w:tc>
        <w:tc>
          <w:tcPr>
            <w:tcW w:w="1180" w:type="dxa"/>
            <w:vAlign w:val="bottom"/>
            <w:tcBorders>
              <w:bottom w:val="single" w:sz="8" w:color="auto"/>
            </w:tcBorders>
            <w:shd w:val="clear" w:color="auto" w:fill="CCECFF"/>
          </w:tcPr>
          <w:p>
            <w:pPr>
              <w:spacing w:after="0"/>
              <w:rPr>
                <w:sz w:val="17"/>
                <w:szCs w:val="17"/>
                <w:color w:val="auto"/>
              </w:rPr>
            </w:pPr>
          </w:p>
        </w:tc>
        <w:tc>
          <w:tcPr>
            <w:tcW w:w="420" w:type="dxa"/>
            <w:vAlign w:val="bottom"/>
            <w:tcBorders>
              <w:bottom w:val="single" w:sz="8" w:color="auto"/>
            </w:tcBorders>
            <w:shd w:val="clear" w:color="auto" w:fill="CCECFF"/>
          </w:tcPr>
          <w:p>
            <w:pPr>
              <w:ind w:left="26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18,289</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200" w:type="dxa"/>
            <w:vAlign w:val="bottom"/>
          </w:tcPr>
          <w:p>
            <w:pPr>
              <w:ind w:left="220"/>
              <w:spacing w:after="0"/>
              <w:rPr>
                <w:sz w:val="20"/>
                <w:szCs w:val="20"/>
                <w:color w:val="auto"/>
              </w:rPr>
            </w:pPr>
            <w:r>
              <w:rPr>
                <w:rFonts w:ascii="Arial" w:cs="Arial" w:eastAsia="Arial" w:hAnsi="Arial"/>
                <w:sz w:val="15"/>
                <w:szCs w:val="15"/>
                <w:color w:val="auto"/>
              </w:rPr>
              <w:t>Total collaboration and license revenue</w:t>
            </w: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19,881</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19,881</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CECFF"/>
          </w:tcPr>
          <w:p>
            <w:pPr>
              <w:spacing w:after="0"/>
              <w:rPr>
                <w:sz w:val="20"/>
                <w:szCs w:val="20"/>
                <w:color w:val="auto"/>
              </w:rPr>
            </w:pPr>
            <w:r>
              <w:rPr>
                <w:rFonts w:ascii="Arial" w:cs="Arial" w:eastAsia="Arial" w:hAnsi="Arial"/>
                <w:sz w:val="15"/>
                <w:szCs w:val="15"/>
                <w:color w:val="auto"/>
              </w:rPr>
              <w:t>Product sales:</w:t>
            </w:r>
          </w:p>
        </w:tc>
        <w:tc>
          <w:tcPr>
            <w:tcW w:w="96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4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120"/>
              <w:spacing w:after="0"/>
              <w:rPr>
                <w:sz w:val="20"/>
                <w:szCs w:val="20"/>
                <w:color w:val="auto"/>
              </w:rPr>
            </w:pPr>
            <w:r>
              <w:rPr>
                <w:rFonts w:ascii="Arial" w:cs="Arial" w:eastAsia="Arial" w:hAnsi="Arial"/>
                <w:sz w:val="15"/>
                <w:szCs w:val="15"/>
                <w:color w:val="auto"/>
              </w:rPr>
              <w:t>Crysvita</w:t>
            </w:r>
          </w:p>
        </w:tc>
        <w:tc>
          <w:tcPr>
            <w:tcW w:w="9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shd w:val="clear" w:color="auto" w:fill="CCECFF"/>
          </w:tcPr>
          <w:p>
            <w:pPr>
              <w:ind w:left="120"/>
              <w:spacing w:after="0"/>
              <w:rPr>
                <w:sz w:val="20"/>
                <w:szCs w:val="20"/>
                <w:color w:val="auto"/>
              </w:rPr>
            </w:pPr>
            <w:r>
              <w:rPr>
                <w:rFonts w:ascii="Arial" w:cs="Arial" w:eastAsia="Arial" w:hAnsi="Arial"/>
                <w:sz w:val="15"/>
                <w:szCs w:val="15"/>
                <w:color w:val="auto"/>
              </w:rPr>
              <w:t>Mepsevii</w:t>
            </w:r>
          </w:p>
        </w:tc>
        <w:tc>
          <w:tcPr>
            <w:tcW w:w="960" w:type="dxa"/>
            <w:vAlign w:val="bottom"/>
            <w:shd w:val="clear" w:color="auto" w:fill="CCECFF"/>
          </w:tcPr>
          <w:p>
            <w:pPr>
              <w:spacing w:after="0"/>
              <w:rPr>
                <w:sz w:val="17"/>
                <w:szCs w:val="17"/>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3,126</w:t>
            </w:r>
          </w:p>
        </w:tc>
        <w:tc>
          <w:tcPr>
            <w:tcW w:w="260" w:type="dxa"/>
            <w:vAlign w:val="bottom"/>
            <w:shd w:val="clear" w:color="auto" w:fill="CCECFF"/>
          </w:tcPr>
          <w:p>
            <w:pPr>
              <w:spacing w:after="0"/>
              <w:rPr>
                <w:sz w:val="17"/>
                <w:szCs w:val="17"/>
                <w:color w:val="auto"/>
              </w:rPr>
            </w:pPr>
          </w:p>
        </w:tc>
        <w:tc>
          <w:tcPr>
            <w:tcW w:w="1180" w:type="dxa"/>
            <w:vAlign w:val="bottom"/>
            <w:shd w:val="clear" w:color="auto" w:fill="CCECFF"/>
          </w:tcPr>
          <w:p>
            <w:pPr>
              <w:spacing w:after="0"/>
              <w:rPr>
                <w:sz w:val="17"/>
                <w:szCs w:val="17"/>
                <w:color w:val="auto"/>
              </w:rPr>
            </w:pPr>
          </w:p>
        </w:tc>
        <w:tc>
          <w:tcPr>
            <w:tcW w:w="660" w:type="dxa"/>
            <w:vAlign w:val="bottom"/>
            <w:gridSpan w:val="2"/>
            <w:shd w:val="clear" w:color="auto" w:fill="CCECFF"/>
          </w:tcPr>
          <w:p>
            <w:pPr>
              <w:ind w:left="2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3,126</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CFF"/>
            </w:tcBorders>
          </w:tcPr>
          <w:p>
            <w:pPr>
              <w:ind w:left="120"/>
              <w:spacing w:after="0"/>
              <w:rPr>
                <w:sz w:val="20"/>
                <w:szCs w:val="20"/>
                <w:color w:val="auto"/>
              </w:rPr>
            </w:pPr>
            <w:r>
              <w:rPr>
                <w:rFonts w:ascii="Arial" w:cs="Arial" w:eastAsia="Arial" w:hAnsi="Arial"/>
                <w:sz w:val="15"/>
                <w:szCs w:val="15"/>
                <w:color w:val="auto"/>
              </w:rPr>
              <w:t>UX007</w:t>
            </w: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260" w:type="dxa"/>
            <w:vAlign w:val="bottom"/>
            <w:tcBorders>
              <w:bottom w:val="single" w:sz="8" w:color="CCEC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w w:val="93"/>
              </w:rPr>
              <w:t>—</w:t>
            </w:r>
          </w:p>
        </w:tc>
        <w:tc>
          <w:tcPr>
            <w:tcW w:w="24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438</w:t>
            </w:r>
          </w:p>
        </w:tc>
        <w:tc>
          <w:tcPr>
            <w:tcW w:w="1300" w:type="dxa"/>
            <w:vAlign w:val="bottom"/>
            <w:tcBorders>
              <w:bottom w:val="single" w:sz="8" w:color="CCECFF"/>
            </w:tcBorders>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200" w:type="dxa"/>
            <w:vAlign w:val="bottom"/>
            <w:shd w:val="clear" w:color="auto" w:fill="CCECFF"/>
          </w:tcPr>
          <w:p>
            <w:pPr>
              <w:ind w:left="220"/>
              <w:spacing w:after="0"/>
              <w:rPr>
                <w:sz w:val="20"/>
                <w:szCs w:val="20"/>
                <w:color w:val="auto"/>
              </w:rPr>
            </w:pPr>
            <w:r>
              <w:rPr>
                <w:rFonts w:ascii="Arial" w:cs="Arial" w:eastAsia="Arial" w:hAnsi="Arial"/>
                <w:sz w:val="15"/>
                <w:szCs w:val="15"/>
                <w:color w:val="auto"/>
              </w:rPr>
              <w:t>Total product sales</w:t>
            </w:r>
          </w:p>
        </w:tc>
        <w:tc>
          <w:tcPr>
            <w:tcW w:w="960" w:type="dxa"/>
            <w:vAlign w:val="bottom"/>
            <w:tcBorders>
              <w:bottom w:val="single" w:sz="8" w:color="auto"/>
            </w:tcBorders>
            <w:shd w:val="clear" w:color="auto" w:fill="CCECFF"/>
          </w:tcPr>
          <w:p>
            <w:pPr>
              <w:spacing w:after="0"/>
              <w:rPr>
                <w:sz w:val="16"/>
                <w:szCs w:val="16"/>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3,590</w:t>
            </w:r>
          </w:p>
        </w:tc>
        <w:tc>
          <w:tcPr>
            <w:tcW w:w="260" w:type="dxa"/>
            <w:vAlign w:val="bottom"/>
            <w:shd w:val="clear" w:color="auto" w:fill="CCECFF"/>
          </w:tcPr>
          <w:p>
            <w:pPr>
              <w:spacing w:after="0"/>
              <w:rPr>
                <w:sz w:val="16"/>
                <w:szCs w:val="16"/>
                <w:color w:val="auto"/>
              </w:rPr>
            </w:pPr>
          </w:p>
        </w:tc>
        <w:tc>
          <w:tcPr>
            <w:tcW w:w="1180" w:type="dxa"/>
            <w:vAlign w:val="bottom"/>
            <w:tcBorders>
              <w:bottom w:val="single" w:sz="8" w:color="auto"/>
            </w:tcBorders>
            <w:shd w:val="clear" w:color="auto" w:fill="CCECFF"/>
          </w:tcPr>
          <w:p>
            <w:pPr>
              <w:spacing w:after="0"/>
              <w:rPr>
                <w:sz w:val="16"/>
                <w:szCs w:val="16"/>
                <w:color w:val="auto"/>
              </w:rPr>
            </w:pPr>
          </w:p>
        </w:tc>
        <w:tc>
          <w:tcPr>
            <w:tcW w:w="420" w:type="dxa"/>
            <w:vAlign w:val="bottom"/>
            <w:tcBorders>
              <w:bottom w:val="single" w:sz="8" w:color="auto"/>
            </w:tcBorders>
            <w:shd w:val="clear" w:color="auto" w:fill="CCECFF"/>
          </w:tcPr>
          <w:p>
            <w:pPr>
              <w:ind w:left="26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3,590</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4200" w:type="dxa"/>
            <w:vAlign w:val="bottom"/>
          </w:tcPr>
          <w:p>
            <w:pPr>
              <w:ind w:left="420"/>
              <w:spacing w:after="0"/>
              <w:rPr>
                <w:sz w:val="20"/>
                <w:szCs w:val="20"/>
                <w:color w:val="auto"/>
              </w:rPr>
            </w:pPr>
            <w:r>
              <w:rPr>
                <w:rFonts w:ascii="Arial" w:cs="Arial" w:eastAsia="Arial" w:hAnsi="Arial"/>
                <w:sz w:val="15"/>
                <w:szCs w:val="15"/>
                <w:color w:val="auto"/>
              </w:rPr>
              <w:t>Total revenues</w:t>
            </w:r>
          </w:p>
        </w:tc>
        <w:tc>
          <w:tcPr>
            <w:tcW w:w="960" w:type="dxa"/>
            <w:vAlign w:val="bottom"/>
          </w:tcPr>
          <w:p>
            <w:pPr>
              <w:jc w:val="right"/>
              <w:ind w:right="80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23,471</w:t>
            </w:r>
          </w:p>
        </w:tc>
        <w:tc>
          <w:tcPr>
            <w:tcW w:w="1440" w:type="dxa"/>
            <w:vAlign w:val="bottom"/>
            <w:gridSpan w:val="2"/>
          </w:tcPr>
          <w:p>
            <w:pPr>
              <w:jc w:val="right"/>
              <w:ind w:right="1120"/>
              <w:spacing w:after="0"/>
              <w:rPr>
                <w:sz w:val="20"/>
                <w:szCs w:val="20"/>
                <w:color w:val="auto"/>
              </w:rPr>
            </w:pPr>
            <w:r>
              <w:rPr>
                <w:rFonts w:ascii="Arial" w:cs="Arial" w:eastAsia="Arial" w:hAnsi="Arial"/>
                <w:sz w:val="15"/>
                <w:szCs w:val="15"/>
                <w:color w:val="auto"/>
              </w:rPr>
              <w:t>$</w:t>
            </w:r>
          </w:p>
        </w:tc>
        <w:tc>
          <w:tcPr>
            <w:tcW w:w="66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23,471</w:t>
            </w:r>
          </w:p>
        </w:tc>
        <w:tc>
          <w:tcPr>
            <w:tcW w:w="1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firstLine="520"/>
        <w:spacing w:after="0" w:line="267" w:lineRule="auto"/>
        <w:rPr>
          <w:sz w:val="20"/>
          <w:szCs w:val="20"/>
          <w:color w:val="auto"/>
        </w:rPr>
      </w:pPr>
      <w:r>
        <w:rPr>
          <w:rFonts w:ascii="Arial" w:cs="Arial" w:eastAsia="Arial" w:hAnsi="Arial"/>
          <w:sz w:val="15"/>
          <w:szCs w:val="15"/>
          <w:color w:val="auto"/>
        </w:rPr>
        <w:t>We recognized $1.6 million in profit sharing and royalty revenue from our collaboration and license agreement with KHK for the three and six months ended June 30, 2018, and recognized $8.9 million and $18.3 million in collaboration and license revenue from our research arrangement with Bayer for the three and six months ended June 30, 2018, respectively. The increase in collaboration and license revenue is due to our acquisition of Dimension Therapeutics Inc., or Dimension, resulting in the assumption of the Bayer agreement as well as the approval of Crysvita in Europe in November 2017 and in the U.S. in April 2018.</w:t>
      </w:r>
    </w:p>
    <w:p>
      <w:pPr>
        <w:spacing w:after="0" w:line="28" w:lineRule="exact"/>
        <w:rPr>
          <w:sz w:val="20"/>
          <w:szCs w:val="20"/>
          <w:color w:val="auto"/>
        </w:rPr>
      </w:pPr>
    </w:p>
    <w:p>
      <w:pPr>
        <w:ind w:right="500" w:firstLine="520"/>
        <w:spacing w:after="0" w:line="288" w:lineRule="auto"/>
        <w:rPr>
          <w:sz w:val="20"/>
          <w:szCs w:val="20"/>
          <w:color w:val="auto"/>
        </w:rPr>
      </w:pPr>
      <w:r>
        <w:rPr>
          <w:rFonts w:ascii="Arial" w:cs="Arial" w:eastAsia="Arial" w:hAnsi="Arial"/>
          <w:sz w:val="15"/>
          <w:szCs w:val="15"/>
          <w:color w:val="auto"/>
        </w:rPr>
        <w:t>The increase in product sales of $2.3 million and $3.6 million for three and six months ended June 30, 2018, respectively, is primarily due to the approval of Mepsevii in November 2017.</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87" w:right="259" w:bottom="1440" w:gutter="0" w:footer="0" w:header="0"/>
        </w:sectPr>
      </w:pPr>
    </w:p>
    <w:bookmarkStart w:id="19" w:name="page20"/>
    <w:bookmarkEnd w:id="19"/>
    <w:p>
      <w:pPr>
        <w:spacing w:after="0"/>
        <w:rPr>
          <w:sz w:val="20"/>
          <w:szCs w:val="20"/>
          <w:color w:val="auto"/>
        </w:rPr>
      </w:pPr>
      <w:r>
        <w:rPr>
          <w:rFonts w:ascii="Arial" w:cs="Arial" w:eastAsia="Arial" w:hAnsi="Arial"/>
          <w:sz w:val="15"/>
          <w:szCs w:val="15"/>
          <w:i w:val="1"/>
          <w:iCs w:val="1"/>
          <w:u w:val="single" w:color="auto"/>
          <w:color w:val="auto"/>
        </w:rPr>
        <w:t>Cost of Sales (dollars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444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2"/>
                <w:szCs w:val="12"/>
                <w:b w:val="1"/>
                <w:bCs w:val="1"/>
                <w:color w:val="auto"/>
              </w:rPr>
              <w:t>Three Months Ended June 30,</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Dollar</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rPr>
              <w:t>%</w:t>
            </w:r>
          </w:p>
        </w:tc>
      </w:tr>
      <w:tr>
        <w:trPr>
          <w:trHeight w:val="130"/>
        </w:trPr>
        <w:tc>
          <w:tcPr>
            <w:tcW w:w="444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right"/>
              <w:ind w:right="53"/>
              <w:spacing w:after="0" w:line="130"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940" w:type="dxa"/>
            <w:vAlign w:val="bottom"/>
            <w:tcBorders>
              <w:bottom w:val="single" w:sz="8" w:color="auto"/>
            </w:tcBorders>
          </w:tcPr>
          <w:p>
            <w:pPr>
              <w:jc w:val="right"/>
              <w:ind w:right="111"/>
              <w:spacing w:after="0" w:line="130" w:lineRule="exact"/>
              <w:rPr>
                <w:sz w:val="20"/>
                <w:szCs w:val="20"/>
                <w:color w:val="auto"/>
              </w:rPr>
            </w:pPr>
            <w:r>
              <w:rPr>
                <w:rFonts w:ascii="Arial" w:cs="Arial" w:eastAsia="Arial" w:hAnsi="Arial"/>
                <w:sz w:val="12"/>
                <w:szCs w:val="12"/>
                <w:b w:val="1"/>
                <w:bCs w:val="1"/>
                <w:color w:val="auto"/>
              </w:rPr>
              <w:t>2017</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93"/>
              <w:spacing w:after="0" w:line="130" w:lineRule="exact"/>
              <w:rPr>
                <w:sz w:val="20"/>
                <w:szCs w:val="20"/>
                <w:color w:val="auto"/>
              </w:rPr>
            </w:pPr>
            <w:r>
              <w:rPr>
                <w:rFonts w:ascii="Arial" w:cs="Arial" w:eastAsia="Arial" w:hAnsi="Arial"/>
                <w:sz w:val="12"/>
                <w:szCs w:val="12"/>
                <w:b w:val="1"/>
                <w:bCs w:val="1"/>
                <w:color w:val="auto"/>
                <w:w w:val="95"/>
              </w:rPr>
              <w:t>Change</w:t>
            </w:r>
          </w:p>
        </w:tc>
        <w:tc>
          <w:tcPr>
            <w:tcW w:w="280" w:type="dxa"/>
            <w:vAlign w:val="bottom"/>
            <w:tcBorders>
              <w:bottom w:val="single" w:sz="8" w:color="CCECFF"/>
            </w:tcBorders>
          </w:tcPr>
          <w:p>
            <w:pPr>
              <w:spacing w:after="0"/>
              <w:rPr>
                <w:sz w:val="11"/>
                <w:szCs w:val="11"/>
                <w:color w:val="auto"/>
              </w:rPr>
            </w:pPr>
          </w:p>
        </w:tc>
        <w:tc>
          <w:tcPr>
            <w:tcW w:w="132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5"/>
              </w:rPr>
              <w:t>Change</w:t>
            </w:r>
          </w:p>
        </w:tc>
      </w:tr>
      <w:tr>
        <w:trPr>
          <w:trHeight w:val="188"/>
        </w:trPr>
        <w:tc>
          <w:tcPr>
            <w:tcW w:w="4440" w:type="dxa"/>
            <w:vAlign w:val="bottom"/>
            <w:shd w:val="clear" w:color="auto" w:fill="CCECFF"/>
          </w:tcPr>
          <w:p>
            <w:pPr>
              <w:spacing w:after="0"/>
              <w:rPr>
                <w:sz w:val="20"/>
                <w:szCs w:val="20"/>
                <w:color w:val="auto"/>
              </w:rPr>
            </w:pPr>
            <w:r>
              <w:rPr>
                <w:rFonts w:ascii="Arial" w:cs="Arial" w:eastAsia="Arial" w:hAnsi="Arial"/>
                <w:sz w:val="15"/>
                <w:szCs w:val="15"/>
                <w:color w:val="auto"/>
              </w:rPr>
              <w:t>Cost of sales</w:t>
            </w:r>
          </w:p>
        </w:tc>
        <w:tc>
          <w:tcPr>
            <w:tcW w:w="840" w:type="dxa"/>
            <w:vAlign w:val="bottom"/>
            <w:shd w:val="clear" w:color="auto" w:fill="CCECFF"/>
          </w:tcPr>
          <w:p>
            <w:pPr>
              <w:jc w:val="right"/>
              <w:ind w:right="69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141</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ind w:right="79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CFF"/>
          </w:tcPr>
          <w:p>
            <w:pPr>
              <w:ind w:lef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C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141</w:t>
            </w:r>
          </w:p>
        </w:tc>
        <w:tc>
          <w:tcPr>
            <w:tcW w:w="28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r>
      <w:tr>
        <w:trPr>
          <w:trHeight w:val="381"/>
        </w:trPr>
        <w:tc>
          <w:tcPr>
            <w:tcW w:w="444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2"/>
                <w:szCs w:val="12"/>
                <w:b w:val="1"/>
                <w:bCs w:val="1"/>
                <w:color w:val="auto"/>
              </w:rPr>
              <w:t>Six Months Ended June 30,</w:t>
            </w:r>
          </w:p>
        </w:tc>
        <w:tc>
          <w:tcPr>
            <w:tcW w:w="3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Dollar</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rPr>
              <w:t>%</w:t>
            </w:r>
          </w:p>
        </w:tc>
      </w:tr>
      <w:tr>
        <w:trPr>
          <w:trHeight w:val="130"/>
        </w:trPr>
        <w:tc>
          <w:tcPr>
            <w:tcW w:w="444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right"/>
              <w:ind w:right="53"/>
              <w:spacing w:after="0" w:line="130"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940" w:type="dxa"/>
            <w:vAlign w:val="bottom"/>
            <w:tcBorders>
              <w:bottom w:val="single" w:sz="8" w:color="auto"/>
            </w:tcBorders>
          </w:tcPr>
          <w:p>
            <w:pPr>
              <w:jc w:val="right"/>
              <w:ind w:right="111"/>
              <w:spacing w:after="0" w:line="130" w:lineRule="exact"/>
              <w:rPr>
                <w:sz w:val="20"/>
                <w:szCs w:val="20"/>
                <w:color w:val="auto"/>
              </w:rPr>
            </w:pPr>
            <w:r>
              <w:rPr>
                <w:rFonts w:ascii="Arial" w:cs="Arial" w:eastAsia="Arial" w:hAnsi="Arial"/>
                <w:sz w:val="12"/>
                <w:szCs w:val="12"/>
                <w:b w:val="1"/>
                <w:bCs w:val="1"/>
                <w:color w:val="auto"/>
              </w:rPr>
              <w:t>2017</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93"/>
              <w:spacing w:after="0" w:line="130" w:lineRule="exact"/>
              <w:rPr>
                <w:sz w:val="20"/>
                <w:szCs w:val="20"/>
                <w:color w:val="auto"/>
              </w:rPr>
            </w:pPr>
            <w:r>
              <w:rPr>
                <w:rFonts w:ascii="Arial" w:cs="Arial" w:eastAsia="Arial" w:hAnsi="Arial"/>
                <w:sz w:val="12"/>
                <w:szCs w:val="12"/>
                <w:b w:val="1"/>
                <w:bCs w:val="1"/>
                <w:color w:val="auto"/>
                <w:w w:val="95"/>
              </w:rPr>
              <w:t>Change</w:t>
            </w:r>
          </w:p>
        </w:tc>
        <w:tc>
          <w:tcPr>
            <w:tcW w:w="280" w:type="dxa"/>
            <w:vAlign w:val="bottom"/>
            <w:tcBorders>
              <w:bottom w:val="single" w:sz="8" w:color="CCECFF"/>
            </w:tcBorders>
          </w:tcPr>
          <w:p>
            <w:pPr>
              <w:spacing w:after="0"/>
              <w:rPr>
                <w:sz w:val="11"/>
                <w:szCs w:val="11"/>
                <w:color w:val="auto"/>
              </w:rPr>
            </w:pPr>
          </w:p>
        </w:tc>
        <w:tc>
          <w:tcPr>
            <w:tcW w:w="132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5"/>
              </w:rPr>
              <w:t>Change</w:t>
            </w:r>
          </w:p>
        </w:tc>
      </w:tr>
      <w:tr>
        <w:trPr>
          <w:trHeight w:val="188"/>
        </w:trPr>
        <w:tc>
          <w:tcPr>
            <w:tcW w:w="4440" w:type="dxa"/>
            <w:vAlign w:val="bottom"/>
            <w:shd w:val="clear" w:color="auto" w:fill="CCECFF"/>
          </w:tcPr>
          <w:p>
            <w:pPr>
              <w:spacing w:after="0"/>
              <w:rPr>
                <w:sz w:val="20"/>
                <w:szCs w:val="20"/>
                <w:color w:val="auto"/>
              </w:rPr>
            </w:pPr>
            <w:r>
              <w:rPr>
                <w:rFonts w:ascii="Arial" w:cs="Arial" w:eastAsia="Arial" w:hAnsi="Arial"/>
                <w:sz w:val="15"/>
                <w:szCs w:val="15"/>
                <w:color w:val="auto"/>
              </w:rPr>
              <w:t>Cost of sales</w:t>
            </w:r>
          </w:p>
        </w:tc>
        <w:tc>
          <w:tcPr>
            <w:tcW w:w="840" w:type="dxa"/>
            <w:vAlign w:val="bottom"/>
            <w:shd w:val="clear" w:color="auto" w:fill="CCECFF"/>
          </w:tcPr>
          <w:p>
            <w:pPr>
              <w:jc w:val="right"/>
              <w:ind w:right="693"/>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366</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ind w:right="79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CFF"/>
          </w:tcPr>
          <w:p>
            <w:pPr>
              <w:ind w:lef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C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366</w:t>
            </w:r>
          </w:p>
        </w:tc>
        <w:tc>
          <w:tcPr>
            <w:tcW w:w="280" w:type="dxa"/>
            <w:vAlign w:val="bottom"/>
            <w:shd w:val="clear" w:color="auto" w:fill="CCECFF"/>
          </w:tcPr>
          <w:p>
            <w:pPr>
              <w:spacing w:after="0"/>
              <w:rPr>
                <w:sz w:val="16"/>
                <w:szCs w:val="16"/>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r>
    </w:tbl>
    <w:p>
      <w:pPr>
        <w:spacing w:after="0" w:line="197" w:lineRule="exact"/>
        <w:rPr>
          <w:sz w:val="20"/>
          <w:szCs w:val="20"/>
          <w:color w:val="auto"/>
        </w:rPr>
      </w:pPr>
    </w:p>
    <w:p>
      <w:pPr>
        <w:ind w:firstLine="520"/>
        <w:spacing w:after="0" w:line="283" w:lineRule="auto"/>
        <w:rPr>
          <w:sz w:val="20"/>
          <w:szCs w:val="20"/>
          <w:color w:val="auto"/>
        </w:rPr>
      </w:pPr>
      <w:r>
        <w:rPr>
          <w:rFonts w:ascii="Arial" w:cs="Arial" w:eastAsia="Arial" w:hAnsi="Arial"/>
          <w:sz w:val="14"/>
          <w:szCs w:val="14"/>
          <w:color w:val="auto"/>
        </w:rPr>
        <w:t>We recognized $0.1 million and $0.4 million in cost of sales related to Mepsevii for the three and six months ended June 30, 2018, respectively, which includes a reserve of $0.2 million for excess inventory for the six months ended June 30, 2018. No cost of sales was recognized for the three and six months ended June 30, 2017. Prior to the approval of Mepsevii, manufacturing and related costs were expensed; accordingly, these costs were not capitalized and as a result are not fully reflected in the costs of sales during the current period. If manufacturing and related costs were capitalized prior to the approval period, we expect that cost of sales for the three and six months ended June 30, 2018 would have been approximately $0.5 million and $0.9 million, respectively, for our commercial product sales, which includes a reserve of $0.2 million for excess inventory for the six months ended June 30, 2018. We expect cost of sales to increase in relation to product revenues as we deplete these previously expensed inventories and in turn, the inventory cost of Mepsevii will increase as we produce and then sell Mepsevii product that has an inventory cost that reflects the full cost of manufacturing similar biologic products.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Research and Development Expenses (dollars in thousands)</w:t>
      </w: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4260" w:type="dxa"/>
            <w:vAlign w:val="bottom"/>
          </w:tcPr>
          <w:p>
            <w:pPr>
              <w:spacing w:after="0"/>
              <w:rPr>
                <w:sz w:val="12"/>
                <w:szCs w:val="12"/>
                <w:color w:val="auto"/>
              </w:rPr>
            </w:pPr>
          </w:p>
        </w:tc>
        <w:tc>
          <w:tcPr>
            <w:tcW w:w="23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2"/>
                <w:szCs w:val="12"/>
                <w:b w:val="1"/>
                <w:bCs w:val="1"/>
                <w:color w:val="auto"/>
              </w:rPr>
              <w:t>Three Months Ended June 30,</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9"/>
              </w:rPr>
              <w:t>Dollar</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30"/>
        </w:trPr>
        <w:tc>
          <w:tcPr>
            <w:tcW w:w="4260" w:type="dxa"/>
            <w:vAlign w:val="bottom"/>
            <w:tcBorders>
              <w:bottom w:val="single" w:sz="8" w:color="CCEC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7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86"/>
              <w:spacing w:after="0" w:line="130" w:lineRule="exact"/>
              <w:rPr>
                <w:sz w:val="20"/>
                <w:szCs w:val="20"/>
                <w:color w:val="auto"/>
              </w:rPr>
            </w:pPr>
            <w:r>
              <w:rPr>
                <w:rFonts w:ascii="Arial" w:cs="Arial" w:eastAsia="Arial" w:hAnsi="Arial"/>
                <w:sz w:val="12"/>
                <w:szCs w:val="12"/>
                <w:b w:val="1"/>
                <w:bCs w:val="1"/>
                <w:color w:val="auto"/>
                <w:w w:val="95"/>
              </w:rPr>
              <w:t>Change</w:t>
            </w:r>
          </w:p>
        </w:tc>
        <w:tc>
          <w:tcPr>
            <w:tcW w:w="240" w:type="dxa"/>
            <w:vAlign w:val="bottom"/>
            <w:tcBorders>
              <w:bottom w:val="single" w:sz="8" w:color="CCECFF"/>
            </w:tcBorders>
          </w:tcPr>
          <w:p>
            <w:pPr>
              <w:spacing w:after="0"/>
              <w:rPr>
                <w:sz w:val="11"/>
                <w:szCs w:val="11"/>
                <w:color w:val="auto"/>
              </w:rPr>
            </w:pPr>
          </w:p>
        </w:tc>
        <w:tc>
          <w:tcPr>
            <w:tcW w:w="130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160" w:type="dxa"/>
            <w:vAlign w:val="bottom"/>
            <w:tcBorders>
              <w:bottom w:val="single" w:sz="8" w:color="CCECFF"/>
            </w:tcBorders>
          </w:tcPr>
          <w:p>
            <w:pPr>
              <w:spacing w:after="0"/>
              <w:rPr>
                <w:sz w:val="11"/>
                <w:szCs w:val="11"/>
                <w:color w:val="auto"/>
              </w:rPr>
            </w:pPr>
          </w:p>
        </w:tc>
      </w:tr>
      <w:tr>
        <w:trPr>
          <w:trHeight w:val="188"/>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Crysvita</w:t>
            </w:r>
          </w:p>
        </w:tc>
        <w:tc>
          <w:tcPr>
            <w:tcW w:w="760" w:type="dxa"/>
            <w:vAlign w:val="bottom"/>
            <w:shd w:val="clear" w:color="auto" w:fill="CCECFF"/>
          </w:tcPr>
          <w:p>
            <w:pPr>
              <w:jc w:val="right"/>
              <w:ind w:right="61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12,037</w:t>
            </w:r>
          </w:p>
        </w:tc>
        <w:tc>
          <w:tcPr>
            <w:tcW w:w="1020" w:type="dxa"/>
            <w:vAlign w:val="bottom"/>
            <w:gridSpan w:val="2"/>
            <w:shd w:val="clear" w:color="auto" w:fill="CCECFF"/>
          </w:tcPr>
          <w:p>
            <w:pPr>
              <w:jc w:val="right"/>
              <w:ind w:right="63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10,698</w:t>
            </w:r>
          </w:p>
        </w:tc>
        <w:tc>
          <w:tcPr>
            <w:tcW w:w="26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1,339</w:t>
            </w:r>
          </w:p>
        </w:tc>
        <w:tc>
          <w:tcPr>
            <w:tcW w:w="240" w:type="dxa"/>
            <w:vAlign w:val="bottom"/>
            <w:shd w:val="clear" w:color="auto" w:fill="CCECFF"/>
          </w:tcPr>
          <w:p>
            <w:pPr>
              <w:spacing w:after="0"/>
              <w:rPr>
                <w:sz w:val="16"/>
                <w:szCs w:val="16"/>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13%</w:t>
            </w:r>
          </w:p>
        </w:tc>
      </w:tr>
      <w:tr>
        <w:trPr>
          <w:trHeight w:val="196"/>
        </w:trPr>
        <w:tc>
          <w:tcPr>
            <w:tcW w:w="4260" w:type="dxa"/>
            <w:vAlign w:val="bottom"/>
          </w:tcPr>
          <w:p>
            <w:pPr>
              <w:ind w:left="420"/>
              <w:spacing w:after="0"/>
              <w:rPr>
                <w:sz w:val="20"/>
                <w:szCs w:val="20"/>
                <w:color w:val="auto"/>
              </w:rPr>
            </w:pPr>
            <w:r>
              <w:rPr>
                <w:rFonts w:ascii="Arial" w:cs="Arial" w:eastAsia="Arial" w:hAnsi="Arial"/>
                <w:sz w:val="15"/>
                <w:szCs w:val="15"/>
                <w:color w:val="auto"/>
              </w:rPr>
              <w:t>Mepsevii</w:t>
            </w: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7,030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9,218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(2,188)</w:t>
            </w:r>
          </w:p>
        </w:tc>
        <w:tc>
          <w:tcPr>
            <w:tcW w:w="1460" w:type="dxa"/>
            <w:vAlign w:val="bottom"/>
            <w:gridSpan w:val="2"/>
          </w:tcPr>
          <w:p>
            <w:pPr>
              <w:jc w:val="right"/>
              <w:ind w:right="40"/>
              <w:spacing w:after="0"/>
              <w:rPr>
                <w:sz w:val="20"/>
                <w:szCs w:val="20"/>
                <w:color w:val="auto"/>
              </w:rPr>
            </w:pPr>
            <w:r>
              <w:rPr>
                <w:rFonts w:ascii="Arial" w:cs="Arial" w:eastAsia="Arial" w:hAnsi="Arial"/>
                <w:sz w:val="15"/>
                <w:szCs w:val="15"/>
                <w:color w:val="auto"/>
              </w:rPr>
              <w:t>-24%</w:t>
            </w:r>
          </w:p>
        </w:tc>
      </w:tr>
      <w:tr>
        <w:trPr>
          <w:trHeight w:val="196"/>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UX007</w:t>
            </w:r>
          </w:p>
        </w:tc>
        <w:tc>
          <w:tcPr>
            <w:tcW w:w="760" w:type="dxa"/>
            <w:vAlign w:val="bottom"/>
            <w:shd w:val="clear" w:color="auto" w:fill="CCECFF"/>
          </w:tcPr>
          <w:p>
            <w:pPr>
              <w:spacing w:after="0"/>
              <w:rPr>
                <w:sz w:val="17"/>
                <w:szCs w:val="17"/>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11,349</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8,853</w:t>
            </w:r>
          </w:p>
        </w:tc>
        <w:tc>
          <w:tcPr>
            <w:tcW w:w="2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2,496</w:t>
            </w:r>
          </w:p>
        </w:tc>
        <w:tc>
          <w:tcPr>
            <w:tcW w:w="240" w:type="dxa"/>
            <w:vAlign w:val="bottom"/>
            <w:shd w:val="clear" w:color="auto" w:fill="CCECFF"/>
          </w:tcPr>
          <w:p>
            <w:pPr>
              <w:spacing w:after="0"/>
              <w:rPr>
                <w:sz w:val="17"/>
                <w:szCs w:val="17"/>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28%</w:t>
            </w:r>
          </w:p>
        </w:tc>
      </w:tr>
      <w:tr>
        <w:trPr>
          <w:trHeight w:val="196"/>
        </w:trPr>
        <w:tc>
          <w:tcPr>
            <w:tcW w:w="4260" w:type="dxa"/>
            <w:vAlign w:val="bottom"/>
          </w:tcPr>
          <w:p>
            <w:pPr>
              <w:ind w:left="420"/>
              <w:spacing w:after="0"/>
              <w:rPr>
                <w:sz w:val="20"/>
                <w:szCs w:val="20"/>
                <w:color w:val="auto"/>
              </w:rPr>
            </w:pPr>
            <w:r>
              <w:rPr>
                <w:rFonts w:ascii="Arial" w:cs="Arial" w:eastAsia="Arial" w:hAnsi="Arial"/>
                <w:sz w:val="15"/>
                <w:szCs w:val="15"/>
                <w:color w:val="auto"/>
              </w:rPr>
              <w:t>DTX201</w:t>
            </w: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9,380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9,380</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r>
      <w:tr>
        <w:trPr>
          <w:trHeight w:val="196"/>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DTX301</w:t>
            </w:r>
          </w:p>
        </w:tc>
        <w:tc>
          <w:tcPr>
            <w:tcW w:w="760" w:type="dxa"/>
            <w:vAlign w:val="bottom"/>
            <w:shd w:val="clear" w:color="auto" w:fill="CCECFF"/>
          </w:tcPr>
          <w:p>
            <w:pPr>
              <w:spacing w:after="0"/>
              <w:rPr>
                <w:sz w:val="17"/>
                <w:szCs w:val="17"/>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4,751</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CFF"/>
          </w:tcPr>
          <w:p>
            <w:pPr>
              <w:spacing w:after="0"/>
              <w:rPr>
                <w:sz w:val="17"/>
                <w:szCs w:val="17"/>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4,751</w:t>
            </w:r>
          </w:p>
        </w:tc>
        <w:tc>
          <w:tcPr>
            <w:tcW w:w="240" w:type="dxa"/>
            <w:vAlign w:val="bottom"/>
            <w:shd w:val="clear" w:color="auto" w:fill="CCECFF"/>
          </w:tcPr>
          <w:p>
            <w:pPr>
              <w:spacing w:after="0"/>
              <w:rPr>
                <w:sz w:val="17"/>
                <w:szCs w:val="17"/>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CFF"/>
          </w:tcPr>
          <w:p>
            <w:pPr>
              <w:spacing w:after="0"/>
              <w:rPr>
                <w:sz w:val="17"/>
                <w:szCs w:val="17"/>
                <w:color w:val="auto"/>
              </w:rPr>
            </w:pPr>
          </w:p>
        </w:tc>
      </w:tr>
      <w:tr>
        <w:trPr>
          <w:trHeight w:val="196"/>
        </w:trPr>
        <w:tc>
          <w:tcPr>
            <w:tcW w:w="4260" w:type="dxa"/>
            <w:vAlign w:val="bottom"/>
          </w:tcPr>
          <w:p>
            <w:pPr>
              <w:ind w:left="420"/>
              <w:spacing w:after="0"/>
              <w:rPr>
                <w:sz w:val="20"/>
                <w:szCs w:val="20"/>
                <w:color w:val="auto"/>
              </w:rPr>
            </w:pPr>
            <w:r>
              <w:rPr>
                <w:rFonts w:ascii="Arial" w:cs="Arial" w:eastAsia="Arial" w:hAnsi="Arial"/>
                <w:sz w:val="15"/>
                <w:szCs w:val="15"/>
                <w:color w:val="auto"/>
              </w:rPr>
              <w:t>DTX401</w:t>
            </w: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4,139</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4,139</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r>
      <w:tr>
        <w:trPr>
          <w:trHeight w:val="196"/>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Ace-ER</w:t>
            </w:r>
          </w:p>
        </w:tc>
        <w:tc>
          <w:tcPr>
            <w:tcW w:w="760" w:type="dxa"/>
            <w:vAlign w:val="bottom"/>
            <w:shd w:val="clear" w:color="auto" w:fill="CCECFF"/>
          </w:tcPr>
          <w:p>
            <w:pPr>
              <w:spacing w:after="0"/>
              <w:rPr>
                <w:sz w:val="17"/>
                <w:szCs w:val="17"/>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2,228</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10,949</w:t>
            </w:r>
          </w:p>
        </w:tc>
        <w:tc>
          <w:tcPr>
            <w:tcW w:w="2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28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(8,721)</w:t>
            </w: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-80%</w:t>
            </w:r>
          </w:p>
        </w:tc>
      </w:tr>
      <w:tr>
        <w:trPr>
          <w:trHeight w:val="196"/>
        </w:trPr>
        <w:tc>
          <w:tcPr>
            <w:tcW w:w="4260" w:type="dxa"/>
            <w:vAlign w:val="bottom"/>
            <w:tcBorders>
              <w:bottom w:val="single" w:sz="8" w:color="CCECFF"/>
            </w:tcBorders>
          </w:tcPr>
          <w:p>
            <w:pPr>
              <w:ind w:left="420"/>
              <w:spacing w:after="0"/>
              <w:rPr>
                <w:sz w:val="20"/>
                <w:szCs w:val="20"/>
                <w:color w:val="auto"/>
              </w:rPr>
            </w:pPr>
            <w:r>
              <w:rPr>
                <w:rFonts w:ascii="Arial" w:cs="Arial" w:eastAsia="Arial" w:hAnsi="Arial"/>
                <w:sz w:val="15"/>
                <w:szCs w:val="15"/>
                <w:color w:val="auto"/>
              </w:rPr>
              <w:t>Other research costs and preclinical costs</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25,921</w:t>
            </w:r>
          </w:p>
        </w:tc>
        <w:tc>
          <w:tcPr>
            <w:tcW w:w="240" w:type="dxa"/>
            <w:vAlign w:val="bottom"/>
            <w:tcBorders>
              <w:bottom w:val="single" w:sz="8" w:color="CCEC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18,718</w:t>
            </w:r>
          </w:p>
        </w:tc>
        <w:tc>
          <w:tcPr>
            <w:tcW w:w="26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7,203</w:t>
            </w:r>
          </w:p>
        </w:tc>
        <w:tc>
          <w:tcPr>
            <w:tcW w:w="240" w:type="dxa"/>
            <w:vAlign w:val="bottom"/>
            <w:tcBorders>
              <w:bottom w:val="single" w:sz="8" w:color="CCECFF"/>
            </w:tcBorders>
          </w:tcPr>
          <w:p>
            <w:pPr>
              <w:spacing w:after="0"/>
              <w:rPr>
                <w:sz w:val="17"/>
                <w:szCs w:val="17"/>
                <w:color w:val="auto"/>
              </w:rPr>
            </w:pPr>
          </w:p>
        </w:tc>
        <w:tc>
          <w:tcPr>
            <w:tcW w:w="146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5"/>
                <w:szCs w:val="15"/>
                <w:color w:val="auto"/>
              </w:rPr>
              <w:t>38%</w:t>
            </w:r>
          </w:p>
        </w:tc>
      </w:tr>
      <w:tr>
        <w:trPr>
          <w:trHeight w:val="188"/>
        </w:trPr>
        <w:tc>
          <w:tcPr>
            <w:tcW w:w="42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5"/>
                <w:szCs w:val="15"/>
                <w:color w:val="auto"/>
              </w:rPr>
              <w:t>Total research and development expenses</w:t>
            </w:r>
          </w:p>
        </w:tc>
        <w:tc>
          <w:tcPr>
            <w:tcW w:w="760" w:type="dxa"/>
            <w:vAlign w:val="bottom"/>
            <w:tcBorders>
              <w:bottom w:val="single" w:sz="8" w:color="auto"/>
            </w:tcBorders>
            <w:shd w:val="clear" w:color="auto" w:fill="CCECFF"/>
          </w:tcPr>
          <w:p>
            <w:pPr>
              <w:jc w:val="right"/>
              <w:ind w:right="611"/>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76,835</w:t>
            </w:r>
          </w:p>
        </w:tc>
        <w:tc>
          <w:tcPr>
            <w:tcW w:w="240" w:type="dxa"/>
            <w:vAlign w:val="bottom"/>
            <w:tcBorders>
              <w:bottom w:val="single" w:sz="8" w:color="CCECFF"/>
            </w:tcBorders>
            <w:shd w:val="clear" w:color="auto" w:fill="CCECFF"/>
          </w:tcPr>
          <w:p>
            <w:pPr>
              <w:spacing w:after="0"/>
              <w:rPr>
                <w:sz w:val="16"/>
                <w:szCs w:val="16"/>
                <w:color w:val="auto"/>
              </w:rPr>
            </w:pPr>
          </w:p>
        </w:tc>
        <w:tc>
          <w:tcPr>
            <w:tcW w:w="780" w:type="dxa"/>
            <w:vAlign w:val="bottom"/>
            <w:tcBorders>
              <w:bottom w:val="single" w:sz="8" w:color="auto"/>
            </w:tcBorders>
            <w:shd w:val="clear" w:color="auto" w:fill="CCECFF"/>
          </w:tcPr>
          <w:p>
            <w:pPr>
              <w:jc w:val="right"/>
              <w:ind w:right="63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58,436</w:t>
            </w:r>
          </w:p>
        </w:tc>
        <w:tc>
          <w:tcPr>
            <w:tcW w:w="26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auto"/>
            </w:tcBorders>
            <w:shd w:val="clear" w:color="auto" w:fill="CCECFF"/>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rPr>
              <w:t>18,399</w:t>
            </w:r>
          </w:p>
        </w:tc>
        <w:tc>
          <w:tcPr>
            <w:tcW w:w="240" w:type="dxa"/>
            <w:vAlign w:val="bottom"/>
            <w:tcBorders>
              <w:bottom w:val="single" w:sz="8" w:color="CCECFF"/>
            </w:tcBorders>
            <w:shd w:val="clear" w:color="auto" w:fill="CCECFF"/>
          </w:tcPr>
          <w:p>
            <w:pPr>
              <w:spacing w:after="0"/>
              <w:rPr>
                <w:sz w:val="16"/>
                <w:szCs w:val="16"/>
                <w:color w:val="auto"/>
              </w:rPr>
            </w:pPr>
          </w:p>
        </w:tc>
        <w:tc>
          <w:tcPr>
            <w:tcW w:w="14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31%</w:t>
            </w:r>
          </w:p>
        </w:tc>
      </w:tr>
      <w:tr>
        <w:trPr>
          <w:trHeight w:val="20"/>
        </w:trPr>
        <w:tc>
          <w:tcPr>
            <w:tcW w:w="42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5"/>
        </w:trPr>
        <w:tc>
          <w:tcPr>
            <w:tcW w:w="426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2"/>
                <w:szCs w:val="12"/>
                <w:b w:val="1"/>
                <w:bCs w:val="1"/>
                <w:color w:val="auto"/>
              </w:rPr>
              <w:t>Six Months Ended June 30,</w:t>
            </w:r>
          </w:p>
        </w:tc>
        <w:tc>
          <w:tcPr>
            <w:tcW w:w="5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9"/>
              </w:rPr>
              <w:t>Dollar</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24"/>
                <w:szCs w:val="24"/>
                <w:color w:val="auto"/>
              </w:rPr>
            </w:pPr>
          </w:p>
        </w:tc>
      </w:tr>
      <w:tr>
        <w:trPr>
          <w:trHeight w:val="130"/>
        </w:trPr>
        <w:tc>
          <w:tcPr>
            <w:tcW w:w="4260" w:type="dxa"/>
            <w:vAlign w:val="bottom"/>
            <w:tcBorders>
              <w:bottom w:val="single" w:sz="8" w:color="CCEC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7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86"/>
              <w:spacing w:after="0" w:line="130" w:lineRule="exact"/>
              <w:rPr>
                <w:sz w:val="20"/>
                <w:szCs w:val="20"/>
                <w:color w:val="auto"/>
              </w:rPr>
            </w:pPr>
            <w:r>
              <w:rPr>
                <w:rFonts w:ascii="Arial" w:cs="Arial" w:eastAsia="Arial" w:hAnsi="Arial"/>
                <w:sz w:val="12"/>
                <w:szCs w:val="12"/>
                <w:b w:val="1"/>
                <w:bCs w:val="1"/>
                <w:color w:val="auto"/>
                <w:w w:val="95"/>
              </w:rPr>
              <w:t>Change</w:t>
            </w:r>
          </w:p>
        </w:tc>
        <w:tc>
          <w:tcPr>
            <w:tcW w:w="240" w:type="dxa"/>
            <w:vAlign w:val="bottom"/>
            <w:tcBorders>
              <w:bottom w:val="single" w:sz="8" w:color="CCECFF"/>
            </w:tcBorders>
          </w:tcPr>
          <w:p>
            <w:pPr>
              <w:spacing w:after="0"/>
              <w:rPr>
                <w:sz w:val="11"/>
                <w:szCs w:val="11"/>
                <w:color w:val="auto"/>
              </w:rPr>
            </w:pPr>
          </w:p>
        </w:tc>
        <w:tc>
          <w:tcPr>
            <w:tcW w:w="130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160" w:type="dxa"/>
            <w:vAlign w:val="bottom"/>
            <w:tcBorders>
              <w:bottom w:val="single" w:sz="8" w:color="CCECFF"/>
            </w:tcBorders>
          </w:tcPr>
          <w:p>
            <w:pPr>
              <w:spacing w:after="0"/>
              <w:rPr>
                <w:sz w:val="11"/>
                <w:szCs w:val="11"/>
                <w:color w:val="auto"/>
              </w:rPr>
            </w:pPr>
          </w:p>
        </w:tc>
      </w:tr>
      <w:tr>
        <w:trPr>
          <w:trHeight w:val="188"/>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Crysvita</w:t>
            </w:r>
          </w:p>
        </w:tc>
        <w:tc>
          <w:tcPr>
            <w:tcW w:w="760" w:type="dxa"/>
            <w:vAlign w:val="bottom"/>
            <w:shd w:val="clear" w:color="auto" w:fill="CCECFF"/>
          </w:tcPr>
          <w:p>
            <w:pPr>
              <w:jc w:val="right"/>
              <w:ind w:right="61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23,260</w:t>
            </w:r>
          </w:p>
        </w:tc>
        <w:tc>
          <w:tcPr>
            <w:tcW w:w="1020" w:type="dxa"/>
            <w:vAlign w:val="bottom"/>
            <w:gridSpan w:val="2"/>
            <w:shd w:val="clear" w:color="auto" w:fill="CCECFF"/>
          </w:tcPr>
          <w:p>
            <w:pPr>
              <w:jc w:val="right"/>
              <w:ind w:right="63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20,392</w:t>
            </w:r>
          </w:p>
        </w:tc>
        <w:tc>
          <w:tcPr>
            <w:tcW w:w="26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2,868</w:t>
            </w:r>
          </w:p>
        </w:tc>
        <w:tc>
          <w:tcPr>
            <w:tcW w:w="240" w:type="dxa"/>
            <w:vAlign w:val="bottom"/>
            <w:shd w:val="clear" w:color="auto" w:fill="CCECFF"/>
          </w:tcPr>
          <w:p>
            <w:pPr>
              <w:spacing w:after="0"/>
              <w:rPr>
                <w:sz w:val="16"/>
                <w:szCs w:val="16"/>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14%</w:t>
            </w:r>
          </w:p>
        </w:tc>
      </w:tr>
      <w:tr>
        <w:trPr>
          <w:trHeight w:val="196"/>
        </w:trPr>
        <w:tc>
          <w:tcPr>
            <w:tcW w:w="4260" w:type="dxa"/>
            <w:vAlign w:val="bottom"/>
          </w:tcPr>
          <w:p>
            <w:pPr>
              <w:ind w:left="420"/>
              <w:spacing w:after="0"/>
              <w:rPr>
                <w:sz w:val="20"/>
                <w:szCs w:val="20"/>
                <w:color w:val="auto"/>
              </w:rPr>
            </w:pPr>
            <w:r>
              <w:rPr>
                <w:rFonts w:ascii="Arial" w:cs="Arial" w:eastAsia="Arial" w:hAnsi="Arial"/>
                <w:sz w:val="15"/>
                <w:szCs w:val="15"/>
                <w:color w:val="auto"/>
              </w:rPr>
              <w:t>Mepsevii</w:t>
            </w: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13,363</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17,644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(4,281)</w:t>
            </w:r>
          </w:p>
        </w:tc>
        <w:tc>
          <w:tcPr>
            <w:tcW w:w="1460" w:type="dxa"/>
            <w:vAlign w:val="bottom"/>
            <w:gridSpan w:val="2"/>
          </w:tcPr>
          <w:p>
            <w:pPr>
              <w:jc w:val="right"/>
              <w:ind w:right="40"/>
              <w:spacing w:after="0"/>
              <w:rPr>
                <w:sz w:val="20"/>
                <w:szCs w:val="20"/>
                <w:color w:val="auto"/>
              </w:rPr>
            </w:pPr>
            <w:r>
              <w:rPr>
                <w:rFonts w:ascii="Arial" w:cs="Arial" w:eastAsia="Arial" w:hAnsi="Arial"/>
                <w:sz w:val="15"/>
                <w:szCs w:val="15"/>
                <w:color w:val="auto"/>
              </w:rPr>
              <w:t>-24%</w:t>
            </w:r>
          </w:p>
        </w:tc>
      </w:tr>
      <w:tr>
        <w:trPr>
          <w:trHeight w:val="196"/>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UX007</w:t>
            </w:r>
          </w:p>
        </w:tc>
        <w:tc>
          <w:tcPr>
            <w:tcW w:w="760" w:type="dxa"/>
            <w:vAlign w:val="bottom"/>
            <w:shd w:val="clear" w:color="auto" w:fill="CCECFF"/>
          </w:tcPr>
          <w:p>
            <w:pPr>
              <w:spacing w:after="0"/>
              <w:rPr>
                <w:sz w:val="17"/>
                <w:szCs w:val="17"/>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23,292</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19,596</w:t>
            </w:r>
          </w:p>
        </w:tc>
        <w:tc>
          <w:tcPr>
            <w:tcW w:w="2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3,696</w:t>
            </w:r>
          </w:p>
        </w:tc>
        <w:tc>
          <w:tcPr>
            <w:tcW w:w="240" w:type="dxa"/>
            <w:vAlign w:val="bottom"/>
            <w:shd w:val="clear" w:color="auto" w:fill="CCECFF"/>
          </w:tcPr>
          <w:p>
            <w:pPr>
              <w:spacing w:after="0"/>
              <w:rPr>
                <w:sz w:val="17"/>
                <w:szCs w:val="17"/>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19%</w:t>
            </w:r>
          </w:p>
        </w:tc>
      </w:tr>
      <w:tr>
        <w:trPr>
          <w:trHeight w:val="196"/>
        </w:trPr>
        <w:tc>
          <w:tcPr>
            <w:tcW w:w="4260" w:type="dxa"/>
            <w:vAlign w:val="bottom"/>
          </w:tcPr>
          <w:p>
            <w:pPr>
              <w:ind w:left="420"/>
              <w:spacing w:after="0"/>
              <w:rPr>
                <w:sz w:val="20"/>
                <w:szCs w:val="20"/>
                <w:color w:val="auto"/>
              </w:rPr>
            </w:pPr>
            <w:r>
              <w:rPr>
                <w:rFonts w:ascii="Arial" w:cs="Arial" w:eastAsia="Arial" w:hAnsi="Arial"/>
                <w:sz w:val="15"/>
                <w:szCs w:val="15"/>
                <w:color w:val="auto"/>
              </w:rPr>
              <w:t>DTX201</w:t>
            </w: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19,340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19,340</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r>
      <w:tr>
        <w:trPr>
          <w:trHeight w:val="196"/>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DTX301</w:t>
            </w:r>
          </w:p>
        </w:tc>
        <w:tc>
          <w:tcPr>
            <w:tcW w:w="760" w:type="dxa"/>
            <w:vAlign w:val="bottom"/>
            <w:shd w:val="clear" w:color="auto" w:fill="CCECFF"/>
          </w:tcPr>
          <w:p>
            <w:pPr>
              <w:spacing w:after="0"/>
              <w:rPr>
                <w:sz w:val="17"/>
                <w:szCs w:val="17"/>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8,177</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760" w:type="dxa"/>
            <w:vAlign w:val="bottom"/>
            <w:gridSpan w:val="2"/>
            <w:shd w:val="clear" w:color="auto" w:fill="CCECFF"/>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CFF"/>
          </w:tcPr>
          <w:p>
            <w:pPr>
              <w:spacing w:after="0"/>
              <w:rPr>
                <w:sz w:val="17"/>
                <w:szCs w:val="17"/>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8,177</w:t>
            </w:r>
          </w:p>
        </w:tc>
        <w:tc>
          <w:tcPr>
            <w:tcW w:w="240" w:type="dxa"/>
            <w:vAlign w:val="bottom"/>
            <w:shd w:val="clear" w:color="auto" w:fill="CCECFF"/>
          </w:tcPr>
          <w:p>
            <w:pPr>
              <w:spacing w:after="0"/>
              <w:rPr>
                <w:sz w:val="17"/>
                <w:szCs w:val="17"/>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CFF"/>
          </w:tcPr>
          <w:p>
            <w:pPr>
              <w:spacing w:after="0"/>
              <w:rPr>
                <w:sz w:val="17"/>
                <w:szCs w:val="17"/>
                <w:color w:val="auto"/>
              </w:rPr>
            </w:pPr>
          </w:p>
        </w:tc>
      </w:tr>
      <w:tr>
        <w:trPr>
          <w:trHeight w:val="196"/>
        </w:trPr>
        <w:tc>
          <w:tcPr>
            <w:tcW w:w="4260" w:type="dxa"/>
            <w:vAlign w:val="bottom"/>
          </w:tcPr>
          <w:p>
            <w:pPr>
              <w:ind w:left="420"/>
              <w:spacing w:after="0"/>
              <w:rPr>
                <w:sz w:val="20"/>
                <w:szCs w:val="20"/>
                <w:color w:val="auto"/>
              </w:rPr>
            </w:pPr>
            <w:r>
              <w:rPr>
                <w:rFonts w:ascii="Arial" w:cs="Arial" w:eastAsia="Arial" w:hAnsi="Arial"/>
                <w:sz w:val="15"/>
                <w:szCs w:val="15"/>
                <w:color w:val="auto"/>
              </w:rPr>
              <w:t>DTX401</w:t>
            </w:r>
          </w:p>
        </w:tc>
        <w:tc>
          <w:tcPr>
            <w:tcW w:w="7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10,097</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10,097</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r>
      <w:tr>
        <w:trPr>
          <w:trHeight w:val="196"/>
        </w:trPr>
        <w:tc>
          <w:tcPr>
            <w:tcW w:w="4260" w:type="dxa"/>
            <w:vAlign w:val="bottom"/>
            <w:shd w:val="clear" w:color="auto" w:fill="CCECFF"/>
          </w:tcPr>
          <w:p>
            <w:pPr>
              <w:ind w:left="420"/>
              <w:spacing w:after="0"/>
              <w:rPr>
                <w:sz w:val="20"/>
                <w:szCs w:val="20"/>
                <w:color w:val="auto"/>
              </w:rPr>
            </w:pPr>
            <w:r>
              <w:rPr>
                <w:rFonts w:ascii="Arial" w:cs="Arial" w:eastAsia="Arial" w:hAnsi="Arial"/>
                <w:sz w:val="15"/>
                <w:szCs w:val="15"/>
                <w:color w:val="auto"/>
              </w:rPr>
              <w:t>Ace-ER</w:t>
            </w:r>
          </w:p>
        </w:tc>
        <w:tc>
          <w:tcPr>
            <w:tcW w:w="760" w:type="dxa"/>
            <w:vAlign w:val="bottom"/>
            <w:shd w:val="clear" w:color="auto" w:fill="CCECFF"/>
          </w:tcPr>
          <w:p>
            <w:pPr>
              <w:spacing w:after="0"/>
              <w:rPr>
                <w:sz w:val="17"/>
                <w:szCs w:val="17"/>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5,109</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17,186</w:t>
            </w:r>
          </w:p>
        </w:tc>
        <w:tc>
          <w:tcPr>
            <w:tcW w:w="2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28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(12,077)</w:t>
            </w: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-70%</w:t>
            </w:r>
          </w:p>
        </w:tc>
      </w:tr>
      <w:tr>
        <w:trPr>
          <w:trHeight w:val="196"/>
        </w:trPr>
        <w:tc>
          <w:tcPr>
            <w:tcW w:w="4260" w:type="dxa"/>
            <w:vAlign w:val="bottom"/>
            <w:tcBorders>
              <w:bottom w:val="single" w:sz="8" w:color="CCECFF"/>
            </w:tcBorders>
          </w:tcPr>
          <w:p>
            <w:pPr>
              <w:ind w:left="420"/>
              <w:spacing w:after="0"/>
              <w:rPr>
                <w:sz w:val="20"/>
                <w:szCs w:val="20"/>
                <w:color w:val="auto"/>
              </w:rPr>
            </w:pPr>
            <w:r>
              <w:rPr>
                <w:rFonts w:ascii="Arial" w:cs="Arial" w:eastAsia="Arial" w:hAnsi="Arial"/>
                <w:sz w:val="15"/>
                <w:szCs w:val="15"/>
                <w:color w:val="auto"/>
              </w:rPr>
              <w:t>Other research costs and preclinical costs</w:t>
            </w: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49,701</w:t>
            </w:r>
          </w:p>
        </w:tc>
        <w:tc>
          <w:tcPr>
            <w:tcW w:w="240" w:type="dxa"/>
            <w:vAlign w:val="bottom"/>
            <w:tcBorders>
              <w:bottom w:val="single" w:sz="8" w:color="CCEC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34,887</w:t>
            </w:r>
          </w:p>
        </w:tc>
        <w:tc>
          <w:tcPr>
            <w:tcW w:w="26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14,814</w:t>
            </w:r>
          </w:p>
        </w:tc>
        <w:tc>
          <w:tcPr>
            <w:tcW w:w="240" w:type="dxa"/>
            <w:vAlign w:val="bottom"/>
            <w:tcBorders>
              <w:bottom w:val="single" w:sz="8" w:color="CCECFF"/>
            </w:tcBorders>
          </w:tcPr>
          <w:p>
            <w:pPr>
              <w:spacing w:after="0"/>
              <w:rPr>
                <w:sz w:val="17"/>
                <w:szCs w:val="17"/>
                <w:color w:val="auto"/>
              </w:rPr>
            </w:pPr>
          </w:p>
        </w:tc>
        <w:tc>
          <w:tcPr>
            <w:tcW w:w="146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5"/>
                <w:szCs w:val="15"/>
                <w:color w:val="auto"/>
              </w:rPr>
              <w:t>42%</w:t>
            </w:r>
          </w:p>
        </w:tc>
      </w:tr>
      <w:tr>
        <w:trPr>
          <w:trHeight w:val="188"/>
        </w:trPr>
        <w:tc>
          <w:tcPr>
            <w:tcW w:w="4260" w:type="dxa"/>
            <w:vAlign w:val="bottom"/>
            <w:shd w:val="clear" w:color="auto" w:fill="CCECFF"/>
          </w:tcPr>
          <w:p>
            <w:pPr>
              <w:spacing w:after="0"/>
              <w:rPr>
                <w:sz w:val="20"/>
                <w:szCs w:val="20"/>
                <w:color w:val="auto"/>
              </w:rPr>
            </w:pPr>
            <w:r>
              <w:rPr>
                <w:rFonts w:ascii="Arial" w:cs="Arial" w:eastAsia="Arial" w:hAnsi="Arial"/>
                <w:sz w:val="15"/>
                <w:szCs w:val="15"/>
                <w:color w:val="auto"/>
              </w:rPr>
              <w:t>Total research and development expenses</w:t>
            </w:r>
          </w:p>
        </w:tc>
        <w:tc>
          <w:tcPr>
            <w:tcW w:w="760" w:type="dxa"/>
            <w:vAlign w:val="bottom"/>
            <w:shd w:val="clear" w:color="auto" w:fill="CCECFF"/>
          </w:tcPr>
          <w:p>
            <w:pPr>
              <w:jc w:val="right"/>
              <w:ind w:right="611"/>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92"/>
              </w:rPr>
              <w:t>152,339</w:t>
            </w:r>
          </w:p>
        </w:tc>
        <w:tc>
          <w:tcPr>
            <w:tcW w:w="1020" w:type="dxa"/>
            <w:vAlign w:val="bottom"/>
            <w:gridSpan w:val="2"/>
            <w:shd w:val="clear" w:color="auto" w:fill="CCECFF"/>
          </w:tcPr>
          <w:p>
            <w:pPr>
              <w:jc w:val="right"/>
              <w:ind w:right="63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5"/>
                <w:szCs w:val="15"/>
                <w:color w:val="auto"/>
                <w:w w:val="88"/>
              </w:rPr>
              <w:t>109,705</w:t>
            </w:r>
          </w:p>
        </w:tc>
        <w:tc>
          <w:tcPr>
            <w:tcW w:w="26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1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42,634</w:t>
            </w:r>
          </w:p>
        </w:tc>
        <w:tc>
          <w:tcPr>
            <w:tcW w:w="240" w:type="dxa"/>
            <w:vAlign w:val="bottom"/>
            <w:shd w:val="clear" w:color="auto" w:fill="CCECFF"/>
          </w:tcPr>
          <w:p>
            <w:pPr>
              <w:spacing w:after="0"/>
              <w:rPr>
                <w:sz w:val="16"/>
                <w:szCs w:val="16"/>
                <w:color w:val="auto"/>
              </w:rPr>
            </w:pPr>
          </w:p>
        </w:tc>
        <w:tc>
          <w:tcPr>
            <w:tcW w:w="14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39%</w:t>
            </w:r>
          </w:p>
        </w:tc>
      </w:tr>
      <w:tr>
        <w:trPr>
          <w:trHeight w:val="20"/>
        </w:trPr>
        <w:tc>
          <w:tcPr>
            <w:tcW w:w="4260" w:type="dxa"/>
            <w:vAlign w:val="bottom"/>
            <w:tcBorders>
              <w:top w:val="single" w:sz="8" w:color="CCEC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13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r>
    </w:tbl>
    <w:p>
      <w:pPr>
        <w:spacing w:after="0" w:line="174" w:lineRule="exact"/>
        <w:rPr>
          <w:sz w:val="20"/>
          <w:szCs w:val="20"/>
          <w:color w:val="auto"/>
        </w:rPr>
      </w:pPr>
    </w:p>
    <w:p>
      <w:pPr>
        <w:ind w:right="60" w:firstLine="520"/>
        <w:spacing w:after="0" w:line="288" w:lineRule="auto"/>
        <w:rPr>
          <w:sz w:val="20"/>
          <w:szCs w:val="20"/>
          <w:color w:val="auto"/>
        </w:rPr>
      </w:pPr>
      <w:r>
        <w:rPr>
          <w:rFonts w:ascii="Arial" w:cs="Arial" w:eastAsia="Arial" w:hAnsi="Arial"/>
          <w:sz w:val="15"/>
          <w:szCs w:val="15"/>
          <w:color w:val="auto"/>
        </w:rPr>
        <w:t>Research and development expenses increased $18.4 million and $42.6 million for the three and six months ended June 30, 2018, respectively, compared to the same periods in 2017. The increase in research and development expenses is primarily due to:</w:t>
      </w:r>
    </w:p>
    <w:p>
      <w:pPr>
        <w:spacing w:after="0" w:line="13" w:lineRule="exact"/>
        <w:rPr>
          <w:sz w:val="20"/>
          <w:szCs w:val="20"/>
          <w:color w:val="auto"/>
        </w:rPr>
      </w:pPr>
    </w:p>
    <w:p>
      <w:pPr>
        <w:ind w:left="900" w:right="120" w:hanging="389"/>
        <w:spacing w:after="0" w:line="288"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Crysvita, an increase of $1.3 million and $2.9 million for the three and six months ended June 30, 2018, respectively, related to patient diagnosis efforts, medical and scientific education expense, and regulatory filing preparation costs, net of KHK reimbursement;</w:t>
      </w:r>
    </w:p>
    <w:p>
      <w:pPr>
        <w:spacing w:after="0" w:line="12" w:lineRule="exact"/>
        <w:rPr>
          <w:rFonts w:ascii="Arial" w:cs="Arial" w:eastAsia="Arial" w:hAnsi="Arial"/>
          <w:sz w:val="15"/>
          <w:szCs w:val="15"/>
          <w:color w:val="auto"/>
        </w:rPr>
      </w:pPr>
    </w:p>
    <w:p>
      <w:pPr>
        <w:ind w:left="900" w:right="320" w:hanging="389"/>
        <w:spacing w:after="0" w:line="288"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Mepsevii, a decrease of $2.2 million and $4.3 million for the three and six months ended June 30, 2018, respectively, related to the post-approval capitalization of manufacturing expenses and reduced clinical trial activity with the progressive completion of our extension studies;</w:t>
      </w:r>
    </w:p>
    <w:p>
      <w:pPr>
        <w:spacing w:after="0" w:line="12" w:lineRule="exact"/>
        <w:rPr>
          <w:rFonts w:ascii="Arial" w:cs="Arial" w:eastAsia="Arial" w:hAnsi="Arial"/>
          <w:sz w:val="15"/>
          <w:szCs w:val="15"/>
          <w:color w:val="auto"/>
        </w:rPr>
      </w:pPr>
    </w:p>
    <w:p>
      <w:pPr>
        <w:ind w:left="900" w:right="240" w:hanging="389"/>
        <w:spacing w:after="0" w:line="288"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UX007, an increase of $2.5 million and $3.7 million for the three and six months ended June 30, 2018, respectively, primarily related to the conduct of our Phase 3 movement disorder study and regulatory filing preparation activities;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20" w:name="page21"/>
    <w:bookmarkEnd w:id="20"/>
    <w:p>
      <w:pPr>
        <w:ind w:left="900" w:hanging="389"/>
        <w:spacing w:after="0" w:line="272"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for DTX201, $9.4 million and $19.3 million for the three and six months ended June 30, 2018, respectively, primarily related to clinical manufacturing expense, IND filing preparation expense, and amortization of the intangible asset related to our Bayer collaboration agreement; as the program costs are reflected only after the acquisition of Dimension in November 2017, there is no previous year basis of comparison;</w:t>
      </w:r>
    </w:p>
    <w:p>
      <w:pPr>
        <w:spacing w:after="0" w:line="24" w:lineRule="exact"/>
        <w:rPr>
          <w:rFonts w:ascii="Arial" w:cs="Arial" w:eastAsia="Arial" w:hAnsi="Arial"/>
          <w:sz w:val="15"/>
          <w:szCs w:val="15"/>
          <w:color w:val="auto"/>
        </w:rPr>
      </w:pPr>
    </w:p>
    <w:p>
      <w:pPr>
        <w:jc w:val="both"/>
        <w:ind w:left="900" w:right="420" w:hanging="389"/>
        <w:spacing w:after="0" w:line="342" w:lineRule="auto"/>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for DTX301, $4.8 million and $8.2 million for the three and six months ended June 30, 2018, respectively, related to the conduct of the Phase 1/2 study and clinical manufacturing expense; as the program costs are reflected only after the acquisition of Dimension in November 2017, there is no previous year basis of comparison;</w:t>
      </w:r>
    </w:p>
    <w:p>
      <w:pPr>
        <w:ind w:left="900" w:right="80" w:hanging="389"/>
        <w:spacing w:after="0" w:line="272"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for DTX401, $4.1 million and $10.1 million for the three and six months ended June 30, 2018, respectively, related to clinical manufacturing expense, IND filing preparation expense, and preparations for our Phase 1/2 clinical study; as the program costs are reflected only after the acquisition of Dimension in November 2017, there is no previous year basis of comparison;</w:t>
      </w:r>
    </w:p>
    <w:p>
      <w:pPr>
        <w:spacing w:after="0" w:line="24" w:lineRule="exact"/>
        <w:rPr>
          <w:rFonts w:ascii="Arial" w:cs="Arial" w:eastAsia="Arial" w:hAnsi="Arial"/>
          <w:sz w:val="15"/>
          <w:szCs w:val="15"/>
          <w:color w:val="auto"/>
        </w:rPr>
      </w:pPr>
    </w:p>
    <w:p>
      <w:pPr>
        <w:ind w:left="900" w:right="220" w:hanging="389"/>
        <w:spacing w:after="0" w:line="288"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for Ace-ER, a decrease of $8.7 million and $12.1 million for the three and six months ended June 30, 2018, respectively, due to a reduction in our spend on the Ace-ER program as a consequence of our decision to terminate the program in August 2017; and</w:t>
      </w:r>
    </w:p>
    <w:p>
      <w:pPr>
        <w:spacing w:after="0" w:line="12" w:lineRule="exact"/>
        <w:rPr>
          <w:rFonts w:ascii="Arial" w:cs="Arial" w:eastAsia="Arial" w:hAnsi="Arial"/>
          <w:sz w:val="15"/>
          <w:szCs w:val="15"/>
          <w:color w:val="auto"/>
        </w:rPr>
      </w:pPr>
    </w:p>
    <w:p>
      <w:pPr>
        <w:ind w:left="900" w:right="60" w:hanging="389"/>
        <w:spacing w:after="0" w:line="272"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 increase of $7.2 million and $14.8 million for the three and six months ended June 30, 2018, respectively, in other research and development costs including operating expenses related to our research stage programs and research collaborations (including programs acquired with the Dimension acquisition), general expenses in support of our clinical and research program pipelines, and certain cost allocations.</w:t>
      </w:r>
    </w:p>
    <w:p>
      <w:pPr>
        <w:spacing w:after="0" w:line="25" w:lineRule="exact"/>
        <w:rPr>
          <w:sz w:val="20"/>
          <w:szCs w:val="20"/>
          <w:color w:val="auto"/>
        </w:rPr>
      </w:pPr>
    </w:p>
    <w:p>
      <w:pPr>
        <w:ind w:right="280" w:firstLine="520"/>
        <w:spacing w:after="0" w:line="272" w:lineRule="auto"/>
        <w:rPr>
          <w:sz w:val="20"/>
          <w:szCs w:val="20"/>
          <w:color w:val="auto"/>
        </w:rPr>
      </w:pPr>
      <w:r>
        <w:rPr>
          <w:rFonts w:ascii="Arial" w:cs="Arial" w:eastAsia="Arial" w:hAnsi="Arial"/>
          <w:sz w:val="15"/>
          <w:szCs w:val="15"/>
          <w:color w:val="auto"/>
        </w:rPr>
        <w:t>We expect our research and development expenses to increase in the future as we advance our product candidates through clinical development. The timing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Selling, General and Administrative Expenses (dollars in thousands)</w:t>
      </w: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4420" w:type="dxa"/>
            <w:vAlign w:val="bottom"/>
          </w:tcPr>
          <w:p>
            <w:pPr>
              <w:spacing w:after="0"/>
              <w:rPr>
                <w:sz w:val="12"/>
                <w:szCs w:val="12"/>
                <w:color w:val="auto"/>
              </w:rPr>
            </w:pPr>
          </w:p>
        </w:tc>
        <w:tc>
          <w:tcPr>
            <w:tcW w:w="228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2"/>
                <w:szCs w:val="12"/>
                <w:b w:val="1"/>
                <w:bCs w:val="1"/>
                <w:color w:val="auto"/>
              </w:rPr>
              <w:t>Three Months Ended June 30,</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Dollar</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30"/>
        </w:trPr>
        <w:tc>
          <w:tcPr>
            <w:tcW w:w="4420" w:type="dxa"/>
            <w:vAlign w:val="bottom"/>
            <w:tcBorders>
              <w:bottom w:val="single" w:sz="8" w:color="CCECFF"/>
            </w:tcBorders>
          </w:tcPr>
          <w:p>
            <w:pPr>
              <w:spacing w:after="0"/>
              <w:rPr>
                <w:sz w:val="11"/>
                <w:szCs w:val="11"/>
                <w:color w:val="auto"/>
              </w:rPr>
            </w:pPr>
          </w:p>
        </w:tc>
        <w:tc>
          <w:tcPr>
            <w:tcW w:w="7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73"/>
              <w:spacing w:after="0" w:line="130" w:lineRule="exact"/>
              <w:rPr>
                <w:sz w:val="20"/>
                <w:szCs w:val="20"/>
                <w:color w:val="auto"/>
              </w:rPr>
            </w:pPr>
            <w:r>
              <w:rPr>
                <w:rFonts w:ascii="Arial" w:cs="Arial" w:eastAsia="Arial" w:hAnsi="Arial"/>
                <w:sz w:val="12"/>
                <w:szCs w:val="12"/>
                <w:b w:val="1"/>
                <w:bCs w:val="1"/>
                <w:color w:val="auto"/>
                <w:w w:val="90"/>
              </w:rPr>
              <w:t>Change</w:t>
            </w:r>
          </w:p>
        </w:tc>
        <w:tc>
          <w:tcPr>
            <w:tcW w:w="280" w:type="dxa"/>
            <w:vAlign w:val="bottom"/>
            <w:tcBorders>
              <w:bottom w:val="single" w:sz="8" w:color="CCECFF"/>
            </w:tcBorders>
          </w:tcPr>
          <w:p>
            <w:pPr>
              <w:spacing w:after="0"/>
              <w:rPr>
                <w:sz w:val="11"/>
                <w:szCs w:val="11"/>
                <w:color w:val="auto"/>
              </w:rPr>
            </w:pPr>
          </w:p>
        </w:tc>
        <w:tc>
          <w:tcPr>
            <w:tcW w:w="120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160" w:type="dxa"/>
            <w:vAlign w:val="bottom"/>
            <w:tcBorders>
              <w:bottom w:val="single" w:sz="8" w:color="CCECFF"/>
            </w:tcBorders>
          </w:tcPr>
          <w:p>
            <w:pPr>
              <w:spacing w:after="0"/>
              <w:rPr>
                <w:sz w:val="11"/>
                <w:szCs w:val="11"/>
                <w:color w:val="auto"/>
              </w:rPr>
            </w:pPr>
          </w:p>
        </w:tc>
      </w:tr>
      <w:tr>
        <w:trPr>
          <w:trHeight w:val="188"/>
        </w:trPr>
        <w:tc>
          <w:tcPr>
            <w:tcW w:w="4420" w:type="dxa"/>
            <w:vAlign w:val="bottom"/>
            <w:shd w:val="clear" w:color="auto" w:fill="CCECFF"/>
          </w:tcPr>
          <w:p>
            <w:pPr>
              <w:spacing w:after="0"/>
              <w:rPr>
                <w:sz w:val="20"/>
                <w:szCs w:val="20"/>
                <w:color w:val="auto"/>
              </w:rPr>
            </w:pPr>
            <w:r>
              <w:rPr>
                <w:rFonts w:ascii="Arial" w:cs="Arial" w:eastAsia="Arial" w:hAnsi="Arial"/>
                <w:sz w:val="15"/>
                <w:szCs w:val="15"/>
                <w:color w:val="auto"/>
              </w:rPr>
              <w:t>Selling, general and administrative</w:t>
            </w:r>
          </w:p>
        </w:tc>
        <w:tc>
          <w:tcPr>
            <w:tcW w:w="720" w:type="dxa"/>
            <w:vAlign w:val="bottom"/>
            <w:shd w:val="clear" w:color="auto" w:fill="CCECFF"/>
          </w:tcPr>
          <w:p>
            <w:pPr>
              <w:jc w:val="right"/>
              <w:ind w:right="57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CFF"/>
          </w:tcPr>
          <w:p>
            <w:pPr>
              <w:jc w:val="right"/>
              <w:spacing w:after="0"/>
              <w:rPr>
                <w:sz w:val="20"/>
                <w:szCs w:val="20"/>
                <w:color w:val="auto"/>
              </w:rPr>
            </w:pPr>
            <w:r>
              <w:rPr>
                <w:rFonts w:ascii="Arial" w:cs="Arial" w:eastAsia="Arial" w:hAnsi="Arial"/>
                <w:sz w:val="15"/>
                <w:szCs w:val="15"/>
                <w:color w:val="auto"/>
                <w:w w:val="95"/>
              </w:rPr>
              <w:t>30,718</w:t>
            </w:r>
          </w:p>
        </w:tc>
        <w:tc>
          <w:tcPr>
            <w:tcW w:w="28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671"/>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20,005</w:t>
            </w:r>
          </w:p>
        </w:tc>
        <w:tc>
          <w:tcPr>
            <w:tcW w:w="28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10,713</w:t>
            </w:r>
          </w:p>
        </w:tc>
        <w:tc>
          <w:tcPr>
            <w:tcW w:w="28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54%</w:t>
            </w:r>
          </w:p>
        </w:tc>
      </w:tr>
      <w:tr>
        <w:trPr>
          <w:trHeight w:val="381"/>
        </w:trPr>
        <w:tc>
          <w:tcPr>
            <w:tcW w:w="44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2"/>
                <w:szCs w:val="12"/>
                <w:b w:val="1"/>
                <w:bCs w:val="1"/>
                <w:color w:val="auto"/>
              </w:rPr>
              <w:t>Six Months Ended June 30,</w:t>
            </w:r>
          </w:p>
        </w:tc>
        <w:tc>
          <w:tcPr>
            <w:tcW w:w="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9"/>
              </w:rPr>
              <w:t>Dollar</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24"/>
                <w:szCs w:val="24"/>
                <w:color w:val="auto"/>
              </w:rPr>
            </w:pPr>
          </w:p>
        </w:tc>
      </w:tr>
      <w:tr>
        <w:trPr>
          <w:trHeight w:val="130"/>
        </w:trPr>
        <w:tc>
          <w:tcPr>
            <w:tcW w:w="4420" w:type="dxa"/>
            <w:vAlign w:val="bottom"/>
            <w:tcBorders>
              <w:bottom w:val="single" w:sz="8" w:color="CCECFF"/>
            </w:tcBorders>
          </w:tcPr>
          <w:p>
            <w:pPr>
              <w:spacing w:after="0"/>
              <w:rPr>
                <w:sz w:val="11"/>
                <w:szCs w:val="11"/>
                <w:color w:val="auto"/>
              </w:rPr>
            </w:pPr>
          </w:p>
        </w:tc>
        <w:tc>
          <w:tcPr>
            <w:tcW w:w="7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173"/>
              <w:spacing w:after="0" w:line="130" w:lineRule="exact"/>
              <w:rPr>
                <w:sz w:val="20"/>
                <w:szCs w:val="20"/>
                <w:color w:val="auto"/>
              </w:rPr>
            </w:pPr>
            <w:r>
              <w:rPr>
                <w:rFonts w:ascii="Arial" w:cs="Arial" w:eastAsia="Arial" w:hAnsi="Arial"/>
                <w:sz w:val="12"/>
                <w:szCs w:val="12"/>
                <w:b w:val="1"/>
                <w:bCs w:val="1"/>
                <w:color w:val="auto"/>
                <w:w w:val="90"/>
              </w:rPr>
              <w:t>Change</w:t>
            </w:r>
          </w:p>
        </w:tc>
        <w:tc>
          <w:tcPr>
            <w:tcW w:w="280" w:type="dxa"/>
            <w:vAlign w:val="bottom"/>
            <w:tcBorders>
              <w:bottom w:val="single" w:sz="8" w:color="CCECFF"/>
            </w:tcBorders>
          </w:tcPr>
          <w:p>
            <w:pPr>
              <w:spacing w:after="0"/>
              <w:rPr>
                <w:sz w:val="11"/>
                <w:szCs w:val="11"/>
                <w:color w:val="auto"/>
              </w:rPr>
            </w:pPr>
          </w:p>
        </w:tc>
        <w:tc>
          <w:tcPr>
            <w:tcW w:w="120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160" w:type="dxa"/>
            <w:vAlign w:val="bottom"/>
            <w:tcBorders>
              <w:bottom w:val="single" w:sz="8" w:color="CCECFF"/>
            </w:tcBorders>
          </w:tcPr>
          <w:p>
            <w:pPr>
              <w:spacing w:after="0"/>
              <w:rPr>
                <w:sz w:val="11"/>
                <w:szCs w:val="11"/>
                <w:color w:val="auto"/>
              </w:rPr>
            </w:pPr>
          </w:p>
        </w:tc>
      </w:tr>
      <w:tr>
        <w:trPr>
          <w:trHeight w:val="188"/>
        </w:trPr>
        <w:tc>
          <w:tcPr>
            <w:tcW w:w="4420" w:type="dxa"/>
            <w:vAlign w:val="bottom"/>
            <w:shd w:val="clear" w:color="auto" w:fill="CCECFF"/>
          </w:tcPr>
          <w:p>
            <w:pPr>
              <w:spacing w:after="0"/>
              <w:rPr>
                <w:sz w:val="20"/>
                <w:szCs w:val="20"/>
                <w:color w:val="auto"/>
              </w:rPr>
            </w:pPr>
            <w:r>
              <w:rPr>
                <w:rFonts w:ascii="Arial" w:cs="Arial" w:eastAsia="Arial" w:hAnsi="Arial"/>
                <w:sz w:val="15"/>
                <w:szCs w:val="15"/>
                <w:color w:val="auto"/>
              </w:rPr>
              <w:t>Selling, general and administrative</w:t>
            </w:r>
          </w:p>
        </w:tc>
        <w:tc>
          <w:tcPr>
            <w:tcW w:w="720" w:type="dxa"/>
            <w:vAlign w:val="bottom"/>
            <w:shd w:val="clear" w:color="auto" w:fill="CCECFF"/>
          </w:tcPr>
          <w:p>
            <w:pPr>
              <w:jc w:val="right"/>
              <w:ind w:right="57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CFF"/>
          </w:tcPr>
          <w:p>
            <w:pPr>
              <w:jc w:val="right"/>
              <w:spacing w:after="0"/>
              <w:rPr>
                <w:sz w:val="20"/>
                <w:szCs w:val="20"/>
                <w:color w:val="auto"/>
              </w:rPr>
            </w:pPr>
            <w:r>
              <w:rPr>
                <w:rFonts w:ascii="Arial" w:cs="Arial" w:eastAsia="Arial" w:hAnsi="Arial"/>
                <w:sz w:val="15"/>
                <w:szCs w:val="15"/>
                <w:color w:val="auto"/>
                <w:w w:val="95"/>
              </w:rPr>
              <w:t>62,153</w:t>
            </w:r>
          </w:p>
        </w:tc>
        <w:tc>
          <w:tcPr>
            <w:tcW w:w="280" w:type="dxa"/>
            <w:vAlign w:val="bottom"/>
            <w:shd w:val="clear" w:color="auto" w:fill="CCECFF"/>
          </w:tcPr>
          <w:p>
            <w:pPr>
              <w:spacing w:after="0"/>
              <w:rPr>
                <w:sz w:val="16"/>
                <w:szCs w:val="16"/>
                <w:color w:val="auto"/>
              </w:rPr>
            </w:pPr>
          </w:p>
        </w:tc>
        <w:tc>
          <w:tcPr>
            <w:tcW w:w="820" w:type="dxa"/>
            <w:vAlign w:val="bottom"/>
            <w:shd w:val="clear" w:color="auto" w:fill="CCECFF"/>
          </w:tcPr>
          <w:p>
            <w:pPr>
              <w:jc w:val="right"/>
              <w:ind w:right="671"/>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5"/>
                <w:szCs w:val="15"/>
                <w:color w:val="auto"/>
              </w:rPr>
              <w:t>38,690</w:t>
            </w:r>
          </w:p>
        </w:tc>
        <w:tc>
          <w:tcPr>
            <w:tcW w:w="280" w:type="dxa"/>
            <w:vAlign w:val="bottom"/>
            <w:shd w:val="clear" w:color="auto" w:fill="CCECFF"/>
          </w:tcPr>
          <w:p>
            <w:pPr>
              <w:spacing w:after="0"/>
              <w:rPr>
                <w:sz w:val="16"/>
                <w:szCs w:val="16"/>
                <w:color w:val="auto"/>
              </w:rPr>
            </w:pPr>
          </w:p>
        </w:tc>
        <w:tc>
          <w:tcPr>
            <w:tcW w:w="240" w:type="dxa"/>
            <w:vAlign w:val="bottom"/>
            <w:shd w:val="clear" w:color="auto" w:fill="CCEC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23,463</w:t>
            </w:r>
          </w:p>
        </w:tc>
        <w:tc>
          <w:tcPr>
            <w:tcW w:w="280" w:type="dxa"/>
            <w:vAlign w:val="bottom"/>
            <w:shd w:val="clear" w:color="auto" w:fill="CCECFF"/>
          </w:tcPr>
          <w:p>
            <w:pPr>
              <w:spacing w:after="0"/>
              <w:rPr>
                <w:sz w:val="16"/>
                <w:szCs w:val="16"/>
                <w:color w:val="auto"/>
              </w:rPr>
            </w:pPr>
          </w:p>
        </w:tc>
        <w:tc>
          <w:tcPr>
            <w:tcW w:w="1360" w:type="dxa"/>
            <w:vAlign w:val="bottom"/>
            <w:gridSpan w:val="2"/>
            <w:shd w:val="clear" w:color="auto" w:fill="CCECFF"/>
          </w:tcPr>
          <w:p>
            <w:pPr>
              <w:jc w:val="right"/>
              <w:ind w:right="40"/>
              <w:spacing w:after="0"/>
              <w:rPr>
                <w:sz w:val="20"/>
                <w:szCs w:val="20"/>
                <w:color w:val="auto"/>
              </w:rPr>
            </w:pPr>
            <w:r>
              <w:rPr>
                <w:rFonts w:ascii="Arial" w:cs="Arial" w:eastAsia="Arial" w:hAnsi="Arial"/>
                <w:sz w:val="15"/>
                <w:szCs w:val="15"/>
                <w:color w:val="auto"/>
              </w:rPr>
              <w:t>61%</w:t>
            </w:r>
          </w:p>
        </w:tc>
      </w:tr>
    </w:tbl>
    <w:p>
      <w:pPr>
        <w:spacing w:after="0" w:line="186" w:lineRule="exact"/>
        <w:rPr>
          <w:sz w:val="20"/>
          <w:szCs w:val="20"/>
          <w:color w:val="auto"/>
        </w:rPr>
      </w:pPr>
    </w:p>
    <w:p>
      <w:pPr>
        <w:ind w:right="260" w:firstLine="520"/>
        <w:spacing w:after="0" w:line="272" w:lineRule="auto"/>
        <w:rPr>
          <w:sz w:val="20"/>
          <w:szCs w:val="20"/>
          <w:color w:val="auto"/>
        </w:rPr>
      </w:pPr>
      <w:r>
        <w:rPr>
          <w:rFonts w:ascii="Arial" w:cs="Arial" w:eastAsia="Arial" w:hAnsi="Arial"/>
          <w:sz w:val="15"/>
          <w:szCs w:val="15"/>
          <w:color w:val="auto"/>
        </w:rPr>
        <w:t>Selling, general and administrative expenses increased $10.7 million and $23.5 million for the three and six months ended June 30, 2018, respectively, compared to the same periods in 2017. The increase in selling, general and administrative expenses was primarily due to increases in commercial planning costs, professional services costs, stock-based compensation, and personnel costs resulting from an increase in the number of employees in support of our activities.</w:t>
      </w:r>
    </w:p>
    <w:p>
      <w:pPr>
        <w:spacing w:after="0" w:line="25" w:lineRule="exact"/>
        <w:rPr>
          <w:sz w:val="20"/>
          <w:szCs w:val="20"/>
          <w:color w:val="auto"/>
        </w:rPr>
      </w:pPr>
    </w:p>
    <w:p>
      <w:pPr>
        <w:ind w:right="220" w:firstLine="520"/>
        <w:spacing w:after="0" w:line="288" w:lineRule="auto"/>
        <w:rPr>
          <w:sz w:val="20"/>
          <w:szCs w:val="20"/>
          <w:color w:val="auto"/>
        </w:rPr>
      </w:pPr>
      <w:r>
        <w:rPr>
          <w:rFonts w:ascii="Arial" w:cs="Arial" w:eastAsia="Arial" w:hAnsi="Arial"/>
          <w:sz w:val="15"/>
          <w:szCs w:val="15"/>
          <w:color w:val="auto"/>
        </w:rPr>
        <w:t>We expect selling, general and administrative expenses to increase to support our organizational growth and for our expected staged build out of our commercial organization over the next several years related to our approved products and multiple late-stage product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Interest Income (dollars in thousands)</w:t>
      </w: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4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ind w:left="180"/>
              <w:spacing w:after="0"/>
              <w:rPr>
                <w:sz w:val="20"/>
                <w:szCs w:val="20"/>
                <w:color w:val="auto"/>
              </w:rPr>
            </w:pPr>
            <w:r>
              <w:rPr>
                <w:rFonts w:ascii="Arial" w:cs="Arial" w:eastAsia="Arial" w:hAnsi="Arial"/>
                <w:sz w:val="12"/>
                <w:szCs w:val="12"/>
                <w:b w:val="1"/>
                <w:bCs w:val="1"/>
                <w:color w:val="auto"/>
              </w:rPr>
              <w:t>Dollar</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0"/>
        </w:trPr>
        <w:tc>
          <w:tcPr>
            <w:tcW w:w="44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CCECFF"/>
            </w:tcBorders>
            <w:gridSpan w:val="2"/>
          </w:tcPr>
          <w:p>
            <w:pPr>
              <w:spacing w:after="0"/>
              <w:rPr>
                <w:sz w:val="11"/>
                <w:szCs w:val="11"/>
                <w:color w:val="auto"/>
              </w:rPr>
            </w:pPr>
          </w:p>
        </w:tc>
        <w:tc>
          <w:tcPr>
            <w:tcW w:w="7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53"/>
              <w:spacing w:after="0" w:line="130" w:lineRule="exact"/>
              <w:rPr>
                <w:sz w:val="20"/>
                <w:szCs w:val="20"/>
                <w:color w:val="auto"/>
              </w:rPr>
            </w:pPr>
            <w:r>
              <w:rPr>
                <w:rFonts w:ascii="Arial" w:cs="Arial" w:eastAsia="Arial" w:hAnsi="Arial"/>
                <w:sz w:val="12"/>
                <w:szCs w:val="12"/>
                <w:b w:val="1"/>
                <w:bCs w:val="1"/>
                <w:color w:val="auto"/>
              </w:rPr>
              <w:t>Change</w:t>
            </w:r>
          </w:p>
        </w:tc>
        <w:tc>
          <w:tcPr>
            <w:tcW w:w="300" w:type="dxa"/>
            <w:vAlign w:val="bottom"/>
            <w:tcBorders>
              <w:bottom w:val="single" w:sz="8" w:color="CCECFF"/>
            </w:tcBorders>
            <w:gridSpan w:val="2"/>
          </w:tcPr>
          <w:p>
            <w:pPr>
              <w:spacing w:after="0"/>
              <w:rPr>
                <w:sz w:val="11"/>
                <w:szCs w:val="11"/>
                <w:color w:val="auto"/>
              </w:rPr>
            </w:pPr>
          </w:p>
        </w:tc>
        <w:tc>
          <w:tcPr>
            <w:tcW w:w="1220" w:type="dxa"/>
            <w:vAlign w:val="bottom"/>
            <w:tcBorders>
              <w:bottom w:val="single" w:sz="8" w:color="auto"/>
            </w:tcBorders>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0"/>
              </w:rPr>
              <w:t>Change</w:t>
            </w:r>
          </w:p>
        </w:tc>
        <w:tc>
          <w:tcPr>
            <w:tcW w:w="140" w:type="dxa"/>
            <w:vAlign w:val="bottom"/>
            <w:tcBorders>
              <w:bottom w:val="single" w:sz="8" w:color="CCECFF"/>
            </w:tcBorders>
          </w:tcPr>
          <w:p>
            <w:pPr>
              <w:spacing w:after="0"/>
              <w:rPr>
                <w:sz w:val="11"/>
                <w:szCs w:val="11"/>
                <w:color w:val="auto"/>
              </w:rPr>
            </w:pPr>
          </w:p>
        </w:tc>
      </w:tr>
      <w:tr>
        <w:trPr>
          <w:trHeight w:val="188"/>
        </w:trPr>
        <w:tc>
          <w:tcPr>
            <w:tcW w:w="4420" w:type="dxa"/>
            <w:vAlign w:val="bottom"/>
            <w:shd w:val="clear" w:color="auto" w:fill="CCECFF"/>
          </w:tcPr>
          <w:p>
            <w:pPr>
              <w:spacing w:after="0"/>
              <w:rPr>
                <w:sz w:val="20"/>
                <w:szCs w:val="20"/>
                <w:color w:val="auto"/>
              </w:rPr>
            </w:pPr>
            <w:r>
              <w:rPr>
                <w:rFonts w:ascii="Arial" w:cs="Arial" w:eastAsia="Arial" w:hAnsi="Arial"/>
                <w:sz w:val="15"/>
                <w:szCs w:val="15"/>
                <w:color w:val="auto"/>
              </w:rPr>
              <w:t>Interest income</w:t>
            </w:r>
          </w:p>
        </w:tc>
        <w:tc>
          <w:tcPr>
            <w:tcW w:w="780" w:type="dxa"/>
            <w:vAlign w:val="bottom"/>
            <w:gridSpan w:val="2"/>
            <w:shd w:val="clear" w:color="auto" w:fill="CCECFF"/>
          </w:tcPr>
          <w:p>
            <w:pPr>
              <w:jc w:val="right"/>
              <w:ind w:right="639"/>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2,448</w:t>
            </w:r>
          </w:p>
        </w:tc>
        <w:tc>
          <w:tcPr>
            <w:tcW w:w="1080" w:type="dxa"/>
            <w:vAlign w:val="bottom"/>
            <w:gridSpan w:val="3"/>
            <w:shd w:val="clear" w:color="auto" w:fill="CCECFF"/>
          </w:tcPr>
          <w:p>
            <w:pPr>
              <w:jc w:val="right"/>
              <w:ind w:right="639"/>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1,151</w:t>
            </w:r>
          </w:p>
        </w:tc>
        <w:tc>
          <w:tcPr>
            <w:tcW w:w="6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1,297</w:t>
            </w:r>
          </w:p>
        </w:tc>
        <w:tc>
          <w:tcPr>
            <w:tcW w:w="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360" w:type="dxa"/>
            <w:vAlign w:val="bottom"/>
            <w:gridSpan w:val="3"/>
            <w:shd w:val="clear" w:color="auto" w:fill="CCECFF"/>
          </w:tcPr>
          <w:p>
            <w:pPr>
              <w:jc w:val="right"/>
              <w:ind w:right="20"/>
              <w:spacing w:after="0"/>
              <w:rPr>
                <w:sz w:val="20"/>
                <w:szCs w:val="20"/>
                <w:color w:val="auto"/>
              </w:rPr>
            </w:pPr>
            <w:r>
              <w:rPr>
                <w:rFonts w:ascii="Arial" w:cs="Arial" w:eastAsia="Arial" w:hAnsi="Arial"/>
                <w:sz w:val="15"/>
                <w:szCs w:val="15"/>
                <w:color w:val="auto"/>
              </w:rPr>
              <w:t>113%</w:t>
            </w:r>
          </w:p>
        </w:tc>
      </w:tr>
      <w:tr>
        <w:trPr>
          <w:trHeight w:val="381"/>
        </w:trPr>
        <w:tc>
          <w:tcPr>
            <w:tcW w:w="4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2"/>
                <w:szCs w:val="12"/>
                <w:b w:val="1"/>
                <w:bCs w:val="1"/>
                <w:color w:val="auto"/>
              </w:rPr>
              <w:t>Six Months Ended June 30,</w:t>
            </w: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2"/>
                <w:szCs w:val="12"/>
                <w:b w:val="1"/>
                <w:bCs w:val="1"/>
                <w:color w:val="auto"/>
              </w:rPr>
              <w:t>Dollar</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0"/>
        </w:trPr>
        <w:tc>
          <w:tcPr>
            <w:tcW w:w="4420" w:type="dxa"/>
            <w:vAlign w:val="bottom"/>
            <w:tcBorders>
              <w:bottom w:val="single" w:sz="8" w:color="CCECFF"/>
            </w:tcBorders>
          </w:tcPr>
          <w:p>
            <w:pPr>
              <w:spacing w:after="0"/>
              <w:rPr>
                <w:sz w:val="11"/>
                <w:szCs w:val="11"/>
                <w:color w:val="auto"/>
              </w:rPr>
            </w:pPr>
          </w:p>
        </w:tc>
        <w:tc>
          <w:tcPr>
            <w:tcW w:w="780" w:type="dxa"/>
            <w:vAlign w:val="bottom"/>
            <w:tcBorders>
              <w:bottom w:val="single" w:sz="8" w:color="auto"/>
            </w:tcBorders>
            <w:gridSpan w:val="2"/>
          </w:tcPr>
          <w:p>
            <w:pPr>
              <w:jc w:val="right"/>
              <w:ind w:right="19"/>
              <w:spacing w:after="0" w:line="130"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20" w:type="dxa"/>
            <w:vAlign w:val="bottom"/>
            <w:tcBorders>
              <w:bottom w:val="single" w:sz="8" w:color="auto"/>
            </w:tcBorders>
            <w:gridSpan w:val="2"/>
          </w:tcPr>
          <w:p>
            <w:pPr>
              <w:jc w:val="right"/>
              <w:spacing w:after="0" w:line="130"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40" w:type="dxa"/>
            <w:vAlign w:val="bottom"/>
            <w:tcBorders>
              <w:bottom w:val="single" w:sz="8" w:color="CCEC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ind w:left="180"/>
              <w:spacing w:after="0" w:line="130" w:lineRule="exact"/>
              <w:rPr>
                <w:sz w:val="20"/>
                <w:szCs w:val="20"/>
                <w:color w:val="auto"/>
              </w:rPr>
            </w:pPr>
            <w:r>
              <w:rPr>
                <w:rFonts w:ascii="Arial" w:cs="Arial" w:eastAsia="Arial" w:hAnsi="Arial"/>
                <w:sz w:val="12"/>
                <w:szCs w:val="12"/>
                <w:b w:val="1"/>
                <w:bCs w:val="1"/>
                <w:color w:val="auto"/>
              </w:rPr>
              <w:t>Change</w:t>
            </w:r>
          </w:p>
        </w:tc>
        <w:tc>
          <w:tcPr>
            <w:tcW w:w="280" w:type="dxa"/>
            <w:vAlign w:val="bottom"/>
            <w:tcBorders>
              <w:bottom w:val="single" w:sz="8" w:color="CCECFF"/>
            </w:tcBorders>
          </w:tcPr>
          <w:p>
            <w:pPr>
              <w:spacing w:after="0"/>
              <w:rPr>
                <w:sz w:val="11"/>
                <w:szCs w:val="11"/>
                <w:color w:val="auto"/>
              </w:rPr>
            </w:pPr>
          </w:p>
        </w:tc>
        <w:tc>
          <w:tcPr>
            <w:tcW w:w="120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160" w:type="dxa"/>
            <w:vAlign w:val="bottom"/>
            <w:tcBorders>
              <w:bottom w:val="single" w:sz="8" w:color="CCECFF"/>
            </w:tcBorders>
            <w:gridSpan w:val="2"/>
          </w:tcPr>
          <w:p>
            <w:pPr>
              <w:spacing w:after="0"/>
              <w:rPr>
                <w:sz w:val="11"/>
                <w:szCs w:val="11"/>
                <w:color w:val="auto"/>
              </w:rPr>
            </w:pPr>
          </w:p>
        </w:tc>
      </w:tr>
      <w:tr>
        <w:trPr>
          <w:trHeight w:val="188"/>
        </w:trPr>
        <w:tc>
          <w:tcPr>
            <w:tcW w:w="4420" w:type="dxa"/>
            <w:vAlign w:val="bottom"/>
            <w:shd w:val="clear" w:color="auto" w:fill="CCECFF"/>
          </w:tcPr>
          <w:p>
            <w:pPr>
              <w:spacing w:after="0"/>
              <w:rPr>
                <w:sz w:val="20"/>
                <w:szCs w:val="20"/>
                <w:color w:val="auto"/>
              </w:rPr>
            </w:pPr>
            <w:r>
              <w:rPr>
                <w:rFonts w:ascii="Arial" w:cs="Arial" w:eastAsia="Arial" w:hAnsi="Arial"/>
                <w:sz w:val="15"/>
                <w:szCs w:val="15"/>
                <w:color w:val="auto"/>
              </w:rPr>
              <w:t>Interest income</w:t>
            </w:r>
          </w:p>
        </w:tc>
        <w:tc>
          <w:tcPr>
            <w:tcW w:w="780" w:type="dxa"/>
            <w:vAlign w:val="bottom"/>
            <w:gridSpan w:val="2"/>
            <w:shd w:val="clear" w:color="auto" w:fill="CCECFF"/>
          </w:tcPr>
          <w:p>
            <w:pPr>
              <w:jc w:val="right"/>
              <w:ind w:right="639"/>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4,185</w:t>
            </w:r>
          </w:p>
        </w:tc>
        <w:tc>
          <w:tcPr>
            <w:tcW w:w="20" w:type="dxa"/>
            <w:vAlign w:val="bottom"/>
            <w:shd w:val="clear" w:color="auto" w:fill="CCECFF"/>
          </w:tcPr>
          <w:p>
            <w:pPr>
              <w:spacing w:after="0"/>
              <w:rPr>
                <w:sz w:val="16"/>
                <w:szCs w:val="16"/>
                <w:color w:val="auto"/>
              </w:rPr>
            </w:pPr>
          </w:p>
        </w:tc>
        <w:tc>
          <w:tcPr>
            <w:tcW w:w="1080" w:type="dxa"/>
            <w:vAlign w:val="bottom"/>
            <w:gridSpan w:val="3"/>
            <w:shd w:val="clear" w:color="auto" w:fill="CCECFF"/>
          </w:tcPr>
          <w:p>
            <w:pPr>
              <w:jc w:val="right"/>
              <w:ind w:right="679"/>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CFF"/>
          </w:tcPr>
          <w:p>
            <w:pPr>
              <w:jc w:val="right"/>
              <w:spacing w:after="0"/>
              <w:rPr>
                <w:sz w:val="20"/>
                <w:szCs w:val="20"/>
                <w:color w:val="auto"/>
              </w:rPr>
            </w:pPr>
            <w:r>
              <w:rPr>
                <w:rFonts w:ascii="Arial" w:cs="Arial" w:eastAsia="Arial" w:hAnsi="Arial"/>
                <w:sz w:val="15"/>
                <w:szCs w:val="15"/>
                <w:color w:val="auto"/>
              </w:rPr>
              <w:t>2,233</w:t>
            </w:r>
          </w:p>
        </w:tc>
        <w:tc>
          <w:tcPr>
            <w:tcW w:w="240" w:type="dxa"/>
            <w:vAlign w:val="bottom"/>
            <w:shd w:val="clear" w:color="auto" w:fill="CCECFF"/>
          </w:tcPr>
          <w:p>
            <w:pPr>
              <w:spacing w:after="0"/>
              <w:rPr>
                <w:sz w:val="16"/>
                <w:szCs w:val="16"/>
                <w:color w:val="auto"/>
              </w:rPr>
            </w:pPr>
          </w:p>
        </w:tc>
        <w:tc>
          <w:tcPr>
            <w:tcW w:w="260" w:type="dxa"/>
            <w:vAlign w:val="bottom"/>
            <w:gridSpan w:val="2"/>
            <w:shd w:val="clear" w:color="auto" w:fill="CCEC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5"/>
                <w:szCs w:val="15"/>
                <w:color w:val="auto"/>
              </w:rPr>
              <w:t>1,952</w:t>
            </w:r>
          </w:p>
        </w:tc>
        <w:tc>
          <w:tcPr>
            <w:tcW w:w="280" w:type="dxa"/>
            <w:vAlign w:val="bottom"/>
            <w:shd w:val="clear" w:color="auto" w:fill="CCECFF"/>
          </w:tcPr>
          <w:p>
            <w:pPr>
              <w:spacing w:after="0"/>
              <w:rPr>
                <w:sz w:val="16"/>
                <w:szCs w:val="16"/>
                <w:color w:val="auto"/>
              </w:rPr>
            </w:pPr>
          </w:p>
        </w:tc>
        <w:tc>
          <w:tcPr>
            <w:tcW w:w="1360" w:type="dxa"/>
            <w:vAlign w:val="bottom"/>
            <w:gridSpan w:val="3"/>
            <w:shd w:val="clear" w:color="auto" w:fill="CCECFF"/>
          </w:tcPr>
          <w:p>
            <w:pPr>
              <w:jc w:val="right"/>
              <w:ind w:right="40"/>
              <w:spacing w:after="0"/>
              <w:rPr>
                <w:sz w:val="20"/>
                <w:szCs w:val="20"/>
                <w:color w:val="auto"/>
              </w:rPr>
            </w:pPr>
            <w:r>
              <w:rPr>
                <w:rFonts w:ascii="Arial" w:cs="Arial" w:eastAsia="Arial" w:hAnsi="Arial"/>
                <w:sz w:val="15"/>
                <w:szCs w:val="15"/>
                <w:color w:val="auto"/>
              </w:rPr>
              <w:t>87%</w:t>
            </w:r>
          </w:p>
        </w:tc>
      </w:tr>
    </w:tbl>
    <w:p>
      <w:pPr>
        <w:spacing w:after="0" w:line="174" w:lineRule="exact"/>
        <w:rPr>
          <w:sz w:val="20"/>
          <w:szCs w:val="20"/>
          <w:color w:val="auto"/>
        </w:rPr>
      </w:pPr>
    </w:p>
    <w:p>
      <w:pPr>
        <w:ind w:right="140" w:firstLine="520"/>
        <w:spacing w:after="0" w:line="288" w:lineRule="auto"/>
        <w:rPr>
          <w:sz w:val="20"/>
          <w:szCs w:val="20"/>
          <w:color w:val="auto"/>
        </w:rPr>
      </w:pPr>
      <w:r>
        <w:rPr>
          <w:rFonts w:ascii="Arial" w:cs="Arial" w:eastAsia="Arial" w:hAnsi="Arial"/>
          <w:sz w:val="15"/>
          <w:szCs w:val="15"/>
          <w:color w:val="auto"/>
        </w:rPr>
        <w:t>Interest income increased $1.3 million and $2.0 million for the three and six months ended June 30, 2018, respectively, compared to the same periods in 2017, primarily due to an increase in the balance of our invested funds and due to an increase in yields on our investment portfolio.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1" w:name="page22"/>
    <w:bookmarkEnd w:id="21"/>
    <w:p>
      <w:pPr>
        <w:spacing w:after="0"/>
        <w:rPr>
          <w:sz w:val="20"/>
          <w:szCs w:val="20"/>
          <w:color w:val="auto"/>
        </w:rPr>
      </w:pPr>
      <w:r>
        <w:rPr>
          <w:rFonts w:ascii="Arial" w:cs="Arial" w:eastAsia="Arial" w:hAnsi="Arial"/>
          <w:sz w:val="15"/>
          <w:szCs w:val="15"/>
          <w:i w:val="1"/>
          <w:iCs w:val="1"/>
          <w:u w:val="single" w:color="auto"/>
          <w:color w:val="auto"/>
        </w:rPr>
        <w:t>Gain from Sale of Priority Review Vouchers (dollars in thousands)</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3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2"/>
                <w:szCs w:val="12"/>
                <w:b w:val="1"/>
                <w:bCs w:val="1"/>
                <w:color w:val="auto"/>
              </w:rPr>
              <w:t>Three Months Ended June 30,</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9"/>
              </w:rPr>
              <w:t>Dollar</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r>
      <w:tr>
        <w:trPr>
          <w:trHeight w:val="130"/>
        </w:trPr>
        <w:tc>
          <w:tcPr>
            <w:tcW w:w="3500" w:type="dxa"/>
            <w:vAlign w:val="bottom"/>
            <w:tcBorders>
              <w:bottom w:val="single" w:sz="8" w:color="CCECFF"/>
            </w:tcBorders>
          </w:tcPr>
          <w:p>
            <w:pPr>
              <w:spacing w:after="0"/>
              <w:rPr>
                <w:sz w:val="11"/>
                <w:szCs w:val="11"/>
                <w:color w:val="auto"/>
              </w:rPr>
            </w:pPr>
          </w:p>
        </w:tc>
        <w:tc>
          <w:tcPr>
            <w:tcW w:w="860" w:type="dxa"/>
            <w:vAlign w:val="bottom"/>
            <w:tcBorders>
              <w:bottom w:val="single" w:sz="8" w:color="CCEC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3"/>
              <w:spacing w:after="0" w:line="130"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CCECFF"/>
            </w:tcBorders>
          </w:tcPr>
          <w:p>
            <w:pPr>
              <w:spacing w:after="0"/>
              <w:rPr>
                <w:sz w:val="11"/>
                <w:szCs w:val="11"/>
                <w:color w:val="auto"/>
              </w:rPr>
            </w:pPr>
          </w:p>
        </w:tc>
        <w:tc>
          <w:tcPr>
            <w:tcW w:w="940" w:type="dxa"/>
            <w:vAlign w:val="bottom"/>
            <w:tcBorders>
              <w:bottom w:val="single" w:sz="8" w:color="auto"/>
            </w:tcBorders>
          </w:tcPr>
          <w:p>
            <w:pPr>
              <w:jc w:val="right"/>
              <w:ind w:right="111"/>
              <w:spacing w:after="0" w:line="130"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53"/>
              <w:spacing w:after="0" w:line="130" w:lineRule="exact"/>
              <w:rPr>
                <w:sz w:val="20"/>
                <w:szCs w:val="20"/>
                <w:color w:val="auto"/>
              </w:rPr>
            </w:pPr>
            <w:r>
              <w:rPr>
                <w:rFonts w:ascii="Arial" w:cs="Arial" w:eastAsia="Arial" w:hAnsi="Arial"/>
                <w:sz w:val="12"/>
                <w:szCs w:val="12"/>
                <w:b w:val="1"/>
                <w:bCs w:val="1"/>
                <w:color w:val="auto"/>
                <w:w w:val="90"/>
              </w:rPr>
              <w:t>Change</w:t>
            </w:r>
          </w:p>
        </w:tc>
        <w:tc>
          <w:tcPr>
            <w:tcW w:w="280" w:type="dxa"/>
            <w:vAlign w:val="bottom"/>
            <w:tcBorders>
              <w:bottom w:val="single" w:sz="8" w:color="CCECFF"/>
            </w:tcBorders>
          </w:tcPr>
          <w:p>
            <w:pPr>
              <w:spacing w:after="0"/>
              <w:rPr>
                <w:sz w:val="11"/>
                <w:szCs w:val="11"/>
                <w:color w:val="auto"/>
              </w:rPr>
            </w:pPr>
          </w:p>
        </w:tc>
        <w:tc>
          <w:tcPr>
            <w:tcW w:w="130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200" w:type="dxa"/>
            <w:vAlign w:val="bottom"/>
            <w:tcBorders>
              <w:bottom w:val="single" w:sz="8" w:color="CCECFF"/>
            </w:tcBorders>
          </w:tcPr>
          <w:p>
            <w:pPr>
              <w:spacing w:after="0"/>
              <w:rPr>
                <w:sz w:val="11"/>
                <w:szCs w:val="11"/>
                <w:color w:val="auto"/>
              </w:rPr>
            </w:pPr>
          </w:p>
        </w:tc>
      </w:tr>
      <w:tr>
        <w:trPr>
          <w:trHeight w:val="188"/>
        </w:trPr>
        <w:tc>
          <w:tcPr>
            <w:tcW w:w="3500" w:type="dxa"/>
            <w:vAlign w:val="bottom"/>
            <w:shd w:val="clear" w:color="auto" w:fill="CCECFF"/>
          </w:tcPr>
          <w:p>
            <w:pPr>
              <w:spacing w:after="0"/>
              <w:rPr>
                <w:sz w:val="20"/>
                <w:szCs w:val="20"/>
                <w:color w:val="auto"/>
              </w:rPr>
            </w:pPr>
            <w:r>
              <w:rPr>
                <w:rFonts w:ascii="Arial" w:cs="Arial" w:eastAsia="Arial" w:hAnsi="Arial"/>
                <w:sz w:val="15"/>
                <w:szCs w:val="15"/>
                <w:color w:val="auto"/>
              </w:rPr>
              <w:t>Gain from sale of priority review vouchers</w:t>
            </w: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40,322</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ind w:right="79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CFF"/>
          </w:tcPr>
          <w:p>
            <w:pPr>
              <w:ind w:lef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C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40,322</w:t>
            </w:r>
          </w:p>
        </w:tc>
        <w:tc>
          <w:tcPr>
            <w:tcW w:w="280" w:type="dxa"/>
            <w:vAlign w:val="bottom"/>
            <w:shd w:val="clear" w:color="auto" w:fill="CCECFF"/>
          </w:tcPr>
          <w:p>
            <w:pPr>
              <w:spacing w:after="0"/>
              <w:rPr>
                <w:sz w:val="16"/>
                <w:szCs w:val="16"/>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CFF"/>
          </w:tcPr>
          <w:p>
            <w:pPr>
              <w:spacing w:after="0"/>
              <w:rPr>
                <w:sz w:val="16"/>
                <w:szCs w:val="16"/>
                <w:color w:val="auto"/>
              </w:rPr>
            </w:pPr>
          </w:p>
        </w:tc>
      </w:tr>
      <w:tr>
        <w:trPr>
          <w:trHeight w:val="381"/>
        </w:trPr>
        <w:tc>
          <w:tcPr>
            <w:tcW w:w="3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2"/>
                <w:szCs w:val="12"/>
                <w:b w:val="1"/>
                <w:bCs w:val="1"/>
                <w:color w:val="auto"/>
              </w:rPr>
              <w:t>Six Months Ended June 30,</w:t>
            </w:r>
          </w:p>
        </w:tc>
        <w:tc>
          <w:tcPr>
            <w:tcW w:w="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9"/>
              </w:rPr>
              <w:t>Dollar</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24"/>
                <w:szCs w:val="24"/>
                <w:color w:val="auto"/>
              </w:rPr>
            </w:pPr>
          </w:p>
        </w:tc>
      </w:tr>
      <w:tr>
        <w:trPr>
          <w:trHeight w:val="130"/>
        </w:trPr>
        <w:tc>
          <w:tcPr>
            <w:tcW w:w="3500" w:type="dxa"/>
            <w:vAlign w:val="bottom"/>
            <w:tcBorders>
              <w:bottom w:val="single" w:sz="8" w:color="CCECFF"/>
            </w:tcBorders>
          </w:tcPr>
          <w:p>
            <w:pPr>
              <w:spacing w:after="0"/>
              <w:rPr>
                <w:sz w:val="11"/>
                <w:szCs w:val="11"/>
                <w:color w:val="auto"/>
              </w:rPr>
            </w:pPr>
          </w:p>
        </w:tc>
        <w:tc>
          <w:tcPr>
            <w:tcW w:w="860" w:type="dxa"/>
            <w:vAlign w:val="bottom"/>
            <w:tcBorders>
              <w:bottom w:val="single" w:sz="8" w:color="CCEC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93"/>
              <w:spacing w:after="0" w:line="130"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bottom w:val="single" w:sz="8" w:color="CCECFF"/>
            </w:tcBorders>
          </w:tcPr>
          <w:p>
            <w:pPr>
              <w:spacing w:after="0"/>
              <w:rPr>
                <w:sz w:val="11"/>
                <w:szCs w:val="11"/>
                <w:color w:val="auto"/>
              </w:rPr>
            </w:pPr>
          </w:p>
        </w:tc>
        <w:tc>
          <w:tcPr>
            <w:tcW w:w="940" w:type="dxa"/>
            <w:vAlign w:val="bottom"/>
            <w:tcBorders>
              <w:bottom w:val="single" w:sz="8" w:color="auto"/>
            </w:tcBorders>
          </w:tcPr>
          <w:p>
            <w:pPr>
              <w:jc w:val="right"/>
              <w:ind w:right="111"/>
              <w:spacing w:after="0" w:line="130"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bottom w:val="single" w:sz="8" w:color="auto"/>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53"/>
              <w:spacing w:after="0" w:line="130" w:lineRule="exact"/>
              <w:rPr>
                <w:sz w:val="20"/>
                <w:szCs w:val="20"/>
                <w:color w:val="auto"/>
              </w:rPr>
            </w:pPr>
            <w:r>
              <w:rPr>
                <w:rFonts w:ascii="Arial" w:cs="Arial" w:eastAsia="Arial" w:hAnsi="Arial"/>
                <w:sz w:val="12"/>
                <w:szCs w:val="12"/>
                <w:b w:val="1"/>
                <w:bCs w:val="1"/>
                <w:color w:val="auto"/>
                <w:w w:val="90"/>
              </w:rPr>
              <w:t>Change</w:t>
            </w:r>
          </w:p>
        </w:tc>
        <w:tc>
          <w:tcPr>
            <w:tcW w:w="280" w:type="dxa"/>
            <w:vAlign w:val="bottom"/>
            <w:tcBorders>
              <w:bottom w:val="single" w:sz="8" w:color="CCECFF"/>
            </w:tcBorders>
          </w:tcPr>
          <w:p>
            <w:pPr>
              <w:spacing w:after="0"/>
              <w:rPr>
                <w:sz w:val="11"/>
                <w:szCs w:val="11"/>
                <w:color w:val="auto"/>
              </w:rPr>
            </w:pPr>
          </w:p>
        </w:tc>
        <w:tc>
          <w:tcPr>
            <w:tcW w:w="130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200" w:type="dxa"/>
            <w:vAlign w:val="bottom"/>
            <w:tcBorders>
              <w:bottom w:val="single" w:sz="8" w:color="CCECFF"/>
            </w:tcBorders>
          </w:tcPr>
          <w:p>
            <w:pPr>
              <w:spacing w:after="0"/>
              <w:rPr>
                <w:sz w:val="11"/>
                <w:szCs w:val="11"/>
                <w:color w:val="auto"/>
              </w:rPr>
            </w:pPr>
          </w:p>
        </w:tc>
      </w:tr>
      <w:tr>
        <w:trPr>
          <w:trHeight w:val="188"/>
        </w:trPr>
        <w:tc>
          <w:tcPr>
            <w:tcW w:w="3500" w:type="dxa"/>
            <w:vAlign w:val="bottom"/>
            <w:shd w:val="clear" w:color="auto" w:fill="CCECFF"/>
          </w:tcPr>
          <w:p>
            <w:pPr>
              <w:spacing w:after="0"/>
              <w:rPr>
                <w:sz w:val="20"/>
                <w:szCs w:val="20"/>
                <w:color w:val="auto"/>
              </w:rPr>
            </w:pPr>
            <w:r>
              <w:rPr>
                <w:rFonts w:ascii="Arial" w:cs="Arial" w:eastAsia="Arial" w:hAnsi="Arial"/>
                <w:sz w:val="15"/>
                <w:szCs w:val="15"/>
                <w:color w:val="auto"/>
              </w:rPr>
              <w:t>Gain from sale of priority review vouchers</w:t>
            </w:r>
          </w:p>
        </w:tc>
        <w:tc>
          <w:tcPr>
            <w:tcW w:w="112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170,322</w:t>
            </w:r>
          </w:p>
        </w:tc>
        <w:tc>
          <w:tcPr>
            <w:tcW w:w="280" w:type="dxa"/>
            <w:vAlign w:val="bottom"/>
            <w:shd w:val="clear" w:color="auto" w:fill="CCECFF"/>
          </w:tcPr>
          <w:p>
            <w:pPr>
              <w:spacing w:after="0"/>
              <w:rPr>
                <w:sz w:val="16"/>
                <w:szCs w:val="16"/>
                <w:color w:val="auto"/>
              </w:rPr>
            </w:pPr>
          </w:p>
        </w:tc>
        <w:tc>
          <w:tcPr>
            <w:tcW w:w="940" w:type="dxa"/>
            <w:vAlign w:val="bottom"/>
            <w:shd w:val="clear" w:color="auto" w:fill="CCECFF"/>
          </w:tcPr>
          <w:p>
            <w:pPr>
              <w:jc w:val="right"/>
              <w:ind w:right="79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CFF"/>
          </w:tcPr>
          <w:p>
            <w:pPr>
              <w:ind w:lef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C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170,322</w:t>
            </w:r>
          </w:p>
        </w:tc>
        <w:tc>
          <w:tcPr>
            <w:tcW w:w="280" w:type="dxa"/>
            <w:vAlign w:val="bottom"/>
            <w:shd w:val="clear" w:color="auto" w:fill="CCECFF"/>
          </w:tcPr>
          <w:p>
            <w:pPr>
              <w:spacing w:after="0"/>
              <w:rPr>
                <w:sz w:val="16"/>
                <w:szCs w:val="16"/>
                <w:color w:val="auto"/>
              </w:rPr>
            </w:pPr>
          </w:p>
        </w:tc>
        <w:tc>
          <w:tcPr>
            <w:tcW w:w="13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CFF"/>
          </w:tcPr>
          <w:p>
            <w:pPr>
              <w:spacing w:after="0"/>
              <w:rPr>
                <w:sz w:val="16"/>
                <w:szCs w:val="16"/>
                <w:color w:val="auto"/>
              </w:rPr>
            </w:pPr>
          </w:p>
        </w:tc>
      </w:tr>
    </w:tbl>
    <w:p>
      <w:pPr>
        <w:spacing w:after="0" w:line="174" w:lineRule="exact"/>
        <w:rPr>
          <w:sz w:val="20"/>
          <w:szCs w:val="20"/>
          <w:color w:val="auto"/>
        </w:rPr>
      </w:pPr>
    </w:p>
    <w:p>
      <w:pPr>
        <w:ind w:right="100" w:firstLine="520"/>
        <w:spacing w:after="0" w:line="272" w:lineRule="auto"/>
        <w:rPr>
          <w:sz w:val="20"/>
          <w:szCs w:val="20"/>
          <w:color w:val="auto"/>
        </w:rPr>
      </w:pPr>
      <w:r>
        <w:rPr>
          <w:rFonts w:ascii="Arial" w:cs="Arial" w:eastAsia="Arial" w:hAnsi="Arial"/>
          <w:sz w:val="15"/>
          <w:szCs w:val="15"/>
          <w:color w:val="auto"/>
        </w:rPr>
        <w:t>The gain from the sale of the PRVs of $40.3 million and $170.3 million for the three and six months ended June 30, 2018, respectively, was due to the completion of the sales of the PRVs we received from the FDA in connection with the approval of Crysvita and Mepsevii. The Crysvita PRV was sold in April 2018 for net proceeds of $80.6 million, which was shared equally with KHK, and the Mepsevii PRV was sold in January 2018 for net proceeds of $130.0 million.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Other Income (Expense) (dollars in thousands)</w:t>
      </w: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47"/>
        </w:trPr>
        <w:tc>
          <w:tcPr>
            <w:tcW w:w="4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ind w:left="160"/>
              <w:spacing w:after="0"/>
              <w:rPr>
                <w:sz w:val="20"/>
                <w:szCs w:val="20"/>
                <w:color w:val="auto"/>
              </w:rPr>
            </w:pPr>
            <w:r>
              <w:rPr>
                <w:rFonts w:ascii="Arial" w:cs="Arial" w:eastAsia="Arial" w:hAnsi="Arial"/>
                <w:sz w:val="12"/>
                <w:szCs w:val="12"/>
                <w:b w:val="1"/>
                <w:bCs w:val="1"/>
                <w:color w:val="auto"/>
              </w:rPr>
              <w:t>Dollar</w:t>
            </w:r>
          </w:p>
        </w:tc>
        <w:tc>
          <w:tcPr>
            <w:tcW w:w="1200" w:type="dxa"/>
            <w:vAlign w:val="bottom"/>
            <w:gridSpan w:val="2"/>
          </w:tcPr>
          <w:p>
            <w:pPr>
              <w:jc w:val="right"/>
              <w:ind w:right="47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30"/>
        </w:trPr>
        <w:tc>
          <w:tcPr>
            <w:tcW w:w="4420" w:type="dxa"/>
            <w:vAlign w:val="bottom"/>
            <w:tcBorders>
              <w:bottom w:val="single" w:sz="8" w:color="CCECFF"/>
            </w:tcBorders>
          </w:tcPr>
          <w:p>
            <w:pPr>
              <w:spacing w:after="0"/>
              <w:rPr>
                <w:sz w:val="11"/>
                <w:szCs w:val="11"/>
                <w:color w:val="auto"/>
              </w:rPr>
            </w:pPr>
          </w:p>
        </w:tc>
        <w:tc>
          <w:tcPr>
            <w:tcW w:w="780" w:type="dxa"/>
            <w:vAlign w:val="bottom"/>
            <w:tcBorders>
              <w:bottom w:val="single" w:sz="8" w:color="auto"/>
            </w:tcBorders>
            <w:gridSpan w:val="2"/>
          </w:tcPr>
          <w:p>
            <w:pPr>
              <w:jc w:val="right"/>
              <w:ind w:right="19"/>
              <w:spacing w:after="0" w:line="130"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80" w:type="dxa"/>
            <w:vAlign w:val="bottom"/>
            <w:tcBorders>
              <w:bottom w:val="single" w:sz="8" w:color="auto"/>
            </w:tcBorders>
            <w:gridSpan w:val="2"/>
          </w:tcPr>
          <w:p>
            <w:pPr>
              <w:jc w:val="right"/>
              <w:ind w:right="59"/>
              <w:spacing w:after="0" w:line="130"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33"/>
              <w:spacing w:after="0" w:line="130" w:lineRule="exact"/>
              <w:rPr>
                <w:sz w:val="20"/>
                <w:szCs w:val="20"/>
                <w:color w:val="auto"/>
              </w:rPr>
            </w:pPr>
            <w:r>
              <w:rPr>
                <w:rFonts w:ascii="Arial" w:cs="Arial" w:eastAsia="Arial" w:hAnsi="Arial"/>
                <w:sz w:val="12"/>
                <w:szCs w:val="12"/>
                <w:b w:val="1"/>
                <w:bCs w:val="1"/>
                <w:color w:val="auto"/>
              </w:rPr>
              <w:t>Change</w:t>
            </w:r>
          </w:p>
        </w:tc>
        <w:tc>
          <w:tcPr>
            <w:tcW w:w="280" w:type="dxa"/>
            <w:vAlign w:val="bottom"/>
            <w:tcBorders>
              <w:bottom w:val="single" w:sz="8" w:color="CCECFF"/>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0"/>
              </w:rPr>
              <w:t>Change</w:t>
            </w:r>
          </w:p>
        </w:tc>
        <w:tc>
          <w:tcPr>
            <w:tcW w:w="160" w:type="dxa"/>
            <w:vAlign w:val="bottom"/>
            <w:tcBorders>
              <w:bottom w:val="single" w:sz="8" w:color="CCECFF"/>
            </w:tcBorders>
          </w:tcPr>
          <w:p>
            <w:pPr>
              <w:spacing w:after="0"/>
              <w:rPr>
                <w:sz w:val="11"/>
                <w:szCs w:val="11"/>
                <w:color w:val="auto"/>
              </w:rPr>
            </w:pPr>
          </w:p>
        </w:tc>
      </w:tr>
      <w:tr>
        <w:trPr>
          <w:trHeight w:val="188"/>
        </w:trPr>
        <w:tc>
          <w:tcPr>
            <w:tcW w:w="4420" w:type="dxa"/>
            <w:vAlign w:val="bottom"/>
            <w:shd w:val="clear" w:color="auto" w:fill="CCECFF"/>
          </w:tcPr>
          <w:p>
            <w:pPr>
              <w:spacing w:after="0"/>
              <w:rPr>
                <w:sz w:val="20"/>
                <w:szCs w:val="20"/>
                <w:color w:val="auto"/>
              </w:rPr>
            </w:pPr>
            <w:r>
              <w:rPr>
                <w:rFonts w:ascii="Arial" w:cs="Arial" w:eastAsia="Arial" w:hAnsi="Arial"/>
                <w:sz w:val="15"/>
                <w:szCs w:val="15"/>
                <w:color w:val="auto"/>
              </w:rPr>
              <w:t>Other income (expense)</w:t>
            </w:r>
          </w:p>
        </w:tc>
        <w:tc>
          <w:tcPr>
            <w:tcW w:w="780" w:type="dxa"/>
            <w:vAlign w:val="bottom"/>
            <w:gridSpan w:val="2"/>
            <w:shd w:val="clear" w:color="auto" w:fill="CCECFF"/>
          </w:tcPr>
          <w:p>
            <w:pPr>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CFF"/>
          </w:tcPr>
          <w:p>
            <w:pPr>
              <w:jc w:val="right"/>
              <w:ind w:right="220"/>
              <w:spacing w:after="0"/>
              <w:rPr>
                <w:sz w:val="20"/>
                <w:szCs w:val="20"/>
                <w:color w:val="auto"/>
              </w:rPr>
            </w:pPr>
            <w:r>
              <w:rPr>
                <w:rFonts w:ascii="Arial" w:cs="Arial" w:eastAsia="Arial" w:hAnsi="Arial"/>
                <w:sz w:val="15"/>
                <w:szCs w:val="15"/>
                <w:color w:val="auto"/>
              </w:rPr>
              <w:t>(496)</w:t>
            </w:r>
          </w:p>
        </w:tc>
        <w:tc>
          <w:tcPr>
            <w:tcW w:w="880" w:type="dxa"/>
            <w:vAlign w:val="bottom"/>
            <w:gridSpan w:val="2"/>
            <w:shd w:val="clear" w:color="auto" w:fill="CCECFF"/>
          </w:tcPr>
          <w:p>
            <w:pPr>
              <w:jc w:val="right"/>
              <w:ind w:right="73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5"/>
                <w:szCs w:val="15"/>
                <w:color w:val="auto"/>
              </w:rPr>
              <w:t>4,413</w:t>
            </w:r>
          </w:p>
        </w:tc>
        <w:tc>
          <w:tcPr>
            <w:tcW w:w="4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260" w:type="dxa"/>
            <w:vAlign w:val="bottom"/>
            <w:gridSpan w:val="2"/>
            <w:shd w:val="clear" w:color="auto" w:fill="CCECFF"/>
          </w:tcPr>
          <w:p>
            <w:pPr>
              <w:jc w:val="right"/>
              <w:ind w:right="180"/>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CFF"/>
          </w:tcPr>
          <w:p>
            <w:pPr>
              <w:jc w:val="right"/>
              <w:ind w:right="220"/>
              <w:spacing w:after="0"/>
              <w:rPr>
                <w:sz w:val="20"/>
                <w:szCs w:val="20"/>
                <w:color w:val="auto"/>
              </w:rPr>
            </w:pPr>
            <w:r>
              <w:rPr>
                <w:rFonts w:ascii="Arial" w:cs="Arial" w:eastAsia="Arial" w:hAnsi="Arial"/>
                <w:sz w:val="15"/>
                <w:szCs w:val="15"/>
                <w:color w:val="auto"/>
              </w:rPr>
              <w:t>(4,909)</w:t>
            </w:r>
          </w:p>
        </w:tc>
        <w:tc>
          <w:tcPr>
            <w:tcW w:w="1360" w:type="dxa"/>
            <w:vAlign w:val="bottom"/>
            <w:gridSpan w:val="3"/>
            <w:shd w:val="clear" w:color="auto" w:fill="CCECFF"/>
          </w:tcPr>
          <w:p>
            <w:pPr>
              <w:jc w:val="right"/>
              <w:ind w:right="40"/>
              <w:spacing w:after="0"/>
              <w:rPr>
                <w:sz w:val="20"/>
                <w:szCs w:val="20"/>
                <w:color w:val="auto"/>
              </w:rPr>
            </w:pPr>
            <w:r>
              <w:rPr>
                <w:rFonts w:ascii="Arial" w:cs="Arial" w:eastAsia="Arial" w:hAnsi="Arial"/>
                <w:sz w:val="15"/>
                <w:szCs w:val="15"/>
                <w:color w:val="auto"/>
              </w:rPr>
              <w:t>-111%</w:t>
            </w:r>
          </w:p>
        </w:tc>
      </w:tr>
      <w:tr>
        <w:trPr>
          <w:trHeight w:val="381"/>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2"/>
                <w:szCs w:val="12"/>
                <w:b w:val="1"/>
                <w:bCs w:val="1"/>
                <w:color w:val="auto"/>
              </w:rPr>
              <w:t>Six Months Ended June 30,</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680"/>
              <w:spacing w:after="0"/>
              <w:rPr>
                <w:sz w:val="20"/>
                <w:szCs w:val="20"/>
                <w:color w:val="auto"/>
              </w:rPr>
            </w:pPr>
            <w:r>
              <w:rPr>
                <w:rFonts w:ascii="Arial" w:cs="Arial" w:eastAsia="Arial" w:hAnsi="Arial"/>
                <w:sz w:val="12"/>
                <w:szCs w:val="12"/>
                <w:b w:val="1"/>
                <w:bCs w:val="1"/>
                <w:color w:val="auto"/>
              </w:rPr>
              <w:t>Dollar</w:t>
            </w:r>
          </w:p>
        </w:tc>
        <w:tc>
          <w:tcPr>
            <w:tcW w:w="1200" w:type="dxa"/>
            <w:vAlign w:val="bottom"/>
            <w:gridSpan w:val="2"/>
          </w:tcPr>
          <w:p>
            <w:pPr>
              <w:jc w:val="right"/>
              <w:ind w:right="37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24"/>
                <w:szCs w:val="24"/>
                <w:color w:val="auto"/>
              </w:rPr>
            </w:pPr>
          </w:p>
        </w:tc>
      </w:tr>
      <w:tr>
        <w:trPr>
          <w:trHeight w:val="130"/>
        </w:trPr>
        <w:tc>
          <w:tcPr>
            <w:tcW w:w="44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4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right"/>
              <w:ind w:right="19"/>
              <w:spacing w:after="0" w:line="130"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40" w:type="dxa"/>
            <w:vAlign w:val="bottom"/>
            <w:tcBorders>
              <w:bottom w:val="single" w:sz="8" w:color="CCEC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ind w:left="160"/>
              <w:spacing w:after="0" w:line="130" w:lineRule="exact"/>
              <w:rPr>
                <w:sz w:val="20"/>
                <w:szCs w:val="20"/>
                <w:color w:val="auto"/>
              </w:rPr>
            </w:pPr>
            <w:r>
              <w:rPr>
                <w:rFonts w:ascii="Arial" w:cs="Arial" w:eastAsia="Arial" w:hAnsi="Arial"/>
                <w:sz w:val="12"/>
                <w:szCs w:val="12"/>
                <w:b w:val="1"/>
                <w:bCs w:val="1"/>
                <w:color w:val="auto"/>
              </w:rPr>
              <w:t>Change</w:t>
            </w:r>
          </w:p>
        </w:tc>
        <w:tc>
          <w:tcPr>
            <w:tcW w:w="240" w:type="dxa"/>
            <w:vAlign w:val="bottom"/>
            <w:tcBorders>
              <w:bottom w:val="single" w:sz="8" w:color="CCECFF"/>
            </w:tcBorders>
          </w:tcPr>
          <w:p>
            <w:pPr>
              <w:spacing w:after="0"/>
              <w:rPr>
                <w:sz w:val="11"/>
                <w:szCs w:val="11"/>
                <w:color w:val="auto"/>
              </w:rPr>
            </w:pPr>
          </w:p>
        </w:tc>
        <w:tc>
          <w:tcPr>
            <w:tcW w:w="40" w:type="dxa"/>
            <w:vAlign w:val="bottom"/>
            <w:tcBorders>
              <w:bottom w:val="single" w:sz="8" w:color="CCECFF"/>
            </w:tcBorders>
          </w:tcPr>
          <w:p>
            <w:pPr>
              <w:spacing w:after="0"/>
              <w:rPr>
                <w:sz w:val="11"/>
                <w:szCs w:val="11"/>
                <w:color w:val="auto"/>
              </w:rPr>
            </w:pPr>
          </w:p>
        </w:tc>
        <w:tc>
          <w:tcPr>
            <w:tcW w:w="1320" w:type="dxa"/>
            <w:vAlign w:val="bottom"/>
            <w:tcBorders>
              <w:bottom w:val="single" w:sz="8" w:color="auto"/>
            </w:tcBorders>
            <w:gridSpan w:val="2"/>
          </w:tcPr>
          <w:p>
            <w:pPr>
              <w:jc w:val="center"/>
              <w:ind w:right="20"/>
              <w:spacing w:after="0" w:line="130" w:lineRule="exact"/>
              <w:rPr>
                <w:sz w:val="20"/>
                <w:szCs w:val="20"/>
                <w:color w:val="auto"/>
              </w:rPr>
            </w:pPr>
            <w:r>
              <w:rPr>
                <w:rFonts w:ascii="Arial" w:cs="Arial" w:eastAsia="Arial" w:hAnsi="Arial"/>
                <w:sz w:val="12"/>
                <w:szCs w:val="12"/>
                <w:b w:val="1"/>
                <w:bCs w:val="1"/>
                <w:color w:val="auto"/>
                <w:w w:val="95"/>
              </w:rPr>
              <w:t>Change</w:t>
            </w:r>
          </w:p>
        </w:tc>
      </w:tr>
      <w:tr>
        <w:trPr>
          <w:trHeight w:val="188"/>
        </w:trPr>
        <w:tc>
          <w:tcPr>
            <w:tcW w:w="4420" w:type="dxa"/>
            <w:vAlign w:val="bottom"/>
            <w:shd w:val="clear" w:color="auto" w:fill="CCECFF"/>
          </w:tcPr>
          <w:p>
            <w:pPr>
              <w:spacing w:after="0"/>
              <w:rPr>
                <w:sz w:val="20"/>
                <w:szCs w:val="20"/>
                <w:color w:val="auto"/>
              </w:rPr>
            </w:pPr>
            <w:r>
              <w:rPr>
                <w:rFonts w:ascii="Arial" w:cs="Arial" w:eastAsia="Arial" w:hAnsi="Arial"/>
                <w:sz w:val="15"/>
                <w:szCs w:val="15"/>
                <w:color w:val="auto"/>
              </w:rPr>
              <w:t>Other income (expense)</w:t>
            </w:r>
          </w:p>
        </w:tc>
        <w:tc>
          <w:tcPr>
            <w:tcW w:w="780" w:type="dxa"/>
            <w:vAlign w:val="bottom"/>
            <w:gridSpan w:val="2"/>
            <w:shd w:val="clear" w:color="auto" w:fill="CCECFF"/>
          </w:tcPr>
          <w:p>
            <w:pPr>
              <w:ind w:left="20"/>
              <w:spacing w:after="0"/>
              <w:rPr>
                <w:sz w:val="20"/>
                <w:szCs w:val="20"/>
                <w:color w:val="auto"/>
              </w:rPr>
            </w:pPr>
            <w:r>
              <w:rPr>
                <w:rFonts w:ascii="Arial" w:cs="Arial" w:eastAsia="Arial" w:hAnsi="Arial"/>
                <w:sz w:val="15"/>
                <w:szCs w:val="15"/>
                <w:color w:val="auto"/>
              </w:rPr>
              <w:t>$</w:t>
            </w:r>
          </w:p>
        </w:tc>
        <w:tc>
          <w:tcPr>
            <w:tcW w:w="680" w:type="dxa"/>
            <w:vAlign w:val="bottom"/>
            <w:gridSpan w:val="3"/>
            <w:shd w:val="clear" w:color="auto" w:fill="CCECFF"/>
          </w:tcPr>
          <w:p>
            <w:pPr>
              <w:jc w:val="right"/>
              <w:ind w:right="200"/>
              <w:spacing w:after="0"/>
              <w:rPr>
                <w:sz w:val="20"/>
                <w:szCs w:val="20"/>
                <w:color w:val="auto"/>
              </w:rPr>
            </w:pPr>
            <w:r>
              <w:rPr>
                <w:rFonts w:ascii="Arial" w:cs="Arial" w:eastAsia="Arial" w:hAnsi="Arial"/>
                <w:sz w:val="15"/>
                <w:szCs w:val="15"/>
                <w:color w:val="auto"/>
                <w:w w:val="96"/>
              </w:rPr>
              <w:t>(5,454)</w:t>
            </w:r>
          </w:p>
        </w:tc>
        <w:tc>
          <w:tcPr>
            <w:tcW w:w="880" w:type="dxa"/>
            <w:vAlign w:val="bottom"/>
            <w:gridSpan w:val="2"/>
            <w:shd w:val="clear" w:color="auto" w:fill="CCECFF"/>
          </w:tcPr>
          <w:p>
            <w:pPr>
              <w:jc w:val="right"/>
              <w:ind w:right="699"/>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CECFF"/>
          </w:tcPr>
          <w:p>
            <w:pPr>
              <w:jc w:val="right"/>
              <w:ind w:right="20"/>
              <w:spacing w:after="0"/>
              <w:rPr>
                <w:sz w:val="20"/>
                <w:szCs w:val="20"/>
                <w:color w:val="auto"/>
              </w:rPr>
            </w:pPr>
            <w:r>
              <w:rPr>
                <w:rFonts w:ascii="Arial" w:cs="Arial" w:eastAsia="Arial" w:hAnsi="Arial"/>
                <w:sz w:val="15"/>
                <w:szCs w:val="15"/>
                <w:color w:val="auto"/>
              </w:rPr>
              <w:t>4,995</w:t>
            </w:r>
          </w:p>
        </w:tc>
        <w:tc>
          <w:tcPr>
            <w:tcW w:w="240" w:type="dxa"/>
            <w:vAlign w:val="bottom"/>
            <w:shd w:val="clear" w:color="auto" w:fill="CCECFF"/>
          </w:tcPr>
          <w:p>
            <w:pPr>
              <w:spacing w:after="0"/>
              <w:rPr>
                <w:sz w:val="16"/>
                <w:szCs w:val="16"/>
                <w:color w:val="auto"/>
              </w:rPr>
            </w:pPr>
          </w:p>
        </w:tc>
        <w:tc>
          <w:tcPr>
            <w:tcW w:w="260" w:type="dxa"/>
            <w:vAlign w:val="bottom"/>
            <w:gridSpan w:val="2"/>
            <w:shd w:val="clear" w:color="auto" w:fill="CCECFF"/>
          </w:tcPr>
          <w:p>
            <w:pPr>
              <w:jc w:val="right"/>
              <w:ind w:right="14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CFF"/>
          </w:tcPr>
          <w:p>
            <w:pPr>
              <w:jc w:val="right"/>
              <w:ind w:right="200"/>
              <w:spacing w:after="0"/>
              <w:rPr>
                <w:sz w:val="20"/>
                <w:szCs w:val="20"/>
                <w:color w:val="auto"/>
              </w:rPr>
            </w:pPr>
            <w:r>
              <w:rPr>
                <w:rFonts w:ascii="Arial" w:cs="Arial" w:eastAsia="Arial" w:hAnsi="Arial"/>
                <w:sz w:val="15"/>
                <w:szCs w:val="15"/>
                <w:color w:val="auto"/>
              </w:rPr>
              <w:t>(10,449)</w:t>
            </w:r>
          </w:p>
        </w:tc>
        <w:tc>
          <w:tcPr>
            <w:tcW w:w="1360" w:type="dxa"/>
            <w:vAlign w:val="bottom"/>
            <w:gridSpan w:val="3"/>
            <w:shd w:val="clear" w:color="auto" w:fill="CCECFF"/>
          </w:tcPr>
          <w:p>
            <w:pPr>
              <w:jc w:val="right"/>
              <w:ind w:right="20"/>
              <w:spacing w:after="0"/>
              <w:rPr>
                <w:sz w:val="20"/>
                <w:szCs w:val="20"/>
                <w:color w:val="auto"/>
              </w:rPr>
            </w:pPr>
            <w:r>
              <w:rPr>
                <w:rFonts w:ascii="Arial" w:cs="Arial" w:eastAsia="Arial" w:hAnsi="Arial"/>
                <w:sz w:val="15"/>
                <w:szCs w:val="15"/>
                <w:color w:val="auto"/>
              </w:rPr>
              <w:t>*</w:t>
            </w:r>
          </w:p>
        </w:tc>
      </w:tr>
    </w:tbl>
    <w:p>
      <w:pPr>
        <w:spacing w:after="0" w:line="186" w:lineRule="exact"/>
        <w:rPr>
          <w:sz w:val="20"/>
          <w:szCs w:val="20"/>
          <w:color w:val="auto"/>
        </w:rPr>
      </w:pPr>
    </w:p>
    <w:p>
      <w:pPr>
        <w:ind w:right="20" w:firstLine="520"/>
        <w:spacing w:after="0" w:line="262" w:lineRule="auto"/>
        <w:rPr>
          <w:sz w:val="20"/>
          <w:szCs w:val="20"/>
          <w:color w:val="auto"/>
        </w:rPr>
      </w:pPr>
      <w:r>
        <w:rPr>
          <w:rFonts w:ascii="Arial" w:cs="Arial" w:eastAsia="Arial" w:hAnsi="Arial"/>
          <w:sz w:val="15"/>
          <w:szCs w:val="15"/>
          <w:color w:val="auto"/>
        </w:rPr>
        <w:t>Other income (expense) decreased $4.9 million and $10.4 million for the three and six months ended June 30, 2018, respectively, compared to the same periods in 2017. The decrease in expense recognized during the three months ended June 30, 2018 compared to the same period in 2017 was primarily due to prior period fluctuations of exchange rates related to intercompany loans with foreign subsidiaries that are denominated in our reporting currency and the strengthening of the respective foreign exchange rates. The increase in expense recognized during the six months ended June 30, 2018 was primarily due to the recognition of cumulative foreign currency translation losses related to the substantial liquidation of subsidiaries with a functional currency other than the U.S. Dollar during the three months ended March 31, 2018 and prior period fluctuations of exchange rates related to intercompany loans with foreign subsidiaries that are denominated in our reporting currency. These recognized foreign currency losses are substantially offset by the reclassification adjustment reported as a component of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85" w:lineRule="exact"/>
        <w:rPr>
          <w:sz w:val="20"/>
          <w:szCs w:val="20"/>
          <w:color w:val="auto"/>
        </w:rPr>
      </w:pPr>
    </w:p>
    <w:p>
      <w:pPr>
        <w:jc w:val="both"/>
        <w:ind w:right="220" w:firstLine="520"/>
        <w:spacing w:after="0" w:line="272" w:lineRule="auto"/>
        <w:rPr>
          <w:sz w:val="20"/>
          <w:szCs w:val="20"/>
          <w:color w:val="auto"/>
        </w:rPr>
      </w:pPr>
      <w:r>
        <w:rPr>
          <w:rFonts w:ascii="Arial" w:cs="Arial" w:eastAsia="Arial" w:hAnsi="Arial"/>
          <w:sz w:val="15"/>
          <w:szCs w:val="15"/>
          <w:color w:val="auto"/>
        </w:rPr>
        <w:t>We have funded our operations primarily from the sale of equity securities. In June 2018, we completed the sale of the PRV we received from the FDA in connection with the approval of Crysvita for net proceeds of $80.6 million. We shared the net proceeds from the sale of this PRV equally with KHK. At June 30, 2018, we may issue up to $72.6 million in common stock under our at-the-market offering.</w:t>
      </w:r>
    </w:p>
    <w:p>
      <w:pPr>
        <w:spacing w:after="0" w:line="25" w:lineRule="exact"/>
        <w:rPr>
          <w:sz w:val="20"/>
          <w:szCs w:val="20"/>
          <w:color w:val="auto"/>
        </w:rPr>
      </w:pPr>
    </w:p>
    <w:p>
      <w:pPr>
        <w:ind w:right="360" w:firstLine="520"/>
        <w:spacing w:after="0" w:line="267" w:lineRule="auto"/>
        <w:rPr>
          <w:sz w:val="20"/>
          <w:szCs w:val="20"/>
          <w:color w:val="auto"/>
        </w:rPr>
      </w:pPr>
      <w:r>
        <w:rPr>
          <w:rFonts w:ascii="Arial" w:cs="Arial" w:eastAsia="Arial" w:hAnsi="Arial"/>
          <w:sz w:val="15"/>
          <w:szCs w:val="15"/>
          <w:color w:val="auto"/>
        </w:rPr>
        <w:t>As of June 30, 2018, we had $547.1 million in available cash, cash equivalents, and investments. We believe that our existing capital resources will be sufficient to fund our projected operating requirements for at least the next twelve months. Our cash, cash equivalents and investments are held in a variety of deposit accounts, interest-bearing accounts, corporate bond securities, U.S government securities and money market funds. Cash in excess of immediate requirements is invested with a view toward liquidity and capital preservation, and we seek to minimize the potential effects of concentration and credit risk.</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summarizes our cash flows for the periods indicated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3"/>
              </w:rPr>
              <w:t>Six Months Ended June 30,</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60" w:type="dxa"/>
            <w:vAlign w:val="bottom"/>
          </w:tcPr>
          <w:p>
            <w:pPr>
              <w:spacing w:after="0"/>
              <w:rPr>
                <w:sz w:val="11"/>
                <w:szCs w:val="11"/>
                <w:color w:val="auto"/>
              </w:rPr>
            </w:pPr>
          </w:p>
        </w:tc>
        <w:tc>
          <w:tcPr>
            <w:tcW w:w="4640" w:type="dxa"/>
            <w:vAlign w:val="bottom"/>
            <w:tcBorders>
              <w:bottom w:val="single" w:sz="8" w:color="CCEEFF"/>
            </w:tcBorders>
          </w:tcPr>
          <w:p>
            <w:pPr>
              <w:spacing w:after="0"/>
              <w:rPr>
                <w:sz w:val="11"/>
                <w:szCs w:val="11"/>
                <w:color w:val="auto"/>
              </w:rPr>
            </w:pPr>
          </w:p>
        </w:tc>
        <w:tc>
          <w:tcPr>
            <w:tcW w:w="22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2018</w:t>
            </w: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66"/>
              <w:spacing w:after="0" w:line="130"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6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Cash used in operating activities</w:t>
            </w:r>
          </w:p>
        </w:tc>
        <w:tc>
          <w:tcPr>
            <w:tcW w:w="3120" w:type="dxa"/>
            <w:vAlign w:val="bottom"/>
            <w:gridSpan w:val="2"/>
            <w:shd w:val="clear" w:color="auto" w:fill="CCEEFF"/>
          </w:tcPr>
          <w:p>
            <w:pPr>
              <w:jc w:val="right"/>
              <w:ind w:right="771"/>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9"/>
              </w:rPr>
              <w:t>(165,556)</w:t>
            </w:r>
          </w:p>
        </w:tc>
        <w:tc>
          <w:tcPr>
            <w:tcW w:w="600" w:type="dxa"/>
            <w:vAlign w:val="bottom"/>
            <w:shd w:val="clear" w:color="auto" w:fill="CCEEFF"/>
          </w:tcPr>
          <w:p>
            <w:pPr>
              <w:jc w:val="right"/>
              <w:ind w:right="4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(110,027)</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gridSpan w:val="2"/>
          </w:tcPr>
          <w:p>
            <w:pPr>
              <w:ind w:left="560"/>
              <w:spacing w:after="0"/>
              <w:rPr>
                <w:sz w:val="20"/>
                <w:szCs w:val="20"/>
                <w:color w:val="auto"/>
              </w:rPr>
            </w:pPr>
            <w:r>
              <w:rPr>
                <w:rFonts w:ascii="Arial" w:cs="Arial" w:eastAsia="Arial" w:hAnsi="Arial"/>
                <w:sz w:val="15"/>
                <w:szCs w:val="15"/>
                <w:color w:val="auto"/>
              </w:rPr>
              <w:t>Cash used in investing activities</w:t>
            </w:r>
          </w:p>
        </w:tc>
        <w:tc>
          <w:tcPr>
            <w:tcW w:w="2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w w:val="99"/>
              </w:rPr>
              <w:t>(123,097)</w:t>
            </w:r>
          </w:p>
        </w:tc>
        <w:tc>
          <w:tcPr>
            <w:tcW w:w="6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(31,697)</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Cash provided by financing activities</w:t>
            </w:r>
          </w:p>
        </w:tc>
        <w:tc>
          <w:tcPr>
            <w:tcW w:w="2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299,587</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70,495</w:t>
            </w:r>
          </w:p>
        </w:tc>
        <w:tc>
          <w:tcPr>
            <w:tcW w:w="10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2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(647)</w:t>
            </w:r>
          </w:p>
        </w:tc>
        <w:tc>
          <w:tcPr>
            <w:tcW w:w="60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(361)</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40" w:type="dxa"/>
            <w:vAlign w:val="bottom"/>
            <w:vMerge w:val="restart"/>
            <w:shd w:val="clear" w:color="auto" w:fill="CCECFF"/>
          </w:tcPr>
          <w:p>
            <w:pPr>
              <w:spacing w:after="0"/>
              <w:rPr>
                <w:sz w:val="20"/>
                <w:szCs w:val="20"/>
                <w:color w:val="auto"/>
              </w:rPr>
            </w:pPr>
            <w:r>
              <w:rPr>
                <w:rFonts w:ascii="Arial" w:cs="Arial" w:eastAsia="Arial" w:hAnsi="Arial"/>
                <w:sz w:val="15"/>
                <w:szCs w:val="15"/>
                <w:color w:val="auto"/>
                <w:w w:val="99"/>
              </w:rPr>
              <w:t>Net increase (decrease) in cash, cash equivalents and restricted cash</w:t>
            </w:r>
          </w:p>
        </w:tc>
        <w:tc>
          <w:tcPr>
            <w:tcW w:w="2200" w:type="dxa"/>
            <w:vAlign w:val="bottom"/>
            <w:shd w:val="clear" w:color="auto" w:fill="CCEC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0" w:type="dxa"/>
            <w:vAlign w:val="bottom"/>
          </w:tcPr>
          <w:p>
            <w:pPr>
              <w:spacing w:after="0"/>
              <w:rPr>
                <w:sz w:val="16"/>
                <w:szCs w:val="16"/>
                <w:color w:val="auto"/>
              </w:rPr>
            </w:pPr>
          </w:p>
        </w:tc>
        <w:tc>
          <w:tcPr>
            <w:tcW w:w="4640" w:type="dxa"/>
            <w:vAlign w:val="bottom"/>
            <w:vMerge w:val="continue"/>
            <w:shd w:val="clear" w:color="auto" w:fill="CCECFF"/>
          </w:tcPr>
          <w:p>
            <w:pPr>
              <w:spacing w:after="0"/>
              <w:rPr>
                <w:sz w:val="16"/>
                <w:szCs w:val="16"/>
                <w:color w:val="auto"/>
              </w:rPr>
            </w:pPr>
          </w:p>
        </w:tc>
        <w:tc>
          <w:tcPr>
            <w:tcW w:w="2200" w:type="dxa"/>
            <w:vAlign w:val="bottom"/>
            <w:shd w:val="clear" w:color="auto" w:fill="CCECFF"/>
          </w:tcPr>
          <w:p>
            <w:pPr>
              <w:spacing w:after="0"/>
              <w:rPr>
                <w:sz w:val="16"/>
                <w:szCs w:val="16"/>
                <w:color w:val="auto"/>
              </w:rPr>
            </w:pPr>
          </w:p>
        </w:tc>
        <w:tc>
          <w:tcPr>
            <w:tcW w:w="920" w:type="dxa"/>
            <w:vAlign w:val="bottom"/>
            <w:shd w:val="clear" w:color="auto" w:fill="CCECFF"/>
          </w:tcPr>
          <w:p>
            <w:pPr>
              <w:jc w:val="right"/>
              <w:ind w:right="77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10,287</w:t>
            </w:r>
          </w:p>
        </w:tc>
        <w:tc>
          <w:tcPr>
            <w:tcW w:w="320" w:type="dxa"/>
            <w:vAlign w:val="bottom"/>
            <w:shd w:val="clear" w:color="auto" w:fill="CCECFF"/>
          </w:tcPr>
          <w:p>
            <w:pPr>
              <w:spacing w:after="0"/>
              <w:rPr>
                <w:sz w:val="16"/>
                <w:szCs w:val="16"/>
                <w:color w:val="auto"/>
              </w:rPr>
            </w:pPr>
          </w:p>
        </w:tc>
        <w:tc>
          <w:tcPr>
            <w:tcW w:w="600" w:type="dxa"/>
            <w:vAlign w:val="bottom"/>
            <w:shd w:val="clear" w:color="auto" w:fill="CCECFF"/>
          </w:tcPr>
          <w:p>
            <w:pPr>
              <w:jc w:val="right"/>
              <w:ind w:right="4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5"/>
                <w:szCs w:val="15"/>
                <w:color w:val="auto"/>
              </w:rPr>
              <w:t>(71,590)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40" w:type="dxa"/>
            <w:vAlign w:val="bottom"/>
            <w:tcBorders>
              <w:top w:val="single" w:sz="8" w:color="CCECFF"/>
            </w:tcBorders>
          </w:tcPr>
          <w:p>
            <w:pPr>
              <w:spacing w:after="0" w:line="20" w:lineRule="exact"/>
              <w:rPr>
                <w:sz w:val="1"/>
                <w:szCs w:val="1"/>
                <w:color w:val="auto"/>
              </w:rPr>
            </w:pPr>
          </w:p>
        </w:tc>
        <w:tc>
          <w:tcPr>
            <w:tcW w:w="2200" w:type="dxa"/>
            <w:vAlign w:val="bottom"/>
            <w:tcBorders>
              <w:top w:val="single" w:sz="8" w:color="CCECFF"/>
              <w:bottom w:val="single" w:sz="8" w:color="CCECFF"/>
            </w:tcBorders>
            <w:vMerge w:val="restart"/>
          </w:tcPr>
          <w:p>
            <w:pPr>
              <w:jc w:val="right"/>
              <w:ind w:right="1523"/>
              <w:spacing w:after="0"/>
              <w:rPr>
                <w:sz w:val="20"/>
                <w:szCs w:val="20"/>
                <w:color w:val="auto"/>
              </w:rPr>
            </w:pPr>
            <w:r>
              <w:rPr>
                <w:rFonts w:ascii="Arial" w:cs="Arial" w:eastAsia="Arial" w:hAnsi="Arial"/>
                <w:sz w:val="15"/>
                <w:szCs w:val="15"/>
                <w:color w:val="auto"/>
              </w:rPr>
              <w:t>20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6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22" w:name="page23"/>
    <w:bookmarkEnd w:id="22"/>
    <w:p>
      <w:pPr>
        <w:spacing w:after="0"/>
        <w:rPr>
          <w:sz w:val="20"/>
          <w:szCs w:val="20"/>
          <w:color w:val="auto"/>
        </w:rPr>
      </w:pPr>
      <w:r>
        <w:rPr>
          <w:rFonts w:ascii="Arial" w:cs="Arial" w:eastAsia="Arial" w:hAnsi="Arial"/>
          <w:sz w:val="15"/>
          <w:szCs w:val="15"/>
          <w:b w:val="1"/>
          <w:bCs w:val="1"/>
          <w:i w:val="1"/>
          <w:iCs w:val="1"/>
          <w:color w:val="auto"/>
        </w:rPr>
        <w:t>Cash Used in Operating Activities</w:t>
      </w:r>
    </w:p>
    <w:p>
      <w:pPr>
        <w:spacing w:after="0" w:line="81" w:lineRule="exact"/>
        <w:rPr>
          <w:sz w:val="20"/>
          <w:szCs w:val="20"/>
          <w:color w:val="auto"/>
        </w:rPr>
      </w:pPr>
    </w:p>
    <w:p>
      <w:pPr>
        <w:ind w:right="160" w:firstLine="520"/>
        <w:spacing w:after="0" w:line="272" w:lineRule="auto"/>
        <w:rPr>
          <w:sz w:val="20"/>
          <w:szCs w:val="20"/>
          <w:color w:val="auto"/>
        </w:rPr>
      </w:pPr>
      <w:r>
        <w:rPr>
          <w:rFonts w:ascii="Arial" w:cs="Arial" w:eastAsia="Arial" w:hAnsi="Arial"/>
          <w:sz w:val="15"/>
          <w:szCs w:val="15"/>
          <w:color w:val="auto"/>
        </w:rPr>
        <w:t>Our primary use of cash is to fund operating expenses, which consist primarily of research and development and commercial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spacing w:after="0" w:line="25" w:lineRule="exact"/>
        <w:rPr>
          <w:sz w:val="20"/>
          <w:szCs w:val="20"/>
          <w:color w:val="auto"/>
        </w:rPr>
      </w:pPr>
    </w:p>
    <w:p>
      <w:pPr>
        <w:ind w:firstLine="520"/>
        <w:spacing w:after="0" w:line="261" w:lineRule="auto"/>
        <w:rPr>
          <w:sz w:val="20"/>
          <w:szCs w:val="20"/>
          <w:color w:val="auto"/>
        </w:rPr>
      </w:pPr>
      <w:r>
        <w:rPr>
          <w:rFonts w:ascii="Arial" w:cs="Arial" w:eastAsia="Arial" w:hAnsi="Arial"/>
          <w:sz w:val="15"/>
          <w:szCs w:val="15"/>
          <w:color w:val="auto"/>
        </w:rPr>
        <w:t>Cash used in operating activities for the six months ended June 30, 2018 was $165.6 million and reflected a net loss of $22.5 million, $170.3 million for the gain from sale of the PRVs, and $0.9 million for the amortization of the discount paid on purchased investments, offset by non-cash charges of $38.4 million for stock-based compensation, $12.2 million for depreciation and amortization of intangible asset acquired, and $5.8 million of non-cash foreign currency remeasurement losses in connection with the substantial liquidation of subsidiaries due to a change in the Company’s tax structure and fluctuations of exchange rates related to intercompany transactions with foreign subsidiaries that are denominated in our reporting currency. Cash used in operating activities also reflected a $22.4 million increase in prepaid expenses and other current assets primarily due to an increase in receivables and prepaid manufacturing, a $0.1 million increase in other assets, a $1.4 million increase in accounts payable primarily due to the timing of payments and receipt of invoices, and a $7.0 million decrease in accrued expenses and other liabilities primarily as a result of a decrease in accrued bonus due to the payout of the 2017 annual bonus and accrued expenses due to the timing of the receipt of invoices.</w:t>
      </w:r>
    </w:p>
    <w:p>
      <w:pPr>
        <w:spacing w:after="0" w:line="34" w:lineRule="exact"/>
        <w:rPr>
          <w:sz w:val="20"/>
          <w:szCs w:val="20"/>
          <w:color w:val="auto"/>
        </w:rPr>
      </w:pPr>
    </w:p>
    <w:p>
      <w:pPr>
        <w:ind w:right="20" w:firstLine="520"/>
        <w:spacing w:after="0" w:line="310" w:lineRule="auto"/>
        <w:rPr>
          <w:sz w:val="20"/>
          <w:szCs w:val="20"/>
          <w:color w:val="auto"/>
        </w:rPr>
      </w:pPr>
      <w:r>
        <w:rPr>
          <w:rFonts w:ascii="Arial" w:cs="Arial" w:eastAsia="Arial" w:hAnsi="Arial"/>
          <w:sz w:val="13"/>
          <w:szCs w:val="13"/>
          <w:color w:val="auto"/>
        </w:rPr>
        <w:t>Cash used in operating activities for the six months ended June 30, 2017 was $110.0 million and reflected a net loss of $141.2 million, offset by non-cash charges of $31.3 million for stock-based compensation, $1.1 million for the amortization of premium paid on purchased investments, and $2.2 million for depreciation and amortization. There was also $4.6 million of non-cash foreign currency remeasurement gains due to increases in intercompany loans with foreign subsidiaries that are denominated in the reporting currency and the strengthening of the respective foreign exchange rates. Cash used in operating activities also reflected a $0.5 million decrease in prepaid expenses and other current assets, a $0.1 million decrease in other assets, and a $6.4 million increase in accounts payable primarily due to the timing of payments and receipt of invoices, offset by a $5.7 million decrease in accrued expenses and other liabilities primarily as a result of a decrease in accrued bonus due to the payout of the 2016 annual bonus and accrued expenses due to the receipt of invoices.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Used in Investing Activities</w:t>
      </w:r>
    </w:p>
    <w:p>
      <w:pPr>
        <w:spacing w:after="0" w:line="70" w:lineRule="exact"/>
        <w:rPr>
          <w:sz w:val="20"/>
          <w:szCs w:val="20"/>
          <w:color w:val="auto"/>
        </w:rPr>
      </w:pPr>
    </w:p>
    <w:p>
      <w:pPr>
        <w:ind w:right="20" w:firstLine="520"/>
        <w:spacing w:after="0" w:line="272" w:lineRule="auto"/>
        <w:rPr>
          <w:sz w:val="20"/>
          <w:szCs w:val="20"/>
          <w:color w:val="auto"/>
        </w:rPr>
      </w:pPr>
      <w:r>
        <w:rPr>
          <w:rFonts w:ascii="Arial" w:cs="Arial" w:eastAsia="Arial" w:hAnsi="Arial"/>
          <w:sz w:val="15"/>
          <w:szCs w:val="15"/>
          <w:color w:val="auto"/>
        </w:rPr>
        <w:t>Cash used in investing activities for the six months ended June 30, 2018 was $123.1 million and related to purchases of investments of $408.7 million and purchases of property and equipment of $1.9 million, offset by proceeds from the sale of PRVs of $170.3 million, proceeds from maturities of investments of $112.2 million, and the sale of investments of $5.0 million.</w:t>
      </w:r>
    </w:p>
    <w:p>
      <w:pPr>
        <w:spacing w:after="0" w:line="25" w:lineRule="exact"/>
        <w:rPr>
          <w:sz w:val="20"/>
          <w:szCs w:val="20"/>
          <w:color w:val="auto"/>
        </w:rPr>
      </w:pPr>
    </w:p>
    <w:p>
      <w:pPr>
        <w:ind w:right="100" w:firstLine="520"/>
        <w:spacing w:after="0" w:line="288" w:lineRule="auto"/>
        <w:rPr>
          <w:sz w:val="20"/>
          <w:szCs w:val="20"/>
          <w:color w:val="auto"/>
        </w:rPr>
      </w:pPr>
      <w:r>
        <w:rPr>
          <w:rFonts w:ascii="Arial" w:cs="Arial" w:eastAsia="Arial" w:hAnsi="Arial"/>
          <w:sz w:val="15"/>
          <w:szCs w:val="15"/>
          <w:color w:val="auto"/>
        </w:rPr>
        <w:t>Cash used in investing activities for the six months ended June 30, 2017 was $31.7 million and related to purchases of investments of $207.2 million and purchases of property and equipment of $0.9 million, offset by proceeds from maturities of investments of $154.7 million, and the sale of investments of $21.6 million.</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Provided by Financing Activities</w:t>
      </w:r>
    </w:p>
    <w:p>
      <w:pPr>
        <w:spacing w:after="0" w:line="70" w:lineRule="exact"/>
        <w:rPr>
          <w:sz w:val="20"/>
          <w:szCs w:val="20"/>
          <w:color w:val="auto"/>
        </w:rPr>
      </w:pPr>
    </w:p>
    <w:p>
      <w:pPr>
        <w:ind w:right="20" w:firstLine="520"/>
        <w:spacing w:after="0" w:line="272" w:lineRule="auto"/>
        <w:rPr>
          <w:sz w:val="20"/>
          <w:szCs w:val="20"/>
          <w:color w:val="auto"/>
        </w:rPr>
      </w:pPr>
      <w:r>
        <w:rPr>
          <w:rFonts w:ascii="Arial" w:cs="Arial" w:eastAsia="Arial" w:hAnsi="Arial"/>
          <w:sz w:val="15"/>
          <w:szCs w:val="15"/>
          <w:color w:val="auto"/>
        </w:rPr>
        <w:t>Cash provided by financing activities for the six months ended June 30, 2018 was $299.6 million and was comprised of $271.0 million from the sale of common stock in our underwritten public offering, $11.8 million from the sale of common stock in our ATM offering, and $16.8 million in net proceeds from the issuance of common stock pursuant to equity awards.</w:t>
      </w:r>
    </w:p>
    <w:p>
      <w:pPr>
        <w:spacing w:after="0" w:line="25" w:lineRule="exact"/>
        <w:rPr>
          <w:sz w:val="20"/>
          <w:szCs w:val="20"/>
          <w:color w:val="auto"/>
        </w:rPr>
      </w:pPr>
    </w:p>
    <w:p>
      <w:pPr>
        <w:ind w:right="20" w:firstLine="520"/>
        <w:spacing w:after="0" w:line="288" w:lineRule="auto"/>
        <w:rPr>
          <w:sz w:val="20"/>
          <w:szCs w:val="20"/>
          <w:color w:val="auto"/>
        </w:rPr>
      </w:pPr>
      <w:r>
        <w:rPr>
          <w:rFonts w:ascii="Arial" w:cs="Arial" w:eastAsia="Arial" w:hAnsi="Arial"/>
          <w:sz w:val="15"/>
          <w:szCs w:val="15"/>
          <w:color w:val="auto"/>
        </w:rPr>
        <w:t>Cash provided by financing activities for the six months ended June 30, 2017 was $70.5 million and was comprised of $67.6 million from the sale of common stock in our ATM offering, and $2.9 million in net proceeds from the issuance of common stock pursuant to equity awards.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Funding Requirements</w:t>
      </w:r>
    </w:p>
    <w:p>
      <w:pPr>
        <w:spacing w:after="0" w:line="74" w:lineRule="exact"/>
        <w:rPr>
          <w:sz w:val="20"/>
          <w:szCs w:val="20"/>
          <w:color w:val="auto"/>
        </w:rPr>
      </w:pPr>
    </w:p>
    <w:p>
      <w:pPr>
        <w:ind w:right="80" w:firstLine="520"/>
        <w:spacing w:after="0" w:line="264" w:lineRule="auto"/>
        <w:rPr>
          <w:sz w:val="20"/>
          <w:szCs w:val="20"/>
          <w:color w:val="auto"/>
        </w:rPr>
      </w:pPr>
      <w:r>
        <w:rPr>
          <w:rFonts w:ascii="Arial" w:cs="Arial" w:eastAsia="Arial" w:hAnsi="Arial"/>
          <w:sz w:val="15"/>
          <w:szCs w:val="15"/>
          <w:color w:val="auto"/>
        </w:rPr>
        <w:t>We anticipate, excluding non-recurring items, that we will continue to generate annual losses for the foreseeable future, and we expect the losses to increase as we continue the development of, and seek regulatory approvals for, our product candidates, and begin to commercialize our approved products. Due to certain non-recurring or infrequent items like the sale of priority review vouchers, we may have income or lower levels of losses in the near term in quarterly periods that may not be indicative of future periods or trends. We will likely require additional capital to fund our operations, complete our ongoing and planned clinical studies and commercialize our products, and funding may not be available to us on acceptable terms or at all.</w:t>
      </w:r>
    </w:p>
    <w:p>
      <w:pPr>
        <w:spacing w:after="0" w:line="32" w:lineRule="exact"/>
        <w:rPr>
          <w:sz w:val="20"/>
          <w:szCs w:val="20"/>
          <w:color w:val="auto"/>
        </w:rPr>
      </w:pPr>
    </w:p>
    <w:p>
      <w:pPr>
        <w:ind w:firstLine="520"/>
        <w:spacing w:after="0" w:line="272" w:lineRule="auto"/>
        <w:rPr>
          <w:sz w:val="20"/>
          <w:szCs w:val="20"/>
          <w:color w:val="auto"/>
        </w:rPr>
      </w:pPr>
      <w:r>
        <w:rPr>
          <w:rFonts w:ascii="Arial" w:cs="Arial" w:eastAsia="Arial" w:hAnsi="Arial"/>
          <w:sz w:val="15"/>
          <w:szCs w:val="15"/>
          <w:color w:val="auto"/>
        </w:rPr>
        <w:t>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Our future funding requirements will depend on many factors, including the following:</w:t>
      </w:r>
    </w:p>
    <w:p>
      <w:pPr>
        <w:spacing w:after="0" w:line="70" w:lineRule="exact"/>
        <w:rPr>
          <w:sz w:val="20"/>
          <w:szCs w:val="20"/>
          <w:color w:val="auto"/>
        </w:rPr>
      </w:pPr>
    </w:p>
    <w:p>
      <w:pPr>
        <w:ind w:left="900" w:hanging="389"/>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scope, rate of progress, results and cost of our clinical studies, nonclinical testing, and other related activities;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 of manufacturing clinical supplies, and establishing commercial supplies, of our product candidates and any products that we may develop;</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325" w:right="259" w:bottom="1440" w:gutter="0" w:footer="0" w:header="0"/>
        </w:sectPr>
      </w:pPr>
    </w:p>
    <w:bookmarkStart w:id="23" w:name="page24"/>
    <w:bookmarkEnd w:id="23"/>
    <w:p>
      <w:pPr>
        <w:ind w:left="900" w:hanging="389"/>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number and characteristics of product candidates that we pursue;</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cost, timing, and outcomes of regulatory approvals;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cost and timing of establishing our commercial infrastructure, and distribution capabilities; and</w:t>
      </w:r>
    </w:p>
    <w:p>
      <w:pPr>
        <w:spacing w:after="0" w:line="69" w:lineRule="exact"/>
        <w:rPr>
          <w:rFonts w:ascii="Arial" w:cs="Arial" w:eastAsia="Arial" w:hAnsi="Arial"/>
          <w:sz w:val="15"/>
          <w:szCs w:val="15"/>
          <w:color w:val="auto"/>
        </w:rPr>
      </w:pPr>
    </w:p>
    <w:p>
      <w:pPr>
        <w:ind w:left="900" w:right="500" w:hanging="389"/>
        <w:spacing w:after="0" w:line="288"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terms and timing of any collaborative, licensing, and other arrangements that we may establish, including any required upfront milestone and royalty payments thereunder.</w:t>
      </w:r>
    </w:p>
    <w:p>
      <w:pPr>
        <w:spacing w:after="0" w:line="13" w:lineRule="exact"/>
        <w:rPr>
          <w:sz w:val="20"/>
          <w:szCs w:val="20"/>
          <w:color w:val="auto"/>
        </w:rPr>
      </w:pPr>
    </w:p>
    <w:p>
      <w:pPr>
        <w:ind w:right="300" w:firstLine="520"/>
        <w:spacing w:after="0" w:line="272" w:lineRule="auto"/>
        <w:rPr>
          <w:sz w:val="20"/>
          <w:szCs w:val="20"/>
          <w:color w:val="auto"/>
        </w:rPr>
      </w:pPr>
      <w:r>
        <w:rPr>
          <w:rFonts w:ascii="Arial" w:cs="Arial" w:eastAsia="Arial" w:hAnsi="Arial"/>
          <w:sz w:val="15"/>
          <w:szCs w:val="15"/>
          <w:color w:val="auto"/>
        </w:rPr>
        <w:t>We expect to satisfy future cash needs through existing capital balances and through some combination of public or private equity offerings, debt financings, collaborations, strategic alliances, licensing arrangements, and other marketing and distribution arrangements. Please see “Risk Factors—Risks Related to Our Financial Condition and Capital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74" w:lineRule="exact"/>
        <w:rPr>
          <w:sz w:val="20"/>
          <w:szCs w:val="20"/>
          <w:color w:val="auto"/>
        </w:rPr>
      </w:pPr>
    </w:p>
    <w:p>
      <w:pPr>
        <w:ind w:right="320" w:firstLine="520"/>
        <w:spacing w:after="0" w:line="288" w:lineRule="auto"/>
        <w:rPr>
          <w:sz w:val="20"/>
          <w:szCs w:val="20"/>
          <w:color w:val="auto"/>
        </w:rPr>
      </w:pPr>
      <w:r>
        <w:rPr>
          <w:rFonts w:ascii="Arial" w:cs="Arial" w:eastAsia="Arial" w:hAnsi="Arial"/>
          <w:sz w:val="15"/>
          <w:szCs w:val="15"/>
          <w:color w:val="auto"/>
        </w:rPr>
        <w:t>During the six months ended June 30, 2018, there were no material changes to our contractual obligations and commitments described under Management’s Discussion and Analysis of Financial Condition and Results of Operations in our Annual Report on Form 10-K for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have not engaged in any off-balance sheet arrangements, as defined in the rules and regulations of the SEC.</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3. </w:t>
      </w:r>
      <w:r>
        <w:rPr>
          <w:rFonts w:ascii="Arial" w:cs="Arial" w:eastAsia="Arial" w:hAnsi="Arial"/>
          <w:sz w:val="15"/>
          <w:szCs w:val="15"/>
          <w:b w:val="1"/>
          <w:bCs w:val="1"/>
          <w:i w:val="1"/>
          <w:iCs w:val="1"/>
          <w:color w:val="auto"/>
        </w:rPr>
        <w:t>Quantitative and Qualitative Disclosures About Market Risk</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Risk</w:t>
      </w:r>
    </w:p>
    <w:p>
      <w:pPr>
        <w:spacing w:after="0" w:line="81" w:lineRule="exact"/>
        <w:rPr>
          <w:sz w:val="20"/>
          <w:szCs w:val="20"/>
          <w:color w:val="auto"/>
        </w:rPr>
      </w:pPr>
    </w:p>
    <w:p>
      <w:pPr>
        <w:ind w:right="120" w:firstLine="520"/>
        <w:spacing w:after="0" w:line="283" w:lineRule="auto"/>
        <w:rPr>
          <w:sz w:val="20"/>
          <w:szCs w:val="20"/>
          <w:color w:val="auto"/>
        </w:rPr>
      </w:pPr>
      <w:r>
        <w:rPr>
          <w:rFonts w:ascii="Arial" w:cs="Arial" w:eastAsia="Arial" w:hAnsi="Arial"/>
          <w:sz w:val="14"/>
          <w:szCs w:val="14"/>
          <w:color w:val="auto"/>
        </w:rPr>
        <w:t>Our exposure to market risk for changes in interest rates relates primarily to interest earned on our cash equivalents and investments.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June 30, 2018, we had cash, cash equivalents, and investments totaling $547.1 million which includes bank deposits, money market funds, U.S. government treasury and agency securities, and investment-grade corporate bond securities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100 basis point change in interest rates during any of the periods presented would not have had a material impact on our consolidated financial statements. To date, we have not experienced a loss of principal on any of our investments.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Risk</w:t>
      </w:r>
    </w:p>
    <w:p>
      <w:pPr>
        <w:spacing w:after="0" w:line="70"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We have exposure to currency risk related to intercompany balances with our foreign subsidiaries, resulting in the foreign currency gains and losses generated on the remeasurement of our intercompany balances with our foreign subsidiaries, which are reported in other income (expense). The intercompany amounts are largely offset by the translation gains (losses) reported in other comprehensive income (loss), resulting in immaterial impact on stockholders’ equity. A hypothetical 10% change in foreign exchange rates during any of the periods presented would not have had a material impact on our consolidated financial statements.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Controls and Procedures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85" w:lineRule="exact"/>
        <w:rPr>
          <w:sz w:val="20"/>
          <w:szCs w:val="20"/>
          <w:color w:val="auto"/>
        </w:rPr>
      </w:pPr>
    </w:p>
    <w:p>
      <w:pPr>
        <w:ind w:firstLine="520"/>
        <w:spacing w:after="0" w:line="280" w:lineRule="auto"/>
        <w:rPr>
          <w:sz w:val="20"/>
          <w:szCs w:val="20"/>
          <w:color w:val="auto"/>
        </w:rPr>
      </w:pPr>
      <w:r>
        <w:rPr>
          <w:rFonts w:ascii="Arial" w:cs="Arial" w:eastAsia="Arial" w:hAnsi="Arial"/>
          <w:sz w:val="14"/>
          <w:szCs w:val="14"/>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Quarterly Report, pursuant to Rules 13a-15(b) and 15d-15(b) under the Securities Exchange Act of 1934, or the Exchange Act. 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June 30, 2018.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74" w:lineRule="exact"/>
        <w:rPr>
          <w:sz w:val="20"/>
          <w:szCs w:val="20"/>
          <w:color w:val="auto"/>
        </w:rPr>
      </w:pPr>
    </w:p>
    <w:p>
      <w:pPr>
        <w:ind w:right="300" w:firstLine="520"/>
        <w:spacing w:after="0" w:line="288" w:lineRule="auto"/>
        <w:rPr>
          <w:sz w:val="20"/>
          <w:szCs w:val="20"/>
          <w:color w:val="auto"/>
        </w:rPr>
      </w:pPr>
      <w:r>
        <w:rPr>
          <w:rFonts w:ascii="Arial" w:cs="Arial" w:eastAsia="Arial" w:hAnsi="Arial"/>
          <w:sz w:val="15"/>
          <w:szCs w:val="15"/>
          <w:color w:val="auto"/>
        </w:rPr>
        <w:t>There have been no changes in our internal control over financial reporting (as defined in Rules 13a-15(f) and 15d-15(f) under the Exchange Act) during our second quarter ended June 30, 2018, that has materially affected, or is reasonably likely to materially affect our internal control over financial reporting.</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PART II. OTHER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Legal Proceedings</w:t>
      </w:r>
    </w:p>
    <w:p>
      <w:pPr>
        <w:spacing w:after="0" w:line="85" w:lineRule="exact"/>
        <w:rPr>
          <w:sz w:val="20"/>
          <w:szCs w:val="20"/>
          <w:color w:val="auto"/>
        </w:rPr>
      </w:pPr>
    </w:p>
    <w:p>
      <w:pPr>
        <w:ind w:right="80" w:firstLine="520"/>
        <w:spacing w:after="0" w:line="263" w:lineRule="auto"/>
        <w:rPr>
          <w:sz w:val="20"/>
          <w:szCs w:val="20"/>
          <w:color w:val="auto"/>
        </w:rPr>
      </w:pPr>
      <w:r>
        <w:rPr>
          <w:rFonts w:ascii="Arial" w:cs="Arial" w:eastAsia="Arial" w:hAnsi="Arial"/>
          <w:sz w:val="15"/>
          <w:szCs w:val="15"/>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1A. </w:t>
      </w:r>
      <w:r>
        <w:rPr>
          <w:rFonts w:ascii="Arial" w:cs="Arial" w:eastAsia="Arial" w:hAnsi="Arial"/>
          <w:sz w:val="15"/>
          <w:szCs w:val="15"/>
          <w:b w:val="1"/>
          <w:bCs w:val="1"/>
          <w:i w:val="1"/>
          <w:iCs w:val="1"/>
          <w:color w:val="auto"/>
        </w:rPr>
        <w:t>Risk Factors</w:t>
      </w:r>
    </w:p>
    <w:p>
      <w:pPr>
        <w:spacing w:after="0" w:line="74" w:lineRule="exact"/>
        <w:rPr>
          <w:sz w:val="20"/>
          <w:szCs w:val="20"/>
          <w:color w:val="auto"/>
        </w:rPr>
      </w:pPr>
    </w:p>
    <w:p>
      <w:pPr>
        <w:ind w:right="240"/>
        <w:spacing w:after="0" w:line="300"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following risks, together with all the other information in this report, including our financial statements and notes thereto, before deciding to invest in our common stock. If any of the following risks actually materialize, our operating results, financial condition, and liquidity could be materially adversely affected. As a result, the trading price of our common stock could decline and you could lose part or all of your investment.</w:t>
      </w:r>
    </w:p>
    <w:p>
      <w:pPr>
        <w:spacing w:after="0" w:line="8" w:lineRule="exact"/>
        <w:rPr>
          <w:sz w:val="20"/>
          <w:szCs w:val="20"/>
          <w:color w:val="auto"/>
        </w:rPr>
      </w:pPr>
    </w:p>
    <w:p>
      <w:pPr>
        <w:spacing w:after="0" w:line="288" w:lineRule="auto"/>
        <w:rPr>
          <w:sz w:val="20"/>
          <w:szCs w:val="20"/>
          <w:color w:val="auto"/>
        </w:rPr>
      </w:pPr>
      <w:r>
        <w:rPr>
          <w:rFonts w:ascii="Arial" w:cs="Arial" w:eastAsia="Arial" w:hAnsi="Arial"/>
          <w:sz w:val="15"/>
          <w:szCs w:val="15"/>
          <w:i w:val="1"/>
          <w:iCs w:val="1"/>
          <w:color w:val="auto"/>
        </w:rPr>
        <w:t>The following description of the risk factors associated with our business includes any material changes to and supersedes the description of the risk factors associated with our business previously disclosed in Part I, Item 1A of the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Financial Condition and Capital Requirements</w:t>
      </w:r>
    </w:p>
    <w:p>
      <w:pPr>
        <w:spacing w:after="0" w:line="74"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b w:val="1"/>
          <w:bCs w:val="1"/>
          <w:i w:val="1"/>
          <w:iCs w:val="1"/>
          <w:color w:val="auto"/>
        </w:rPr>
        <w:t>We have a limited operating history on which to assess our business, have incurred significant losses since our inception, and anticipate that, excluding non-recurring events, we will continue to incur significant losses for the foreseeable future.</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are a biopharmaceutical company with a limited operating history. We have incurred net losses in each year since our inception in April 2010.</w:t>
      </w:r>
    </w:p>
    <w:p>
      <w:pPr>
        <w:spacing w:after="0" w:line="81" w:lineRule="exact"/>
        <w:rPr>
          <w:sz w:val="20"/>
          <w:szCs w:val="20"/>
          <w:color w:val="auto"/>
        </w:rPr>
      </w:pPr>
    </w:p>
    <w:p>
      <w:pPr>
        <w:ind w:right="20" w:firstLine="520"/>
        <w:spacing w:after="0" w:line="281" w:lineRule="auto"/>
        <w:rPr>
          <w:sz w:val="20"/>
          <w:szCs w:val="20"/>
          <w:color w:val="auto"/>
        </w:rPr>
      </w:pPr>
      <w:r>
        <w:rPr>
          <w:rFonts w:ascii="Arial" w:cs="Arial" w:eastAsia="Arial" w:hAnsi="Arial"/>
          <w:sz w:val="14"/>
          <w:szCs w:val="14"/>
          <w:color w:val="auto"/>
        </w:rPr>
        <w:t>Biopharmaceutical product development is a highly speculative undertaking and involves a substantial degree of risk. We have devoted substantially all of our financial resources to identifying, acquiring, and developing our products and product candidates, including conducting clinical studies, developing manufacturing processes, manufacturing product candidates for clinical studies, and providing selling, general and administrative support for these operations. To date, we have financed our operations primarily through the sale of equity securities. The amount of our future net losses will depend, in part, on non-recurring events, the rate of our future expenditures and our ability to obtain funding through equity or debt financings, strategic collaborations, or grants. Our future revenue will depend upon the size of any markets in which our products are approved and any of our product candidates may receive approval, and our ability to achieve sufficient market acceptance, pricing, reimbursement, and adequate market share for our products and product candidates in those markets. However, even if we obtain adequate market share for our products and product candidates, because the potential markets in which our products and product candidates may ultimately receive regulatory approval are very small, and our expenses may be greater than expected, we may never become profitable (excluding non-recurring events) despite obtaining such market share and acceptance of our products and product candidates that may receive approval.</w:t>
      </w:r>
    </w:p>
    <w:p>
      <w:pPr>
        <w:spacing w:after="0" w:line="22" w:lineRule="exact"/>
        <w:rPr>
          <w:sz w:val="20"/>
          <w:szCs w:val="20"/>
          <w:color w:val="auto"/>
        </w:rPr>
      </w:pPr>
    </w:p>
    <w:p>
      <w:pPr>
        <w:ind w:right="180" w:firstLine="520"/>
        <w:spacing w:after="0" w:line="288" w:lineRule="auto"/>
        <w:rPr>
          <w:sz w:val="20"/>
          <w:szCs w:val="20"/>
          <w:color w:val="auto"/>
        </w:rPr>
      </w:pPr>
      <w:r>
        <w:rPr>
          <w:rFonts w:ascii="Arial" w:cs="Arial" w:eastAsia="Arial" w:hAnsi="Arial"/>
          <w:sz w:val="15"/>
          <w:szCs w:val="15"/>
          <w:color w:val="auto"/>
        </w:rPr>
        <w:t>We expect to continue to incur significant expenses and increasing operating losses for the foreseeable future, excluding non-recurring events. We anticipate that our expenses will increase substantially if and as we:</w:t>
      </w:r>
    </w:p>
    <w:p>
      <w:pPr>
        <w:spacing w:after="0" w:line="13" w:lineRule="exact"/>
        <w:rPr>
          <w:sz w:val="20"/>
          <w:szCs w:val="20"/>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continue our research and nonclinical and clinical development of our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expand the scope of our current clinical studies for our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advance our programs into more expensive clinical studies;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initiate additional nonclinical, clinical, or other studies for our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pursue preclinical and clinical development for additional indications for existing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change or add additional manufacturers or suppliers;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seek regulatory and marketing approvals for our product candidates that successfully complete clinical studies;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establish Medical Affairs field teams to initiate relevant disease education;</w:t>
      </w:r>
    </w:p>
    <w:p>
      <w:pPr>
        <w:spacing w:after="0" w:line="69" w:lineRule="exact"/>
        <w:rPr>
          <w:rFonts w:ascii="Arial" w:cs="Arial" w:eastAsia="Arial" w:hAnsi="Arial"/>
          <w:sz w:val="15"/>
          <w:szCs w:val="15"/>
          <w:color w:val="auto"/>
        </w:rPr>
      </w:pPr>
    </w:p>
    <w:p>
      <w:pPr>
        <w:ind w:left="900" w:right="540" w:hanging="389"/>
        <w:spacing w:after="0" w:line="288"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establish a marketing and distribution infrastructure and field force to commercialize our products and any product candidates for which we may obtain marketing approval;</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continue to establish our international subsidiaries;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continue to operate as a public company and comply with legal, accounting and other regulatory requirements;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seek to identify, assess, license, acquire, and/or develop other product candidates, technologies, and/or businesses;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26" w:name="page27"/>
    <w:bookmarkEnd w:id="26"/>
    <w:p>
      <w:pPr>
        <w:ind w:left="900" w:hanging="389"/>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make milestone or other payments under any license or other agreements;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seek to maintain, protect, and expand our intellectual property portfolio;</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seek to attract and retain skilled personnel;</w:t>
      </w:r>
    </w:p>
    <w:p>
      <w:pPr>
        <w:spacing w:after="0" w:line="69" w:lineRule="exact"/>
        <w:rPr>
          <w:rFonts w:ascii="Arial" w:cs="Arial" w:eastAsia="Arial" w:hAnsi="Arial"/>
          <w:sz w:val="15"/>
          <w:szCs w:val="15"/>
          <w:color w:val="auto"/>
        </w:rPr>
      </w:pPr>
    </w:p>
    <w:p>
      <w:pPr>
        <w:ind w:left="900" w:right="1040" w:hanging="389"/>
        <w:spacing w:after="0" w:line="288"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create additional infrastructure, including facilities and systems, to support the growth of our operations, our product development, and our planned future commercialization efforts; and</w:t>
      </w:r>
    </w:p>
    <w:p>
      <w:pPr>
        <w:spacing w:after="0" w:line="12" w:lineRule="exact"/>
        <w:rPr>
          <w:rFonts w:ascii="Arial" w:cs="Arial" w:eastAsia="Arial" w:hAnsi="Arial"/>
          <w:sz w:val="15"/>
          <w:szCs w:val="15"/>
          <w:color w:val="auto"/>
        </w:rPr>
      </w:pPr>
    </w:p>
    <w:p>
      <w:pPr>
        <w:ind w:left="900" w:right="100" w:hanging="389"/>
        <w:spacing w:after="0" w:line="342"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spacing w:after="0" w:line="1" w:lineRule="exact"/>
        <w:rPr>
          <w:sz w:val="20"/>
          <w:szCs w:val="20"/>
          <w:color w:val="auto"/>
        </w:rPr>
      </w:pPr>
    </w:p>
    <w:p>
      <w:pPr>
        <w:ind w:right="80" w:firstLine="520"/>
        <w:spacing w:after="0" w:line="288" w:lineRule="auto"/>
        <w:rPr>
          <w:sz w:val="20"/>
          <w:szCs w:val="20"/>
          <w:color w:val="auto"/>
        </w:rPr>
      </w:pPr>
      <w:r>
        <w:rPr>
          <w:rFonts w:ascii="Arial" w:cs="Arial" w:eastAsia="Arial" w:hAnsi="Arial"/>
          <w:sz w:val="15"/>
          <w:szCs w:val="15"/>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not generated any significant revenue from product sales and we may never be profitable, excluding non-recurring events.</w:t>
      </w:r>
    </w:p>
    <w:p>
      <w:pPr>
        <w:spacing w:after="0" w:line="70" w:lineRule="exact"/>
        <w:rPr>
          <w:sz w:val="20"/>
          <w:szCs w:val="20"/>
          <w:color w:val="auto"/>
        </w:rPr>
      </w:pPr>
    </w:p>
    <w:p>
      <w:pPr>
        <w:ind w:firstLine="520"/>
        <w:spacing w:after="0" w:line="267" w:lineRule="auto"/>
        <w:rPr>
          <w:sz w:val="20"/>
          <w:szCs w:val="20"/>
          <w:color w:val="auto"/>
        </w:rPr>
      </w:pPr>
      <w:r>
        <w:rPr>
          <w:rFonts w:ascii="Arial" w:cs="Arial" w:eastAsia="Arial" w:hAnsi="Arial"/>
          <w:sz w:val="15"/>
          <w:szCs w:val="15"/>
          <w:color w:val="auto"/>
        </w:rPr>
        <w:t>We have two products approved for commercialization but have not generated any significant revenue from product sales. Our ability to generate significant revenue and achieve profitability depends on our ability, alone or with strategic collaboration partners, to successfully commercialize our products and to complete the development of, and obtain the regulatory and marketing approvals necessary to commercialize, one or more of our product candidates. Our ability to generate substantial future revenue from product sales, including named patient sales, and to potentially be profitable depends heavily on our success in many areas, including but not limited to:</w:t>
      </w:r>
    </w:p>
    <w:p>
      <w:pPr>
        <w:spacing w:after="0" w:line="28" w:lineRule="exact"/>
        <w:rPr>
          <w:sz w:val="20"/>
          <w:szCs w:val="20"/>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completing research and nonclinical and clinical development of our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obtaining regulatory and marketing approvals for product candidates for which we complete clinical studies;</w:t>
      </w:r>
    </w:p>
    <w:p>
      <w:pPr>
        <w:spacing w:after="0" w:line="69" w:lineRule="exact"/>
        <w:rPr>
          <w:rFonts w:ascii="Arial" w:cs="Arial" w:eastAsia="Arial" w:hAnsi="Arial"/>
          <w:sz w:val="15"/>
          <w:szCs w:val="15"/>
          <w:color w:val="auto"/>
        </w:rPr>
      </w:pPr>
    </w:p>
    <w:p>
      <w:pPr>
        <w:ind w:left="900" w:right="40" w:hanging="389"/>
        <w:spacing w:after="0" w:line="272"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developing a sustainable and scalable manufacturing process for our products and any approved product candidates and establishing and maintaining supply and manufacturing relationships with third parties that can conduct the processes and provide adequate (in amount and quality) product supply to support clinical development and the market demand for our products and product candidates, if approved;</w:t>
      </w:r>
    </w:p>
    <w:p>
      <w:pPr>
        <w:spacing w:after="0" w:line="24" w:lineRule="exact"/>
        <w:rPr>
          <w:rFonts w:ascii="Arial" w:cs="Arial" w:eastAsia="Arial" w:hAnsi="Arial"/>
          <w:sz w:val="15"/>
          <w:szCs w:val="15"/>
          <w:color w:val="auto"/>
        </w:rPr>
      </w:pPr>
    </w:p>
    <w:p>
      <w:pPr>
        <w:ind w:left="900" w:right="420" w:hanging="389"/>
        <w:spacing w:after="0" w:line="288"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launching and commercializing our products and product candidates for which we obtain regulatory and marketing approval, either directly or with a collaborator or distributor;</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obtaining market acceptance of our products and product candidates as viable treatment options;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obtaining adequate reimbursement and pricing for our products and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our ability to sell our products and product candidates on a named patient basis or through an equivalent mechanism and the amount of revenue generated from such sales;</w:t>
      </w:r>
    </w:p>
    <w:p>
      <w:pPr>
        <w:spacing w:after="0" w:line="92" w:lineRule="exact"/>
        <w:rPr>
          <w:rFonts w:ascii="Arial" w:cs="Arial" w:eastAsia="Arial" w:hAnsi="Arial"/>
          <w:sz w:val="13"/>
          <w:szCs w:val="13"/>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addressing any competing technological and market developments;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identifying, assessing, licensing, acquiring, and/or developing new product candidates, technologies, and/or businesses;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negotiating favorable terms in any collaboration, licensing, or other arrangements into which we may enter, any amendments thereto or extensions thereof;</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maintaining, protecting, and expanding our portfolio of intellectual property rights, including patents, trade secrets, and know-how; and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attracting, hiring, and retaining qualified personnel.</w:t>
      </w:r>
    </w:p>
    <w:p>
      <w:pPr>
        <w:spacing w:after="0" w:line="70" w:lineRule="exact"/>
        <w:rPr>
          <w:sz w:val="20"/>
          <w:szCs w:val="20"/>
          <w:color w:val="auto"/>
        </w:rPr>
      </w:pPr>
    </w:p>
    <w:p>
      <w:pPr>
        <w:ind w:right="20" w:firstLine="520"/>
        <w:spacing w:after="0" w:line="283" w:lineRule="auto"/>
        <w:rPr>
          <w:sz w:val="20"/>
          <w:szCs w:val="20"/>
          <w:color w:val="auto"/>
        </w:rPr>
      </w:pPr>
      <w:r>
        <w:rPr>
          <w:rFonts w:ascii="Arial" w:cs="Arial" w:eastAsia="Arial" w:hAnsi="Arial"/>
          <w:sz w:val="14"/>
          <w:szCs w:val="14"/>
          <w:color w:val="auto"/>
        </w:rPr>
        <w:t>We anticipate incurring significant costs associated with commercializing our products and any approved product candidate. Our expenses could increase beyond expectations if we are required by the FDA, the EMA, or other regulatory agencies, domestic or foreign, to change our manufacturing processes or assays,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approved indication(s), the ability to obtain reimbursement at any price, and whether we own the commercial rights for that territory. 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our products, even if approved.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7" w:name="page28"/>
    <w:bookmarkEnd w:id="27"/>
    <w:p>
      <w:pPr>
        <w:spacing w:after="0" w:line="288" w:lineRule="auto"/>
        <w:rPr>
          <w:sz w:val="20"/>
          <w:szCs w:val="20"/>
          <w:color w:val="auto"/>
        </w:rPr>
      </w:pPr>
      <w:r>
        <w:rPr>
          <w:rFonts w:ascii="Arial" w:cs="Arial" w:eastAsia="Arial" w:hAnsi="Arial"/>
          <w:sz w:val="15"/>
          <w:szCs w:val="15"/>
          <w:b w:val="1"/>
          <w:bCs w:val="1"/>
          <w:i w:val="1"/>
          <w:iCs w:val="1"/>
          <w:color w:val="auto"/>
        </w:rPr>
        <w:t>We expect we will need to raise additional capital to fund our activities. This additional financing may not be available on acceptable terms, or at all. Failure to obtain this necessary capital when needed may force us to delay, limit, or terminate our product development efforts or other activities.</w:t>
      </w:r>
    </w:p>
    <w:p>
      <w:pPr>
        <w:spacing w:after="0" w:line="24" w:lineRule="exact"/>
        <w:rPr>
          <w:sz w:val="20"/>
          <w:szCs w:val="20"/>
          <w:color w:val="auto"/>
        </w:rPr>
      </w:pPr>
    </w:p>
    <w:p>
      <w:pPr>
        <w:ind w:right="120" w:firstLine="520"/>
        <w:spacing w:after="0" w:line="288" w:lineRule="auto"/>
        <w:rPr>
          <w:sz w:val="20"/>
          <w:szCs w:val="20"/>
          <w:color w:val="auto"/>
        </w:rPr>
      </w:pPr>
      <w:r>
        <w:rPr>
          <w:rFonts w:ascii="Arial" w:cs="Arial" w:eastAsia="Arial" w:hAnsi="Arial"/>
          <w:sz w:val="15"/>
          <w:szCs w:val="15"/>
          <w:color w:val="auto"/>
        </w:rPr>
        <w:t>As we continue to advance our product candidates through preclinical and clinical development and increase our commercialization efforts, we expect our expenses to increase substantially in connection with our ongoing activities.</w:t>
      </w:r>
    </w:p>
    <w:p>
      <w:pPr>
        <w:spacing w:after="0" w:line="13" w:lineRule="exact"/>
        <w:rPr>
          <w:sz w:val="20"/>
          <w:szCs w:val="20"/>
          <w:color w:val="auto"/>
        </w:rPr>
      </w:pPr>
    </w:p>
    <w:p>
      <w:pPr>
        <w:ind w:right="200" w:firstLine="520"/>
        <w:spacing w:after="0" w:line="300" w:lineRule="auto"/>
        <w:rPr>
          <w:sz w:val="20"/>
          <w:szCs w:val="20"/>
          <w:color w:val="auto"/>
        </w:rPr>
      </w:pPr>
      <w:r>
        <w:rPr>
          <w:rFonts w:ascii="Arial" w:cs="Arial" w:eastAsia="Arial" w:hAnsi="Arial"/>
          <w:sz w:val="14"/>
          <w:szCs w:val="14"/>
          <w:color w:val="auto"/>
        </w:rPr>
        <w:t>As of June 30, 2018, our available cash, cash equivalents, and investments were $547.1 million. We will likely require additional capital to commercialize our products and to obtain regulatory approval for, and to commercialize, all of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8" w:lineRule="exact"/>
        <w:rPr>
          <w:sz w:val="20"/>
          <w:szCs w:val="20"/>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scope, rate of progress, results, and cost of our clinical studies, nonclinical testing, and other related activities;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 of manufacturing clinical supplies, and establishing commercial supplies, of our product candidates and any products that we may develop;</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 of creating additional infrastructure, including facilities and systems;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number and characteristics of the product candidates that we pursue;</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 timing, and outcomes of regulatory approvals;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 and timing of establishing and operating our international subsidiaries;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 and timing of establishing field forces, marketing, and distribution capabilities;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cost and timing of other activities needed to commercialize our products; and</w:t>
      </w:r>
    </w:p>
    <w:p>
      <w:pPr>
        <w:spacing w:after="0" w:line="69" w:lineRule="exact"/>
        <w:rPr>
          <w:rFonts w:ascii="Arial" w:cs="Arial" w:eastAsia="Arial" w:hAnsi="Arial"/>
          <w:sz w:val="15"/>
          <w:szCs w:val="15"/>
          <w:color w:val="auto"/>
        </w:rPr>
      </w:pPr>
    </w:p>
    <w:p>
      <w:pPr>
        <w:ind w:left="900" w:right="820" w:hanging="389"/>
        <w:spacing w:after="0" w:line="288"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terms and timing of any collaborative, licensing, acquisition, and other arrangements that we may establish, including any required milestone, royalty, and reimbursements or other payments thereunder.</w:t>
      </w:r>
    </w:p>
    <w:p>
      <w:pPr>
        <w:spacing w:after="0" w:line="13" w:lineRule="exact"/>
        <w:rPr>
          <w:sz w:val="20"/>
          <w:szCs w:val="20"/>
          <w:color w:val="auto"/>
        </w:rPr>
      </w:pPr>
    </w:p>
    <w:p>
      <w:pPr>
        <w:ind w:right="20" w:firstLine="520"/>
        <w:spacing w:after="0" w:line="279" w:lineRule="auto"/>
        <w:rPr>
          <w:sz w:val="20"/>
          <w:szCs w:val="20"/>
          <w:color w:val="auto"/>
        </w:rPr>
      </w:pPr>
      <w:r>
        <w:rPr>
          <w:rFonts w:ascii="Arial" w:cs="Arial" w:eastAsia="Arial" w:hAnsi="Arial"/>
          <w:sz w:val="14"/>
          <w:szCs w:val="14"/>
          <w:color w:val="auto"/>
        </w:rPr>
        <w:t>Any additional fundraising efforts may divert our management’s attention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are granted priority review vouchers in connection with regulatory approvals for our product candidates, we may be unable to sell the vouchers or, if we do sell the vouchers, we may have to sell them on unfavorable terms and at prices that are lower than expected. Regulatory authorities may also cease granting such vouchers in the future. We could also be required to seek funds through collaborative partnerships, strategic alliances, and licensing or other arrangements and we may be required to relinquish rights to some of our technologies or product candidates, future revenue streams, research programs, and other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38" w:lineRule="exact"/>
        <w:rPr>
          <w:sz w:val="20"/>
          <w:szCs w:val="20"/>
          <w:color w:val="auto"/>
        </w:rPr>
      </w:pPr>
    </w:p>
    <w:p>
      <w:pPr>
        <w:ind w:right="120" w:firstLine="520"/>
        <w:spacing w:after="0" w:line="272" w:lineRule="auto"/>
        <w:rPr>
          <w:sz w:val="20"/>
          <w:szCs w:val="20"/>
          <w:color w:val="auto"/>
        </w:rPr>
      </w:pPr>
      <w:r>
        <w:rPr>
          <w:rFonts w:ascii="Arial" w:cs="Arial" w:eastAsia="Arial" w:hAnsi="Arial"/>
          <w:sz w:val="15"/>
          <w:szCs w:val="15"/>
          <w:color w:val="auto"/>
        </w:rPr>
        <w:t>If we are unable to obtain funding on a timely basis or at all, we may be required to significantly curtail, delay, or discontinue one or more of our research or development programs or the commercialization of our products and any approved product candidates or be unable to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Discovery and Development of Our Product Candidates</w:t>
      </w:r>
    </w:p>
    <w:p>
      <w:pPr>
        <w:spacing w:after="0" w:line="74" w:lineRule="exact"/>
        <w:rPr>
          <w:sz w:val="20"/>
          <w:szCs w:val="20"/>
          <w:color w:val="auto"/>
        </w:rPr>
      </w:pPr>
    </w:p>
    <w:p>
      <w:pPr>
        <w:ind w:right="200"/>
        <w:spacing w:after="0" w:line="288"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uncertain outcomes and the potential for substantial delays, and the results of earlier studies may not be predictive of future study results.</w:t>
      </w:r>
    </w:p>
    <w:p>
      <w:pPr>
        <w:spacing w:after="0" w:line="24" w:lineRule="exact"/>
        <w:rPr>
          <w:sz w:val="20"/>
          <w:szCs w:val="20"/>
          <w:color w:val="auto"/>
        </w:rPr>
      </w:pPr>
    </w:p>
    <w:p>
      <w:pPr>
        <w:ind w:right="20" w:firstLine="520"/>
        <w:spacing w:after="0" w:line="261" w:lineRule="auto"/>
        <w:rPr>
          <w:sz w:val="20"/>
          <w:szCs w:val="20"/>
          <w:color w:val="auto"/>
        </w:rPr>
      </w:pPr>
      <w:r>
        <w:rPr>
          <w:rFonts w:ascii="Arial" w:cs="Arial" w:eastAsia="Arial" w:hAnsi="Arial"/>
          <w:sz w:val="15"/>
          <w:szCs w:val="15"/>
          <w:color w:val="auto"/>
        </w:rPr>
        <w:t>Before obtaining marketing approval from regulatory authorities for the sale of our product candidates, we must conduct extensive clinical studies to demonstrate the safety and efficacy of the product candidates in humans. Clinical testing is expensive,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Product candidates that have shown promising results in early-stage clinical studies may still suffer significant setbacks in subsequent clinical studies. The safety or efficacy results generated to date in clinical studies for Crysvita and UX007 do not ensure that later clinical studies will demonstrate similar results. For example, our Phase 3 study that evaluated Ace-ER in patients with GNE myopathy did not achieve its primary or secondary endpoints and efficacy results from our Phase 2 study of UX007 in Glut1 DS patients with seizures did not meet the primary endpoint. Results from investigator-sponsored studies or compassionate-use studies may not be confirmed in company-sponsored studies or may negatively impact the prospects for our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28" w:name="page29"/>
    <w:bookmarkEnd w:id="28"/>
    <w:p>
      <w:pPr>
        <w:spacing w:after="0" w:line="262" w:lineRule="auto"/>
        <w:rPr>
          <w:sz w:val="20"/>
          <w:szCs w:val="20"/>
          <w:color w:val="auto"/>
        </w:rPr>
      </w:pPr>
      <w:r>
        <w:rPr>
          <w:rFonts w:ascii="Arial" w:cs="Arial" w:eastAsia="Arial" w:hAnsi="Arial"/>
          <w:sz w:val="15"/>
          <w:szCs w:val="15"/>
          <w:color w:val="auto"/>
        </w:rPr>
        <w:t>programs. Additionally, given the nature of the rare diseases we are seeking to treat, we often have to devise newly-defined endpoints to be tested in our studies, which can lead to some subjectivity in interpreting study results and could result in regulatory agencies not agreeing with the validity of our endpoints, or our interpretation of the clinical data, and therefore denying approval. For example, for our Glut1 DS Phase 3 clinical trial, we have proposed utilizing a patient diary to track movement disorder events. Based on FDA feedback expressing concern about the clinical meaningfulness of all such events tracked, we modified the clinical endpoint. Even so, there is no guarantee that these modifications to the endpoint will be acceptable to the FDA or other regulatory agencies. Given the illness of the patients in our studies and the nature of their rare diseases, we may also be required or choose to conduct certain studies on an open-label basis. Additionally, we have in the past, and may in the future elect to review interim clinical data at multiple time points during the studies, which could introduce bias into the study results and potentially result in denial of approval.</w:t>
      </w:r>
    </w:p>
    <w:p>
      <w:pPr>
        <w:spacing w:after="0" w:line="43" w:lineRule="exact"/>
        <w:rPr>
          <w:sz w:val="20"/>
          <w:szCs w:val="20"/>
          <w:color w:val="auto"/>
        </w:rPr>
      </w:pPr>
    </w:p>
    <w:p>
      <w:pPr>
        <w:ind w:right="40" w:firstLine="520"/>
        <w:spacing w:after="0" w:line="327" w:lineRule="auto"/>
        <w:rPr>
          <w:sz w:val="20"/>
          <w:szCs w:val="20"/>
          <w:color w:val="auto"/>
        </w:rPr>
      </w:pPr>
      <w:r>
        <w:rPr>
          <w:rFonts w:ascii="Arial" w:cs="Arial" w:eastAsia="Arial" w:hAnsi="Arial"/>
          <w:sz w:val="13"/>
          <w:szCs w:val="13"/>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ind w:left="520"/>
        <w:spacing w:after="0"/>
        <w:rPr>
          <w:sz w:val="20"/>
          <w:szCs w:val="20"/>
          <w:color w:val="auto"/>
        </w:rPr>
      </w:pPr>
      <w:r>
        <w:rPr>
          <w:rFonts w:ascii="Arial" w:cs="Arial" w:eastAsia="Arial" w:hAnsi="Arial"/>
          <w:sz w:val="15"/>
          <w:szCs w:val="15"/>
          <w:color w:val="auto"/>
        </w:rPr>
        <w:t>Scenarios that may prevent successful or timely completion of clinical development include but are not limited to:</w:t>
      </w:r>
    </w:p>
    <w:p>
      <w:pPr>
        <w:spacing w:after="0" w:line="70" w:lineRule="exact"/>
        <w:rPr>
          <w:sz w:val="20"/>
          <w:szCs w:val="20"/>
          <w:color w:val="auto"/>
        </w:rPr>
      </w:pPr>
    </w:p>
    <w:p>
      <w:pPr>
        <w:ind w:left="900" w:right="20" w:hanging="389"/>
        <w:spacing w:after="0" w:line="288"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delays or failures in generating sufficient preclinical, toxicology, or other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data to support the initiation or continuation of human clinical studies or filings for regulatory approval;</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to demonstrate a starting dose for our product candidates in the clinic that might be reasonably expected to result in a clinical benefit;</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delays or failures in reaching a consensus with regulatory agencies on study design;</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delays in reaching agreement on acceptable terms with contract research organizations, or CROs, clinical study sites, and other clinical trial-related vendors;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or delays in obtaining required regulatory agency approval and/or IRB or EC approval at each clinical study site or in certain countries;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to correctly design clinical studies which may result in those studies failing to meet their endpoints or the expectations of regulatory agencies;</w:t>
      </w:r>
    </w:p>
    <w:p>
      <w:pPr>
        <w:spacing w:after="0" w:line="69" w:lineRule="exact"/>
        <w:rPr>
          <w:rFonts w:ascii="Arial" w:cs="Arial" w:eastAsia="Arial" w:hAnsi="Arial"/>
          <w:sz w:val="15"/>
          <w:szCs w:val="15"/>
          <w:color w:val="auto"/>
        </w:rPr>
      </w:pPr>
    </w:p>
    <w:p>
      <w:pPr>
        <w:ind w:left="900" w:right="200" w:hanging="389"/>
        <w:spacing w:after="0" w:line="288"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clinical study design or development strategy resulting in delays related to obtaining approvals from IRBs or ECs and/or regulatory agencies to proceed with clinical studies;</w:t>
      </w:r>
    </w:p>
    <w:p>
      <w:pPr>
        <w:spacing w:after="0" w:line="12" w:lineRule="exact"/>
        <w:rPr>
          <w:rFonts w:ascii="Arial" w:cs="Arial" w:eastAsia="Arial" w:hAnsi="Arial"/>
          <w:sz w:val="15"/>
          <w:szCs w:val="15"/>
          <w:color w:val="auto"/>
        </w:rPr>
      </w:pPr>
    </w:p>
    <w:p>
      <w:pPr>
        <w:ind w:left="900" w:right="200" w:hanging="389"/>
        <w:spacing w:after="0" w:line="288"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imposition of a clinical hold by regulatory agencies after review of an IND application or amendment, another equivalent application or amendment, or an inspection of our clinical study operations or study sites;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delays in recruiting suitable patients to participate in our clinical studies;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difficulty collaborating with patient groups and investigators;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by our CROs, other third parties, or us to adhere to clinical study requirements;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failure to perform in accordance with the FDA’s and/or ICH’s good clinical practices requirements or applicable regulatory guidelines in other countries;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delays in patients’ completion of studies or their returns for post-treatment follow-up;</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patients dropping out of a study;</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adverse events associated with the product candidate occurring that are viewed to outweigh its potential benefits;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changes in regulatory requirements and guidance that require amending or submitting new clinical protocols;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greater than anticipated costs associated with clinical studies of our drug candidates;</w:t>
      </w:r>
    </w:p>
    <w:p>
      <w:pPr>
        <w:spacing w:after="0" w:line="69" w:lineRule="exact"/>
        <w:rPr>
          <w:rFonts w:ascii="Arial" w:cs="Arial" w:eastAsia="Arial" w:hAnsi="Arial"/>
          <w:sz w:val="15"/>
          <w:szCs w:val="15"/>
          <w:color w:val="auto"/>
        </w:rPr>
      </w:pPr>
    </w:p>
    <w:p>
      <w:pPr>
        <w:ind w:left="900" w:right="20" w:hanging="389"/>
        <w:spacing w:after="0" w:line="288"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competing clinical studies of potential alternative product candidates or investigator-sponsored studies of our product candidates; and</w:t>
      </w:r>
    </w:p>
    <w:p>
      <w:pPr>
        <w:spacing w:after="0" w:line="69" w:lineRule="exact"/>
        <w:rPr>
          <w:rFonts w:ascii="Arial" w:cs="Arial" w:eastAsia="Arial" w:hAnsi="Arial"/>
          <w:sz w:val="15"/>
          <w:szCs w:val="15"/>
          <w:color w:val="auto"/>
        </w:rPr>
      </w:pPr>
    </w:p>
    <w:p>
      <w:pPr>
        <w:ind w:left="900" w:right="520" w:hanging="389"/>
        <w:spacing w:after="0" w:line="288" w:lineRule="auto"/>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delays in manufacturing, testing, releasing, validating, or importing/exporting sufficient stable quantities of our product candidates for use in clinical studies or the inability to do any of the foregoing.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29" w:name="page30"/>
    <w:bookmarkEnd w:id="29"/>
    <w:p>
      <w:pPr>
        <w:ind w:right="60" w:firstLine="520"/>
        <w:spacing w:after="0" w:line="264" w:lineRule="auto"/>
        <w:rPr>
          <w:sz w:val="20"/>
          <w:szCs w:val="20"/>
          <w:color w:val="auto"/>
        </w:rPr>
      </w:pPr>
      <w:r>
        <w:rPr>
          <w:rFonts w:ascii="Arial" w:cs="Arial" w:eastAsia="Arial" w:hAnsi="Arial"/>
          <w:sz w:val="15"/>
          <w:szCs w:val="15"/>
          <w:color w:val="auto"/>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studies to bridge our modified product candidates to earlier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182" w:lineRule="exact"/>
        <w:rPr>
          <w:sz w:val="20"/>
          <w:szCs w:val="20"/>
          <w:color w:val="auto"/>
        </w:rPr>
      </w:pPr>
    </w:p>
    <w:p>
      <w:pPr>
        <w:ind w:right="200"/>
        <w:spacing w:after="0" w:line="288" w:lineRule="auto"/>
        <w:rPr>
          <w:sz w:val="20"/>
          <w:szCs w:val="20"/>
          <w:color w:val="auto"/>
        </w:rPr>
      </w:pPr>
      <w:r>
        <w:rPr>
          <w:rFonts w:ascii="Arial" w:cs="Arial" w:eastAsia="Arial" w:hAnsi="Arial"/>
          <w:sz w:val="15"/>
          <w:szCs w:val="15"/>
          <w:b w:val="1"/>
          <w:bCs w:val="1"/>
          <w:i w:val="1"/>
          <w:iCs w:val="1"/>
          <w:color w:val="auto"/>
        </w:rPr>
        <w:t>If we do not achieve our projected development goals in the timeframes we announce and expect, the commercialization of our products may be delayed and the credibility of our management may be adversely affected and, as a result, our stock price may decline.</w:t>
      </w:r>
    </w:p>
    <w:p>
      <w:pPr>
        <w:spacing w:after="0" w:line="13" w:lineRule="exact"/>
        <w:rPr>
          <w:sz w:val="20"/>
          <w:szCs w:val="20"/>
          <w:color w:val="auto"/>
        </w:rPr>
      </w:pPr>
    </w:p>
    <w:p>
      <w:pPr>
        <w:ind w:right="60" w:firstLine="520"/>
        <w:spacing w:after="0" w:line="287" w:lineRule="auto"/>
        <w:rPr>
          <w:sz w:val="20"/>
          <w:szCs w:val="20"/>
          <w:color w:val="auto"/>
        </w:rPr>
      </w:pPr>
      <w:r>
        <w:rPr>
          <w:rFonts w:ascii="Arial" w:cs="Arial" w:eastAsia="Arial" w:hAnsi="Arial"/>
          <w:sz w:val="14"/>
          <w:szCs w:val="14"/>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timing of patient dosing, the submission or acceptance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 announced milestones, the commercialization of our products may be delayed and the credibility of our management may be adversely affected and, as a result, our stock price may decline.</w:t>
      </w:r>
    </w:p>
    <w:p>
      <w:pPr>
        <w:spacing w:after="0" w:line="156" w:lineRule="exact"/>
        <w:rPr>
          <w:sz w:val="20"/>
          <w:szCs w:val="20"/>
          <w:color w:val="auto"/>
        </w:rPr>
      </w:pPr>
    </w:p>
    <w:p>
      <w:pPr>
        <w:ind w:right="160"/>
        <w:spacing w:after="0" w:line="272" w:lineRule="auto"/>
        <w:rPr>
          <w:sz w:val="20"/>
          <w:szCs w:val="20"/>
          <w:color w:val="auto"/>
        </w:rPr>
      </w:pPr>
      <w:r>
        <w:rPr>
          <w:rFonts w:ascii="Arial" w:cs="Arial" w:eastAsia="Arial" w:hAnsi="Arial"/>
          <w:sz w:val="15"/>
          <w:szCs w:val="15"/>
          <w:b w:val="1"/>
          <w:bCs w:val="1"/>
          <w:i w:val="1"/>
          <w:iCs w:val="1"/>
          <w:color w:val="auto"/>
        </w:rPr>
        <w:t>We are heavily dependent on the success of our product candidates, some of which are in the early stages of clinical development, which is a lengthy and expensive process with uncertain outcomes and the potential for substantial delays. We cannot give any assurance that any of our product candidates will receive regulatory approval, which is necessary before they can be commercialized.</w:t>
      </w:r>
    </w:p>
    <w:p>
      <w:pPr>
        <w:spacing w:after="0" w:line="36" w:lineRule="exact"/>
        <w:rPr>
          <w:sz w:val="20"/>
          <w:szCs w:val="20"/>
          <w:color w:val="auto"/>
        </w:rPr>
      </w:pPr>
    </w:p>
    <w:p>
      <w:pPr>
        <w:ind w:right="20" w:firstLine="520"/>
        <w:spacing w:after="0" w:line="310" w:lineRule="auto"/>
        <w:rPr>
          <w:sz w:val="20"/>
          <w:szCs w:val="20"/>
          <w:color w:val="auto"/>
        </w:rPr>
      </w:pPr>
      <w:r>
        <w:rPr>
          <w:rFonts w:ascii="Arial" w:cs="Arial" w:eastAsia="Arial" w:hAnsi="Arial"/>
          <w:sz w:val="13"/>
          <w:szCs w:val="13"/>
          <w:color w:val="auto"/>
        </w:rPr>
        <w:t>Before obtaining marketing approval from regulatory authorities for the sale of our product candidates, we must conduct extensive clinical studies to demonstrate the safety and efficacy of the product candidates in humans. To date, we have focused substantially all of our efforts and financial resources on identifying, acquiring, and developing our product candidates, including conducting clinical studies and providing selling, general and administrative support for these operations. We cannot be certain that any clinical studies will be conducted as planned or completed on schedule, if at all. Our inability to successfully complete nonclinical and clinical development could result in additional costs to us and negatively impact our ability to generate revenue. Our future success is dependent on our ability to successfully develop, obtain regulatory approval for, and then successfully commercialize our product candidates. We currently generate no significant revenue from sales of drugs, and we may never be able to develop or successfully commercialize an additional marketable drug.</w:t>
      </w:r>
    </w:p>
    <w:p>
      <w:pPr>
        <w:spacing w:after="0" w:line="7" w:lineRule="exact"/>
        <w:rPr>
          <w:sz w:val="20"/>
          <w:szCs w:val="20"/>
          <w:color w:val="auto"/>
        </w:rPr>
      </w:pPr>
    </w:p>
    <w:p>
      <w:pPr>
        <w:ind w:right="40" w:firstLine="520"/>
        <w:spacing w:after="0" w:line="292" w:lineRule="auto"/>
        <w:rPr>
          <w:sz w:val="20"/>
          <w:szCs w:val="20"/>
          <w:color w:val="auto"/>
        </w:rPr>
      </w:pPr>
      <w:r>
        <w:rPr>
          <w:rFonts w:ascii="Arial" w:cs="Arial" w:eastAsia="Arial" w:hAnsi="Arial"/>
          <w:sz w:val="14"/>
          <w:szCs w:val="14"/>
          <w:color w:val="auto"/>
        </w:rPr>
        <w:t>Each of our product candidates is in development and will require additional clinical development; management of nonclinical, clinical, and manufacturing activities; regulatory approval; obtaining adequate manufacturing supply; building a commercial organization; significant marketing efforts; and reimbursement before we generate any significant revenue from commercial product sales, if ever. There can be no assurance that we will be able to secure regulatory approval for our product candidates, for the specified indications, or within projected time periods. For example, in November 2016, we withdrew our first filing application for regulatory approval that sought conditional marketing authorization in the EU for Ace-ER, and in August 2017 we discontinued further clinical development of Ace-ER. Even if we obtain regulatory approval, it may be withdrawn under certain circumstances. In addition, confirmatory clinical studies could be required for a conditional marketing authorization and could fail to demonstrate sufficient safety and efficacy to obtain full approval.</w:t>
      </w:r>
    </w:p>
    <w:p>
      <w:pPr>
        <w:spacing w:after="0" w:line="13" w:lineRule="exact"/>
        <w:rPr>
          <w:sz w:val="20"/>
          <w:szCs w:val="20"/>
          <w:color w:val="auto"/>
        </w:rPr>
      </w:pPr>
    </w:p>
    <w:p>
      <w:pPr>
        <w:ind w:right="160" w:firstLine="520"/>
        <w:spacing w:after="0" w:line="300" w:lineRule="auto"/>
        <w:rPr>
          <w:sz w:val="20"/>
          <w:szCs w:val="20"/>
          <w:color w:val="auto"/>
        </w:rPr>
      </w:pPr>
      <w:r>
        <w:rPr>
          <w:rFonts w:ascii="Arial" w:cs="Arial" w:eastAsia="Arial" w:hAnsi="Arial"/>
          <w:sz w:val="14"/>
          <w:szCs w:val="14"/>
          <w:color w:val="auto"/>
        </w:rPr>
        <w:t>Some of our product candidates are in the early-stage translational research phases of development. Such early-stage programs will require substantial investment to reach clinical studies and regulatory approval, and their risk of failure is high. For example, our collaboration with Arcturus focuses on an advanced but less established technology platform that will require significant effort and investment. A failure in that collaboration or our other early-stage programs may negatively affect our operational results.</w:t>
      </w:r>
    </w:p>
    <w:p>
      <w:pPr>
        <w:spacing w:after="0" w:line="19" w:lineRule="exact"/>
        <w:rPr>
          <w:sz w:val="20"/>
          <w:szCs w:val="20"/>
          <w:color w:val="auto"/>
        </w:rPr>
      </w:pPr>
    </w:p>
    <w:p>
      <w:pPr>
        <w:ind w:firstLine="520"/>
        <w:spacing w:after="0" w:line="264" w:lineRule="auto"/>
        <w:rPr>
          <w:sz w:val="20"/>
          <w:szCs w:val="20"/>
          <w:color w:val="auto"/>
        </w:rPr>
      </w:pPr>
      <w:r>
        <w:rPr>
          <w:rFonts w:ascii="Arial" w:cs="Arial" w:eastAsia="Arial" w:hAnsi="Arial"/>
          <w:sz w:val="15"/>
          <w:szCs w:val="15"/>
          <w:color w:val="auto"/>
        </w:rPr>
        <w:t>We generally plan to seek regulatory approval to commercialize our product candidates in the United States, the EU,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 If we are unable to obtain approval for our product candidates in multiple jurisdictions, our revenue and results of operations could be negatively affected.</w:t>
      </w:r>
    </w:p>
    <w:p>
      <w:pPr>
        <w:spacing w:after="0" w:line="32" w:lineRule="exact"/>
        <w:rPr>
          <w:sz w:val="20"/>
          <w:szCs w:val="20"/>
          <w:color w:val="auto"/>
        </w:rPr>
      </w:pPr>
    </w:p>
    <w:p>
      <w:pPr>
        <w:ind w:right="200" w:firstLine="520"/>
        <w:spacing w:after="0" w:line="369" w:lineRule="auto"/>
        <w:rPr>
          <w:sz w:val="20"/>
          <w:szCs w:val="20"/>
          <w:color w:val="auto"/>
        </w:rPr>
      </w:pPr>
      <w:r>
        <w:rPr>
          <w:rFonts w:ascii="Arial" w:cs="Arial" w:eastAsia="Arial" w:hAnsi="Arial"/>
          <w:sz w:val="13"/>
          <w:szCs w:val="13"/>
          <w:color w:val="auto"/>
        </w:rPr>
        <w:t>We cannot be certain that any of our product candidates will be successful in clinical studies or receive regulatory approval. Further, our product candidates may not receive regulatory approval even if they are successful in clinical studies. If we do not receive regulatory approvals for our product candidates, we may not be able to continue our operations.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87" w:right="25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i w:val="1"/>
          <w:iCs w:val="1"/>
          <w:color w:val="auto"/>
        </w:rPr>
        <w:t>We may find it difficult to enroll patients in our clinical studies given the limited number of patients who have the diseases for which our product candidates are being studied.</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Difficulty in enrolling patients could delay or prevent clinical studies of our product candidates.</w:t>
      </w:r>
    </w:p>
    <w:p>
      <w:pPr>
        <w:spacing w:after="0" w:line="71" w:lineRule="exact"/>
        <w:rPr>
          <w:sz w:val="20"/>
          <w:szCs w:val="20"/>
          <w:color w:val="auto"/>
        </w:rPr>
      </w:pPr>
    </w:p>
    <w:p>
      <w:pPr>
        <w:ind w:right="200" w:firstLine="520"/>
        <w:spacing w:after="0" w:line="318" w:lineRule="auto"/>
        <w:rPr>
          <w:sz w:val="20"/>
          <w:szCs w:val="20"/>
          <w:color w:val="auto"/>
        </w:rPr>
      </w:pPr>
      <w:r>
        <w:rPr>
          <w:rFonts w:ascii="Arial" w:cs="Arial" w:eastAsia="Arial" w:hAnsi="Arial"/>
          <w:sz w:val="14"/>
          <w:szCs w:val="14"/>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ind w:right="60" w:firstLine="520"/>
        <w:spacing w:after="0" w:line="288" w:lineRule="auto"/>
        <w:rPr>
          <w:sz w:val="20"/>
          <w:szCs w:val="20"/>
          <w:color w:val="auto"/>
        </w:rPr>
      </w:pPr>
      <w:r>
        <w:rPr>
          <w:rFonts w:ascii="Arial" w:cs="Arial" w:eastAsia="Arial" w:hAnsi="Arial"/>
          <w:sz w:val="15"/>
          <w:szCs w:val="15"/>
          <w:color w:val="auto"/>
        </w:rPr>
        <w:t>Each of the conditions for which we plan to evaluate our current product candidates is a rare genetic disease. Accordingly, there are limited patient pools from which to draw for clinical studies. For our current product candidates:</w:t>
      </w:r>
    </w:p>
    <w:p>
      <w:pPr>
        <w:spacing w:after="0" w:line="13" w:lineRule="exact"/>
        <w:rPr>
          <w:sz w:val="20"/>
          <w:szCs w:val="20"/>
          <w:color w:val="auto"/>
        </w:rPr>
      </w:pPr>
    </w:p>
    <w:p>
      <w:pPr>
        <w:ind w:left="900" w:hanging="389"/>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estimate that several hundred patients in the United States suffer from TIO, for which Crysvita is being studied;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estimate that several thousand patients in the United States suffer from LC-FAOD, for which UX007 is being studied;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estimate that several thousand patients in the United States suffer from Glut1 DS, for which UX007 is being studied;</w:t>
      </w:r>
    </w:p>
    <w:p>
      <w:pPr>
        <w:spacing w:after="0" w:line="69" w:lineRule="exact"/>
        <w:rPr>
          <w:rFonts w:ascii="Arial" w:cs="Arial" w:eastAsia="Arial" w:hAnsi="Arial"/>
          <w:sz w:val="15"/>
          <w:szCs w:val="15"/>
          <w:color w:val="auto"/>
        </w:rPr>
      </w:pPr>
    </w:p>
    <w:p>
      <w:pPr>
        <w:ind w:left="900" w:right="60" w:hanging="389"/>
        <w:spacing w:after="0" w:line="288"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estimate that approximately 8,000 patients in the developed world suffer from late-onset OTC deficiency, for which DTX301 is being studied, and these all may not be treatable if they are immune to the virus; and</w:t>
      </w:r>
    </w:p>
    <w:p>
      <w:pPr>
        <w:spacing w:after="0" w:line="12" w:lineRule="exact"/>
        <w:rPr>
          <w:rFonts w:ascii="Arial" w:cs="Arial" w:eastAsia="Arial" w:hAnsi="Arial"/>
          <w:sz w:val="15"/>
          <w:szCs w:val="15"/>
          <w:color w:val="auto"/>
        </w:rPr>
      </w:pPr>
    </w:p>
    <w:p>
      <w:pPr>
        <w:ind w:left="900" w:hanging="389"/>
        <w:spacing w:after="0" w:line="288" w:lineRule="auto"/>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estimate that approximately 6,000 patients worldwide suffer from GSD1a, for which DTX 401 is being studied, and these all may not be treatable if they are immune to the virus.</w:t>
      </w:r>
    </w:p>
    <w:p>
      <w:pPr>
        <w:spacing w:after="0" w:line="13" w:lineRule="exact"/>
        <w:rPr>
          <w:sz w:val="20"/>
          <w:szCs w:val="20"/>
          <w:color w:val="auto"/>
        </w:rPr>
      </w:pPr>
    </w:p>
    <w:p>
      <w:pPr>
        <w:ind w:right="80" w:firstLine="520"/>
        <w:spacing w:after="0" w:line="259" w:lineRule="auto"/>
        <w:rPr>
          <w:sz w:val="20"/>
          <w:szCs w:val="20"/>
          <w:color w:val="auto"/>
        </w:rPr>
      </w:pPr>
      <w:r>
        <w:rPr>
          <w:rFonts w:ascii="Arial" w:cs="Arial" w:eastAsia="Arial" w:hAnsi="Arial"/>
          <w:sz w:val="15"/>
          <w:szCs w:val="15"/>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Furthermore, the process of finding and diagnosing patients may prove costly, especially since the rare diseases we are studying are commonly under diagnosed. We also may not be able to identify, recruit, and enroll a sufficient number of patients to complete our clinical studies because of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In addition, any delays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90" w:lineRule="exact"/>
        <w:rPr>
          <w:sz w:val="20"/>
          <w:szCs w:val="20"/>
          <w:color w:val="auto"/>
        </w:rPr>
      </w:pPr>
    </w:p>
    <w:p>
      <w:pPr>
        <w:ind w:right="80"/>
        <w:spacing w:after="0" w:line="342" w:lineRule="auto"/>
        <w:rPr>
          <w:sz w:val="20"/>
          <w:szCs w:val="20"/>
          <w:color w:val="auto"/>
        </w:rPr>
      </w:pPr>
      <w:r>
        <w:rPr>
          <w:rFonts w:ascii="Arial" w:cs="Arial" w:eastAsia="Arial" w:hAnsi="Arial"/>
          <w:sz w:val="13"/>
          <w:szCs w:val="13"/>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1" w:lineRule="exact"/>
        <w:rPr>
          <w:sz w:val="20"/>
          <w:szCs w:val="20"/>
          <w:color w:val="auto"/>
        </w:rPr>
      </w:pPr>
    </w:p>
    <w:p>
      <w:pPr>
        <w:ind w:right="40" w:firstLine="649"/>
        <w:spacing w:after="0" w:line="267" w:lineRule="auto"/>
        <w:rPr>
          <w:sz w:val="20"/>
          <w:szCs w:val="20"/>
          <w:color w:val="auto"/>
        </w:rPr>
      </w:pPr>
      <w:r>
        <w:rPr>
          <w:rFonts w:ascii="Arial" w:cs="Arial" w:eastAsia="Arial" w:hAnsi="Arial"/>
          <w:sz w:val="15"/>
          <w:szCs w:val="15"/>
          <w:color w:val="auto"/>
        </w:rPr>
        <w:t>Our future success is dependent on our ability to successfully commercialize our products and develop, obtain regulatory approval for, and then successfully commercialize one or more product candidates. We are not permitted to market or promote any of our product candidates before we receive regulatory approval from the FDA or comparable foreign regulatory authorities. We have only obtained regulatory approval for two products, and it is possible that none of our existing product candidates or any product candidates we may seek to develop in the future will ever obtain regulatory approval.</w:t>
      </w:r>
    </w:p>
    <w:p>
      <w:pPr>
        <w:spacing w:after="0" w:line="28" w:lineRule="exact"/>
        <w:rPr>
          <w:sz w:val="20"/>
          <w:szCs w:val="20"/>
          <w:color w:val="auto"/>
        </w:rPr>
      </w:pPr>
    </w:p>
    <w:p>
      <w:pPr>
        <w:ind w:right="20" w:firstLine="520"/>
        <w:spacing w:after="0" w:line="282" w:lineRule="auto"/>
        <w:rPr>
          <w:sz w:val="20"/>
          <w:szCs w:val="20"/>
          <w:color w:val="auto"/>
        </w:rPr>
      </w:pPr>
      <w:r>
        <w:rPr>
          <w:rFonts w:ascii="Arial" w:cs="Arial" w:eastAsia="Arial" w:hAnsi="Arial"/>
          <w:sz w:val="14"/>
          <w:szCs w:val="14"/>
          <w:color w:val="auto"/>
        </w:rPr>
        <w:t>To obtain regulatory approval in the United States and other jurisdictions, we must comply with numerous and varying requirements regarding safety, efficacy, chemistry, manufacturing and controls, clinical studies (including good clinical practices), commercial sales, pricing, and distribution of our product candidates.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be denied. If we are unable to obtain approval for our product candidates in multiple jurisdictions, our revenue and results of operations could be negatively affected. Applications for our product candidates could fail to receive regulatory approval, or could be delayed in receiving regulatory approval, for many reasons, including but not limited to the following:</w:t>
      </w:r>
    </w:p>
    <w:p>
      <w:pPr>
        <w:spacing w:after="0" w:line="32" w:lineRule="exact"/>
        <w:rPr>
          <w:sz w:val="20"/>
          <w:szCs w:val="20"/>
          <w:color w:val="auto"/>
        </w:rPr>
      </w:pPr>
    </w:p>
    <w:p>
      <w:pPr>
        <w:ind w:left="900" w:hanging="38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the design, implementation, or conduct of our clinical studies;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FDA or other comparable foreign regulatory authorities may change their guidance or requirements for a development program for a product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31" w:name="page32"/>
    <w:bookmarkEnd w:id="31"/>
    <w:p>
      <w:pPr>
        <w:ind w:left="900" w:right="520" w:hanging="389"/>
        <w:spacing w:after="0" w:line="28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population studied in the clinical program may not be sufficiently broad or representative to assure efficacy and safety in the full population for which we seek approval;</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interpretation of data from nonclinical studies or clinical studies;</w:t>
      </w:r>
    </w:p>
    <w:p>
      <w:pPr>
        <w:spacing w:after="0" w:line="69" w:lineRule="exact"/>
        <w:rPr>
          <w:rFonts w:ascii="Arial" w:cs="Arial" w:eastAsia="Arial" w:hAnsi="Arial"/>
          <w:sz w:val="15"/>
          <w:szCs w:val="15"/>
          <w:color w:val="auto"/>
        </w:rPr>
      </w:pPr>
    </w:p>
    <w:p>
      <w:pPr>
        <w:ind w:left="900" w:right="100" w:hanging="389"/>
        <w:spacing w:after="0" w:line="28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data collected from clinical studies of our product candidates may not be sufficient to support the submission of an NDA, or biologics license application, or BLA, or other submission or to obtain regulatory approval in the United States or elsewhere;</w:t>
      </w:r>
    </w:p>
    <w:p>
      <w:pPr>
        <w:spacing w:after="0" w:line="12" w:lineRule="exact"/>
        <w:rPr>
          <w:rFonts w:ascii="Arial" w:cs="Arial" w:eastAsia="Arial" w:hAnsi="Arial"/>
          <w:sz w:val="15"/>
          <w:szCs w:val="15"/>
          <w:color w:val="auto"/>
        </w:rPr>
      </w:pPr>
    </w:p>
    <w:p>
      <w:pPr>
        <w:ind w:left="900" w:right="480" w:hanging="389"/>
        <w:spacing w:after="0" w:line="28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may be unable to demonstrate to the FDA or comparable foreign regulatory authorities that a product candidate’s risk-benefit ratio for its proposed indication is acceptable;</w:t>
      </w:r>
    </w:p>
    <w:p>
      <w:pPr>
        <w:spacing w:after="0" w:line="12" w:lineRule="exact"/>
        <w:rPr>
          <w:rFonts w:ascii="Arial" w:cs="Arial" w:eastAsia="Arial" w:hAnsi="Arial"/>
          <w:sz w:val="15"/>
          <w:szCs w:val="15"/>
          <w:color w:val="auto"/>
        </w:rPr>
      </w:pPr>
    </w:p>
    <w:p>
      <w:pPr>
        <w:ind w:left="900" w:right="400" w:hanging="389"/>
        <w:spacing w:after="0" w:line="28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fail to approve the manufacturing processes, test procedures and specifications, or facilities of third-party manufacturers with which we contract for clinical and commercial supplies;</w:t>
      </w:r>
    </w:p>
    <w:p>
      <w:pPr>
        <w:spacing w:after="0" w:line="12" w:lineRule="exact"/>
        <w:rPr>
          <w:rFonts w:ascii="Arial" w:cs="Arial" w:eastAsia="Arial" w:hAnsi="Arial"/>
          <w:sz w:val="15"/>
          <w:szCs w:val="15"/>
          <w:color w:val="auto"/>
        </w:rPr>
      </w:pPr>
    </w:p>
    <w:p>
      <w:pPr>
        <w:ind w:left="900" w:right="120" w:hanging="389"/>
        <w:spacing w:after="0" w:line="28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failure of our nonclinical or clinical development to comply with an agreed upon Pediatric Investigational Plan (PIP), which details the designs and completion timelines for nonclinical and clinical studies and is a condition of marketing authorization in the EU; and</w:t>
      </w:r>
    </w:p>
    <w:p>
      <w:pPr>
        <w:spacing w:after="0" w:line="12" w:lineRule="exact"/>
        <w:rPr>
          <w:rFonts w:ascii="Arial" w:cs="Arial" w:eastAsia="Arial" w:hAnsi="Arial"/>
          <w:sz w:val="15"/>
          <w:szCs w:val="15"/>
          <w:color w:val="auto"/>
        </w:rPr>
      </w:pPr>
    </w:p>
    <w:p>
      <w:pPr>
        <w:ind w:left="900" w:right="100" w:hanging="389"/>
        <w:spacing w:after="0" w:line="288"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approval policies or regulations of the FDA or comparable foreign regulatory authorities may significantly change in a manner rendering our clinical data insufficient for approval.</w:t>
      </w:r>
    </w:p>
    <w:p>
      <w:pPr>
        <w:spacing w:after="0" w:line="13" w:lineRule="exact"/>
        <w:rPr>
          <w:sz w:val="20"/>
          <w:szCs w:val="20"/>
          <w:color w:val="auto"/>
        </w:rPr>
      </w:pPr>
    </w:p>
    <w:p>
      <w:pPr>
        <w:ind w:right="40" w:firstLine="520"/>
        <w:spacing w:after="0" w:line="263" w:lineRule="auto"/>
        <w:rPr>
          <w:sz w:val="20"/>
          <w:szCs w:val="20"/>
          <w:color w:val="auto"/>
        </w:rPr>
      </w:pPr>
      <w:r>
        <w:rPr>
          <w:rFonts w:ascii="Arial" w:cs="Arial" w:eastAsia="Arial" w:hAnsi="Arial"/>
          <w:sz w:val="15"/>
          <w:szCs w:val="15"/>
          <w:color w:val="auto"/>
        </w:rPr>
        <w:t>Furthermore, the disease states we are evaluating often will not have clear regulatory paths for approval and/or do not have validated outcome measures. In these circumstances, we work closely with the regulatory authorities to define the approval path and may have to qualify outcome measures as part of our development programs. For example, for patients with XLH there was no available regulatory precedent describing requirements for obtaining approval to treat this disease, and there were no validated patient-reported outcome measures that are specific to this disease. Additionally, many of the disease states we are targeting are highly heterogeneous in nature, which may impact our ability to determine the treatment benefit of our potential therapies. For example, patients with LC-FAOD and Glut1 DS have a highly heterogeneous disease course, which may impact our ability to determine the true treatment benefit of our product candidates in these patients.</w:t>
      </w:r>
    </w:p>
    <w:p>
      <w:pPr>
        <w:spacing w:after="0" w:line="43" w:lineRule="exact"/>
        <w:rPr>
          <w:sz w:val="20"/>
          <w:szCs w:val="20"/>
          <w:color w:val="auto"/>
        </w:rPr>
      </w:pPr>
    </w:p>
    <w:p>
      <w:pPr>
        <w:ind w:right="380" w:firstLine="520"/>
        <w:spacing w:after="0" w:line="288" w:lineRule="auto"/>
        <w:rPr>
          <w:sz w:val="20"/>
          <w:szCs w:val="20"/>
          <w:color w:val="auto"/>
        </w:rPr>
      </w:pPr>
      <w:r>
        <w:rPr>
          <w:rFonts w:ascii="Arial" w:cs="Arial" w:eastAsia="Arial" w:hAnsi="Arial"/>
          <w:sz w:val="15"/>
          <w:szCs w:val="15"/>
          <w:color w:val="auto"/>
        </w:rPr>
        <w:t>This lengthy and uncertain approval process, as well as the unpredictability of the clinical and nonclinical studies, may result in our failure to obtain regulatory approval to market any of our product candidates, or delayed regulatory approval, which would significantly harm our business, results of operations, and prospects.</w:t>
      </w:r>
    </w:p>
    <w:p>
      <w:pPr>
        <w:spacing w:after="0" w:line="151" w:lineRule="exact"/>
        <w:rPr>
          <w:sz w:val="20"/>
          <w:szCs w:val="20"/>
          <w:color w:val="auto"/>
        </w:rPr>
      </w:pPr>
    </w:p>
    <w:p>
      <w:pPr>
        <w:ind w:right="40"/>
        <w:spacing w:after="0" w:line="272" w:lineRule="auto"/>
        <w:rPr>
          <w:sz w:val="20"/>
          <w:szCs w:val="20"/>
          <w:color w:val="auto"/>
        </w:rPr>
      </w:pPr>
      <w:r>
        <w:rPr>
          <w:rFonts w:ascii="Arial" w:cs="Arial" w:eastAsia="Arial" w:hAnsi="Arial"/>
          <w:sz w:val="15"/>
          <w:szCs w:val="15"/>
          <w:b w:val="1"/>
          <w:bCs w:val="1"/>
          <w:i w:val="1"/>
          <w:iCs w:val="1"/>
          <w:color w:val="auto"/>
        </w:rPr>
        <w:t>FDA, the U.S. National Institutes of Health, or NIH, Health Canada, and the EMA have demonstrated caution in their regulation of gene therapy treatments, and ethical and legal concerns about gene therapy and genetic testing may result in additional regulations or restrictions on the development and commercialization of our gene therapy product candidates, which may be difficult to predict.</w:t>
      </w:r>
    </w:p>
    <w:p>
      <w:pPr>
        <w:spacing w:after="0" w:line="60" w:lineRule="exact"/>
        <w:rPr>
          <w:sz w:val="20"/>
          <w:szCs w:val="20"/>
          <w:color w:val="auto"/>
        </w:rPr>
      </w:pPr>
    </w:p>
    <w:p>
      <w:pPr>
        <w:ind w:right="140" w:firstLine="572"/>
        <w:spacing w:after="0"/>
        <w:rPr>
          <w:sz w:val="20"/>
          <w:szCs w:val="20"/>
          <w:color w:val="auto"/>
        </w:rPr>
      </w:pPr>
      <w:r>
        <w:rPr>
          <w:rFonts w:ascii="Arial" w:cs="Arial" w:eastAsia="Arial" w:hAnsi="Arial"/>
          <w:sz w:val="15"/>
          <w:szCs w:val="15"/>
          <w:color w:val="auto"/>
        </w:rPr>
        <w:t>The clinical trial requirements of FDA, the NIH, Health Canada,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our gene therapy product candidates can be more expensive and take longer than for other, better known or more extensively studied product candidates. Only one AAV gene therapy product, Glybera from uniQure N.V., or uniQure, has received marketing authorization from the European Commission and one AAV gene therapy product, LUXTURNA</w:t>
      </w:r>
      <w:r>
        <w:rPr>
          <w:rFonts w:ascii="Arial" w:cs="Arial" w:eastAsia="Arial" w:hAnsi="Arial"/>
          <w:sz w:val="22"/>
          <w:szCs w:val="22"/>
          <w:color w:val="auto"/>
          <w:vertAlign w:val="superscript"/>
        </w:rPr>
        <w:t>™</w:t>
      </w:r>
      <w:r>
        <w:rPr>
          <w:rFonts w:ascii="Arial" w:cs="Arial" w:eastAsia="Arial" w:hAnsi="Arial"/>
          <w:sz w:val="15"/>
          <w:szCs w:val="15"/>
          <w:color w:val="auto"/>
        </w:rPr>
        <w:t xml:space="preserve"> (voretigene neparvovec) from Spark Therapeutics, has been approved in the United States. Different or additional preclinical studies or clinical trials may be required to support regulatory approval in each respective jurisdiction.</w:t>
      </w:r>
    </w:p>
    <w:p>
      <w:pPr>
        <w:spacing w:after="0" w:line="50" w:lineRule="exact"/>
        <w:rPr>
          <w:sz w:val="20"/>
          <w:szCs w:val="20"/>
          <w:color w:val="auto"/>
        </w:rPr>
      </w:pPr>
    </w:p>
    <w:p>
      <w:pPr>
        <w:ind w:firstLine="572"/>
        <w:spacing w:after="0" w:line="283" w:lineRule="auto"/>
        <w:rPr>
          <w:sz w:val="20"/>
          <w:szCs w:val="20"/>
          <w:color w:val="auto"/>
        </w:rPr>
      </w:pPr>
      <w:r>
        <w:rPr>
          <w:rFonts w:ascii="Arial" w:cs="Arial" w:eastAsia="Arial" w:hAnsi="Arial"/>
          <w:sz w:val="14"/>
          <w:szCs w:val="14"/>
          <w:color w:val="auto"/>
        </w:rPr>
        <w:t>Additionally, FDA, the NIH, Health Canada, and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U.S. congressional committees and foreign governments, have also expressed interest in further regulating the biotechnology industry. Such action may delay or prevent commercialization of some or all of our product candidates. For example, in 1999, a patient suffering from OTC deficiency died during a gene therapy clinical trial that utilized an adenovirus vector. It was discovered that adenoviruses could generate an extreme immune system reaction that can be life-threatening. Thereafter, in January 2000, FDA halted that trial and began investigating 69 other gene therapy trials underway in the United States. Eventually, 28 trials were reviewed, with 13 requiring remedial action. Subsequently, in 2003, FDA suspended 27 additional gene therapy trials involving several hundred patients after learning that a child treated in France had developed leukemia.</w:t>
      </w:r>
    </w:p>
    <w:p>
      <w:pPr>
        <w:spacing w:after="0" w:line="32" w:lineRule="exact"/>
        <w:rPr>
          <w:sz w:val="20"/>
          <w:szCs w:val="20"/>
          <w:color w:val="auto"/>
        </w:rPr>
      </w:pPr>
    </w:p>
    <w:p>
      <w:pPr>
        <w:ind w:firstLine="572"/>
        <w:spacing w:after="0" w:line="264" w:lineRule="auto"/>
        <w:rPr>
          <w:sz w:val="20"/>
          <w:szCs w:val="20"/>
          <w:color w:val="auto"/>
        </w:rPr>
      </w:pPr>
      <w:r>
        <w:rPr>
          <w:rFonts w:ascii="Arial" w:cs="Arial" w:eastAsia="Arial" w:hAnsi="Arial"/>
          <w:sz w:val="15"/>
          <w:szCs w:val="15"/>
          <w:color w:val="auto"/>
        </w:rPr>
        <w:t>Regulatory requirements in the United States and abroad governing gene therapy products have changed frequently and may continue to change in the future. FDA has established the Office of Cellular, Tissue and Gene Therapies within its Center for Biologics Evaluation and Research to consolidate the review of gene therapy and related products, and has established the Cellular, Tissue and Gene Therapies Advisory Committee to advise this review. Prior to submitting an IND, our human gene therapy clinical trials are subject to review by the NIH Office of Biotechnology Activities’, or OBA’s, Recombinant DNA Advisory Committee, or the RAC. As of April 2016, the updated NIH Guidelines for Research Involving Recombinant or Synthetic Nucleic Acid Molecules,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32" w:name="page33"/>
    <w:bookmarkEnd w:id="32"/>
    <w:p>
      <w:pPr>
        <w:ind w:right="40"/>
        <w:spacing w:after="0" w:line="282" w:lineRule="auto"/>
        <w:rPr>
          <w:sz w:val="20"/>
          <w:szCs w:val="20"/>
          <w:color w:val="auto"/>
        </w:rPr>
      </w:pPr>
      <w:r>
        <w:rPr>
          <w:rFonts w:ascii="Arial" w:cs="Arial" w:eastAsia="Arial" w:hAnsi="Arial"/>
          <w:sz w:val="14"/>
          <w:szCs w:val="14"/>
          <w:color w:val="auto"/>
        </w:rPr>
        <w:t>including gene therapy, provide the opportunity for one or more oversight bodies (institutional review board, or IRB, or the institutional biosafety committee, or IBC) to request a public RAC review based on their own review of the protocol and NIH requirements. Regardless of the request for public review, NIH RAC members make their own assessment as to whether the protocol would significantly benefit from a public RAC review. The RAC’s recommendations are shared with FDA and the oversight bodies. The RAC can delay the initiation of a clinical trial, even if FDA has reviewed the trial design and details and has not objected to its initiation or has notified the sponsor that the study may begin. Conversely, FDA can put an IND on a clinical hold even if the RAC has provided a favorable review or has recommended against an in-depth, public review. Moreover, under guidelines published by the NIH, patient enrollment in our gene therapy clinical trials cannot begin until, among other things, the investigator for that clinical trial has received a letter from the OBA indicating that the protocol registration process has been completed. Upon receipt of the letter from OBA confirming completion of protocol registration the investigator may obtain final approval from the oversight bodies and patient enrollment may begin if all other applicable regulatory authorizations have been obtained.</w:t>
      </w:r>
    </w:p>
    <w:p>
      <w:pPr>
        <w:spacing w:after="0" w:line="32" w:lineRule="exact"/>
        <w:rPr>
          <w:sz w:val="20"/>
          <w:szCs w:val="20"/>
          <w:color w:val="auto"/>
        </w:rPr>
      </w:pPr>
    </w:p>
    <w:p>
      <w:pPr>
        <w:ind w:right="80" w:firstLine="572"/>
        <w:spacing w:after="0" w:line="263" w:lineRule="auto"/>
        <w:rPr>
          <w:sz w:val="20"/>
          <w:szCs w:val="20"/>
          <w:color w:val="auto"/>
        </w:rPr>
      </w:pPr>
      <w:r>
        <w:rPr>
          <w:rFonts w:ascii="Arial" w:cs="Arial" w:eastAsia="Arial" w:hAnsi="Arial"/>
          <w:sz w:val="15"/>
          <w:szCs w:val="15"/>
          <w:color w:val="auto"/>
        </w:rPr>
        <w:t>If there is a public RAC review, the receipt of the final recommendation letter concludes the protocol registration process and then oversight body, or bodies, approval can be issued. While the RAC completed its initial public review for some of our gene therapy product candidates, approving the protocols and issuing written recommendations, the RAC will continue to review these product candidates, and may recommend additional public reviews in the future with respect to any of our gene therapy product candidates. In addition, adverse developments in clinical trials of gene therapy products conducted by others may cause FDA or other oversight bodies to change the requirements for approval of any of our product candidates. Similarly, the EMA governs the development of gene therapies in the EU and may issue new guidelines concerning the development and marketing authorization for gene therapy products and require that we comply with these new guidelines.</w:t>
      </w:r>
    </w:p>
    <w:p>
      <w:pPr>
        <w:spacing w:after="0" w:line="31" w:lineRule="exact"/>
        <w:rPr>
          <w:sz w:val="20"/>
          <w:szCs w:val="20"/>
          <w:color w:val="auto"/>
        </w:rPr>
      </w:pPr>
    </w:p>
    <w:p>
      <w:pPr>
        <w:ind w:firstLine="572"/>
        <w:spacing w:after="0" w:line="283" w:lineRule="auto"/>
        <w:rPr>
          <w:sz w:val="20"/>
          <w:szCs w:val="20"/>
          <w:color w:val="auto"/>
        </w:rPr>
      </w:pPr>
      <w:r>
        <w:rPr>
          <w:rFonts w:ascii="Arial" w:cs="Arial" w:eastAsia="Arial" w:hAnsi="Arial"/>
          <w:sz w:val="14"/>
          <w:szCs w:val="14"/>
          <w:color w:val="auto"/>
        </w:rPr>
        <w:t>These regulatory review committees and advisory groups, the new guidelines they promulgate, and new guidance issued by regulatory authorities, such as the draft gene therapy guidance issued by the FDA in July 2018,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 approval limitations or restrictions. 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or our collaborators’ ability to complete clinical trials and commercialize our current and future product candidates in a timely manner, if at all.</w:t>
      </w:r>
    </w:p>
    <w:p>
      <w:pPr>
        <w:spacing w:after="0" w:line="159" w:lineRule="exact"/>
        <w:rPr>
          <w:sz w:val="20"/>
          <w:szCs w:val="20"/>
          <w:color w:val="auto"/>
        </w:rPr>
      </w:pPr>
    </w:p>
    <w:p>
      <w:pPr>
        <w:ind w:right="620"/>
        <w:spacing w:after="0" w:line="288" w:lineRule="auto"/>
        <w:rPr>
          <w:sz w:val="20"/>
          <w:szCs w:val="20"/>
          <w:color w:val="auto"/>
        </w:rPr>
      </w:pPr>
      <w:r>
        <w:rPr>
          <w:rFonts w:ascii="Arial" w:cs="Arial" w:eastAsia="Arial" w:hAnsi="Arial"/>
          <w:sz w:val="15"/>
          <w:szCs w:val="15"/>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24" w:lineRule="exact"/>
        <w:rPr>
          <w:sz w:val="20"/>
          <w:szCs w:val="20"/>
          <w:color w:val="auto"/>
        </w:rPr>
      </w:pPr>
    </w:p>
    <w:p>
      <w:pPr>
        <w:ind w:firstLine="520"/>
        <w:spacing w:after="0" w:line="278" w:lineRule="auto"/>
        <w:rPr>
          <w:sz w:val="20"/>
          <w:szCs w:val="20"/>
          <w:color w:val="auto"/>
        </w:rPr>
      </w:pPr>
      <w:r>
        <w:rPr>
          <w:rFonts w:ascii="Arial" w:cs="Arial" w:eastAsia="Arial" w:hAnsi="Arial"/>
          <w:sz w:val="14"/>
          <w:szCs w:val="14"/>
          <w:color w:val="auto"/>
        </w:rPr>
        <w:t>Undesirable side effects caused by our product candidates could cause us or regulatory authorities to interrupt, delay, or halt clinical studies or further development, and could result in a more restrictive label, the delay or denial of regulatory approval by the FDA or other comparable foreign authorities, or a Risk Evaluation and Mitigation Strategy, or REMS, plan, which could include a medication guide outlining the risks of such side effects for distribution to patients, restricted distribution, a communication plan for healthcare providers, and/or other elements to assure safe use. Some of our product candidates are in the early stages of development and the safety profile has not been established. For example, in completed Phase 2 study, LC-FAOD patients treated with UX007 experienced treatment-related adverse events, the most common of which were diarrhea, abdominal/gastrointestinal pain and vomiting. There were no deaths, but there was one treatment-related serious adverse event of moderate gastroenteritis with vomiting. In a completed Phase 2 seizure study, Glut1 DS patients with seizures treated with UX007 experienced treatment-related adverse events, the most common of which were vomiting, diarrhea, and abdominal pain. There were no deaths, and no treatment-related serious adverse events. Gene therapy product candidates using AAV vectors, like DTX301, have been associated with immunologic reaction to the capsid protein or gene at early time points after administration. For example, in our recently discontinued Phase 1/2 clinical trial of DTX101 in hemophilia B, we observed elevated laboratory alanine transaminase levels, or ALTs. In previous clinical trials involving AAV viral vectors for gene therapy, some subjects experienced adverse events, including the development of a T-cell mediated immune response against the vector capsid proteins. In addition, theoretical side effects of AAV vectors include replication and spread of the virus to other parts of the body and insertional oncogenesis, which is the process whereby the insertion of a gene near a gene that is important in cell growth or division results in uncontrolled cell division, which could potentially enhance the risk of malignant transformation or cancer. Potential procedure-related events are similar to those associated with standard coronary diagnostic procedures, and may include vascular injury (e.g., damage to the femoral, radial or brachial arteries at the site of vascular access, or damage to the coronary arteries) or myocardial injury. Future product candidates may also cause these or similar side effects as development proceeds.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87" w:right="219" w:bottom="1440" w:gutter="0" w:footer="0" w:header="0"/>
        </w:sectPr>
      </w:pPr>
    </w:p>
    <w:bookmarkStart w:id="33" w:name="page34"/>
    <w:bookmarkEnd w:id="33"/>
    <w:p>
      <w:pPr>
        <w:ind w:right="20" w:firstLine="520"/>
        <w:spacing w:after="0" w:line="282" w:lineRule="auto"/>
        <w:rPr>
          <w:sz w:val="20"/>
          <w:szCs w:val="20"/>
          <w:color w:val="auto"/>
        </w:rPr>
      </w:pPr>
      <w:r>
        <w:rPr>
          <w:rFonts w:ascii="Arial" w:cs="Arial" w:eastAsia="Arial" w:hAnsi="Arial"/>
          <w:sz w:val="14"/>
          <w:szCs w:val="14"/>
          <w:color w:val="auto"/>
        </w:rPr>
        <w:t>Drug-related side effects could affect patient recruitment and the ability of enrolled patients to complete a study. Such side effects could also result in potential product liability claims. We currently carry product liability insurance in the amount of $10.0 million per incident and $10.0 million in the aggregate, and we are required to maintain product liability insurance pursuant to certain of our agreements. We believe our product liability insurance coverage is sufficient in light of our current clinical programs; however,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32" w:lineRule="exact"/>
        <w:rPr>
          <w:sz w:val="20"/>
          <w:szCs w:val="20"/>
          <w:color w:val="auto"/>
        </w:rPr>
      </w:pPr>
    </w:p>
    <w:p>
      <w:pPr>
        <w:ind w:right="280" w:firstLine="520"/>
        <w:spacing w:after="0" w:line="318" w:lineRule="auto"/>
        <w:rPr>
          <w:sz w:val="20"/>
          <w:szCs w:val="20"/>
          <w:color w:val="auto"/>
        </w:rPr>
      </w:pPr>
      <w:r>
        <w:rPr>
          <w:rFonts w:ascii="Arial" w:cs="Arial" w:eastAsia="Arial" w:hAnsi="Arial"/>
          <w:sz w:val="14"/>
          <w:szCs w:val="14"/>
          <w:color w:val="auto"/>
        </w:rPr>
        <w:t>Additionally, even though we received regulatory approval for Crysvita and Mepsevii and even if our product candidates receive marketing approval in the future, if we or others later identify undesirable side effects caused by such products, a number of potentially significant negative consequences could result, including but not limited to:</w:t>
      </w:r>
    </w:p>
    <w:p>
      <w:pPr>
        <w:ind w:left="900" w:hanging="389"/>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regulatory authorities may withdraw approvals of such product;</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on the product’s label or restrict the product’s approved use;</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may be required to create a REMS plan;</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patients and physicians may elect not to use our products, or reimbursement authorities may elect not to reimburse for them; and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70" w:lineRule="exact"/>
        <w:rPr>
          <w:sz w:val="20"/>
          <w:szCs w:val="20"/>
          <w:color w:val="auto"/>
        </w:rPr>
      </w:pPr>
    </w:p>
    <w:p>
      <w:pPr>
        <w:ind w:right="540" w:firstLine="520"/>
        <w:spacing w:after="0" w:line="288"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and could significantly harm our business, results of operations, and prospects.</w:t>
      </w:r>
    </w:p>
    <w:p>
      <w:pPr>
        <w:spacing w:after="0" w:line="151" w:lineRule="exact"/>
        <w:rPr>
          <w:sz w:val="20"/>
          <w:szCs w:val="20"/>
          <w:color w:val="auto"/>
        </w:rPr>
      </w:pPr>
    </w:p>
    <w:p>
      <w:pPr>
        <w:ind w:right="160"/>
        <w:spacing w:after="0" w:line="325" w:lineRule="auto"/>
        <w:rPr>
          <w:sz w:val="20"/>
          <w:szCs w:val="20"/>
          <w:color w:val="auto"/>
        </w:rPr>
      </w:pPr>
      <w:r>
        <w:rPr>
          <w:rFonts w:ascii="Arial" w:cs="Arial" w:eastAsia="Arial" w:hAnsi="Arial"/>
          <w:sz w:val="14"/>
          <w:szCs w:val="14"/>
          <w:b w:val="1"/>
          <w:bCs w:val="1"/>
          <w:i w:val="1"/>
          <w:iCs w:val="1"/>
          <w:color w:val="auto"/>
        </w:rPr>
        <w:t>If preclinical studies for DTX201 for hemophilia A, DTX701 for Wilson disease, DTX501 for PKU, and DTX601 for citrullinemia type I, or all of our future product candidates do not result in the determination of a minimally effective dose range, we may not obtain the regulatory approvals required to initiate clinical testing.</w:t>
      </w:r>
    </w:p>
    <w:p>
      <w:pPr>
        <w:spacing w:after="0" w:line="25" w:lineRule="exact"/>
        <w:rPr>
          <w:sz w:val="20"/>
          <w:szCs w:val="20"/>
          <w:color w:val="auto"/>
        </w:rPr>
      </w:pPr>
    </w:p>
    <w:p>
      <w:pPr>
        <w:ind w:firstLine="589"/>
        <w:spacing w:after="0" w:line="285" w:lineRule="auto"/>
        <w:rPr>
          <w:sz w:val="20"/>
          <w:szCs w:val="20"/>
          <w:color w:val="auto"/>
        </w:rPr>
      </w:pPr>
      <w:r>
        <w:rPr>
          <w:rFonts w:ascii="Arial" w:cs="Arial" w:eastAsia="Arial" w:hAnsi="Arial"/>
          <w:sz w:val="14"/>
          <w:szCs w:val="14"/>
          <w:color w:val="auto"/>
        </w:rPr>
        <w:t>As with any systemically delivered adeno-associated virus, or AAV, gene therapy, it is important that we accurately determine a minimally effective dose in order to successfully execute our clinical trial. Exposure to the AAV virus has been shown to induce the production of neutralizing antibodies, which can reduce or eliminate the therapeutic effect of subsequently administered intravenous AAV therapies such as our product candidates. Because of the potential for immune response producing neutralizing antibodies making patients ineligible for a second dose of that vector, clinical trials are required to determine the minimum effective dose and the maximum safe dose. If our preclinical studies fail to demonstrate a starting dose in the clinic that might be reasonably expected to result in a clinical benefit, regulatory agencies may not approve the start of our clinical trials. In addition, even if we start our clinical program, we may not be able to recruit patients who will seek assurance of a clinical benefit following administration of our therapy.</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we obtain regulatory approval for our product candidates, our products will remain subject to regulatory scrutiny.</w:t>
      </w:r>
    </w:p>
    <w:p>
      <w:pPr>
        <w:spacing w:after="0" w:line="70" w:lineRule="exact"/>
        <w:rPr>
          <w:sz w:val="20"/>
          <w:szCs w:val="20"/>
          <w:color w:val="auto"/>
        </w:rPr>
      </w:pPr>
    </w:p>
    <w:p>
      <w:pPr>
        <w:ind w:right="200" w:firstLine="520"/>
        <w:spacing w:after="0" w:line="272" w:lineRule="auto"/>
        <w:rPr>
          <w:sz w:val="20"/>
          <w:szCs w:val="20"/>
          <w:color w:val="auto"/>
        </w:rPr>
      </w:pPr>
      <w:r>
        <w:rPr>
          <w:rFonts w:ascii="Arial" w:cs="Arial" w:eastAsia="Arial" w:hAnsi="Arial"/>
          <w:sz w:val="15"/>
          <w:szCs w:val="15"/>
          <w:color w:val="auto"/>
        </w:rPr>
        <w:t>Our products and any product candidates that are approved will be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25" w:lineRule="exact"/>
        <w:rPr>
          <w:sz w:val="20"/>
          <w:szCs w:val="20"/>
          <w:color w:val="auto"/>
        </w:rPr>
      </w:pPr>
    </w:p>
    <w:p>
      <w:pPr>
        <w:ind w:right="320" w:firstLine="520"/>
        <w:spacing w:after="0" w:line="264" w:lineRule="auto"/>
        <w:rPr>
          <w:sz w:val="20"/>
          <w:szCs w:val="20"/>
          <w:color w:val="auto"/>
        </w:rPr>
      </w:pPr>
      <w:r>
        <w:rPr>
          <w:rFonts w:ascii="Arial" w:cs="Arial" w:eastAsia="Arial" w:hAnsi="Arial"/>
          <w:sz w:val="15"/>
          <w:szCs w:val="15"/>
          <w:color w:val="auto"/>
        </w:rPr>
        <w:t>Manufacturers and manufacturers’ facilities are required to comply with extensive FDA, and comparable foreign regulatory authority, requirements, including ensuring that quality control and manufacturing procedures conform to Good Manufacturing Practices (GMP) regulations. As such, we and our contract manufacturers will be subject to continual review and inspection to assess compliance with GMP and adherence to commitments made in any NDA, BLA, MAA, or other comparable application for approval in another jurisdiction. Accordingly, we and others with whom we work must continue to expend time, money, and effort in all areas of regulatory compliance, including manufacturing, production, and quality control.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87" w:right="219" w:bottom="1440" w:gutter="0" w:footer="0" w:header="0"/>
        </w:sectPr>
      </w:pPr>
    </w:p>
    <w:bookmarkStart w:id="34" w:name="page35"/>
    <w:bookmarkEnd w:id="34"/>
    <w:p>
      <w:pPr>
        <w:ind w:firstLine="520"/>
        <w:spacing w:after="0" w:line="259" w:lineRule="auto"/>
        <w:rPr>
          <w:sz w:val="20"/>
          <w:szCs w:val="20"/>
          <w:color w:val="auto"/>
        </w:rPr>
      </w:pPr>
      <w:r>
        <w:rPr>
          <w:rFonts w:ascii="Arial" w:cs="Arial" w:eastAsia="Arial" w:hAnsi="Arial"/>
          <w:sz w:val="15"/>
          <w:szCs w:val="15"/>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IV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was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promote our products only for indications or uses for which they have approval. The holder of an approved NDA, BLA, MAA, or other comparable application must submit new or supplemental applications and obtain approval for certain changes to the approved product, product labeling, or manufacturing process.</w:t>
      </w:r>
    </w:p>
    <w:p>
      <w:pPr>
        <w:spacing w:after="0" w:line="52" w:lineRule="exact"/>
        <w:rPr>
          <w:sz w:val="20"/>
          <w:szCs w:val="20"/>
          <w:color w:val="auto"/>
        </w:rPr>
      </w:pPr>
    </w:p>
    <w:p>
      <w:pPr>
        <w:ind w:right="120" w:firstLine="520"/>
        <w:spacing w:after="0" w:line="288" w:lineRule="auto"/>
        <w:rPr>
          <w:sz w:val="20"/>
          <w:szCs w:val="20"/>
          <w:color w:val="auto"/>
        </w:rPr>
      </w:pPr>
      <w:r>
        <w:rPr>
          <w:rFonts w:ascii="Arial" w:cs="Arial" w:eastAsia="Arial" w:hAnsi="Arial"/>
          <w:sz w:val="15"/>
          <w:szCs w:val="15"/>
          <w:color w:val="auto"/>
        </w:rPr>
        <w:t>If we fail to comply with applicable regulatory requirements, or there are safety or efficacy problems with a product, a regulatory agency or enforcement authority may, among other things:</w:t>
      </w:r>
    </w:p>
    <w:p>
      <w:pPr>
        <w:spacing w:after="0" w:line="13" w:lineRule="exact"/>
        <w:rPr>
          <w:sz w:val="20"/>
          <w:szCs w:val="20"/>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issue warning or notice of violation letters;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impose civil or criminal penalties;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suspend or withdraw regulatory approval;</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suspend any of our ongoing clinical studies;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refuse to approve pending applications or supplements to approved applications submitted by us;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impose restrictions on our operations, including closing our contract manufacturers’ facilities;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seize or detain products, or require a product recall; or</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require entry into a consent decree.</w:t>
      </w:r>
    </w:p>
    <w:p>
      <w:pPr>
        <w:spacing w:after="0" w:line="70" w:lineRule="exact"/>
        <w:rPr>
          <w:sz w:val="20"/>
          <w:szCs w:val="20"/>
          <w:color w:val="auto"/>
        </w:rPr>
      </w:pPr>
    </w:p>
    <w:p>
      <w:pPr>
        <w:ind w:right="300" w:firstLine="520"/>
        <w:spacing w:after="0" w:line="272"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63" w:lineRule="exact"/>
        <w:rPr>
          <w:sz w:val="20"/>
          <w:szCs w:val="20"/>
          <w:color w:val="auto"/>
        </w:rPr>
      </w:pPr>
    </w:p>
    <w:p>
      <w:pPr>
        <w:ind w:right="380"/>
        <w:spacing w:after="0" w:line="272" w:lineRule="auto"/>
        <w:rPr>
          <w:sz w:val="20"/>
          <w:szCs w:val="20"/>
          <w:color w:val="auto"/>
        </w:rPr>
      </w:pPr>
      <w:r>
        <w:rPr>
          <w:rFonts w:ascii="Arial" w:cs="Arial" w:eastAsia="Arial" w:hAnsi="Arial"/>
          <w:sz w:val="15"/>
          <w:szCs w:val="15"/>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60" w:lineRule="exact"/>
        <w:rPr>
          <w:sz w:val="20"/>
          <w:szCs w:val="20"/>
          <w:color w:val="auto"/>
        </w:rPr>
      </w:pPr>
    </w:p>
    <w:p>
      <w:pPr>
        <w:ind w:firstLine="477"/>
        <w:spacing w:after="0" w:line="281" w:lineRule="auto"/>
        <w:rPr>
          <w:sz w:val="20"/>
          <w:szCs w:val="20"/>
          <w:color w:val="auto"/>
        </w:rPr>
      </w:pPr>
      <w:r>
        <w:rPr>
          <w:rFonts w:ascii="Arial" w:cs="Arial" w:eastAsia="Arial" w:hAnsi="Arial"/>
          <w:sz w:val="14"/>
          <w:szCs w:val="14"/>
          <w:color w:val="auto"/>
        </w:rPr>
        <w:t>Gene therapy remains a novel technology. Public perception may be influenced by claims that gene therapy is unsafe, and gene therapy may not gain the acceptance of the public or the medical community. For example, earlier gene therapy trials led to several well- publicized adverse events, including cases of leukemia and death seen in other trials using other vectors. The risk of cancer remains a concern for gene therapy and we cannot assure you that it will not occur in any of our planned or future clinical studies. In addition, there is the potential risk of delayed adverse events following exposure to gene therapy products due to persistent biological activity of the genetic material or other components of products used to carry the genetic material. Serious adverse events in our clinical trials, or other clinical trials involving gene therapy products, particularly AAV gene therapy products such as candidates based on the same capsid serotypes as our product candidates, or occurring during use of our competitors’ products, even if not ultimately attributable to the relevant product candidates, and the resulting publicity, could result in increased government regulation, unfavorable public perception, potential regulatory delays in the testing or approval of our gene therapy product candidates, stricter labeling requirements for those gene therapy product candidates that are approved and a decrease in demand for any such gene therapy product candidates, all of which would have an adverse effect on our business, financial condition, results of operations and prospects.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87" w:right="259" w:bottom="1440" w:gutter="0" w:footer="0" w:header="0"/>
        </w:sectPr>
      </w:pPr>
    </w:p>
    <w:bookmarkStart w:id="35" w:name="page36"/>
    <w:bookmarkEnd w:id="35"/>
    <w:p>
      <w:pPr>
        <w:ind w:right="40"/>
        <w:spacing w:after="0" w:line="288" w:lineRule="auto"/>
        <w:rPr>
          <w:sz w:val="20"/>
          <w:szCs w:val="20"/>
          <w:color w:val="auto"/>
        </w:rPr>
      </w:pPr>
      <w:r>
        <w:rPr>
          <w:rFonts w:ascii="Arial" w:cs="Arial" w:eastAsia="Arial" w:hAnsi="Arial"/>
          <w:sz w:val="15"/>
          <w:szCs w:val="15"/>
          <w:b w:val="1"/>
          <w:bCs w:val="1"/>
          <w:i w:val="1"/>
          <w:iCs w:val="1"/>
          <w:color w:val="auto"/>
        </w:rPr>
        <w:t>Our transition from HEK293 to a HeLa platform may require additional toxicology and comparability studies for gene therapy product candidates, which may result in delays to the approval process for our current or future programs and increased costs resulting from additional preclinical trials.</w:t>
      </w:r>
    </w:p>
    <w:p>
      <w:pPr>
        <w:spacing w:after="0" w:line="24" w:lineRule="exact"/>
        <w:rPr>
          <w:sz w:val="20"/>
          <w:szCs w:val="20"/>
          <w:color w:val="auto"/>
        </w:rPr>
      </w:pPr>
    </w:p>
    <w:p>
      <w:pPr>
        <w:ind w:right="100" w:firstLine="520"/>
        <w:spacing w:after="0" w:line="281" w:lineRule="auto"/>
        <w:rPr>
          <w:sz w:val="20"/>
          <w:szCs w:val="20"/>
          <w:color w:val="auto"/>
        </w:rPr>
      </w:pPr>
      <w:r>
        <w:rPr>
          <w:rFonts w:ascii="Arial" w:cs="Arial" w:eastAsia="Arial" w:hAnsi="Arial"/>
          <w:sz w:val="14"/>
          <w:szCs w:val="14"/>
          <w:color w:val="auto"/>
        </w:rPr>
        <w:t>We have conducted some of our preclinical evaluations with viral vectors produced on adherent and suspension platforms utilizing human embryonic kidney 293, or HEK293, and HeLa cells, the latter an immortal cell line used in scientific research. HeLa is the oldest and most commonly used human cell line. We are conducting our Phase 1/2 trials of DTX301 and DTX401, and potentially other programs using viral vectors produced on the HEK293 platform. We plan to conduct our Phase 1/2 trial of DTX201 using viral vectors produced on the HeLa platform. For Phase 3 studies and commercial production of each of our gene therapy product candidates, we plan to use HeLa. Even if we successfully complete our planned preclinical studies and clinical trials using vectors produced on our adherent and suspension HEK293 and HeLa platforms, FDA or other regulatory authorities may require additional toxicology and/or a clinical bridge study, or comparability study, the latter showing comparability of vectors produced on the HeLa platform prior to commencing Phase 3 trials of our gene therapy product candidates, delaying the development process. For example, while FDA has agreed to our plan, other regulators may require additional assessments of HeLa material during the manufacturing of our products as well as additional animal studies. In addition, if we make manufacturing or formulation changes to our product candidates in the future, we may need to conduct additional preclinical studies to bridge our modified product candidates to earlier versions.</w:t>
      </w:r>
    </w:p>
    <w:p>
      <w:pPr>
        <w:spacing w:after="0" w:line="161" w:lineRule="exact"/>
        <w:rPr>
          <w:sz w:val="20"/>
          <w:szCs w:val="20"/>
          <w:color w:val="auto"/>
        </w:rPr>
      </w:pPr>
    </w:p>
    <w:p>
      <w:pPr>
        <w:ind w:right="180"/>
        <w:spacing w:after="0" w:line="325" w:lineRule="auto"/>
        <w:rPr>
          <w:sz w:val="20"/>
          <w:szCs w:val="20"/>
          <w:color w:val="auto"/>
        </w:rPr>
      </w:pPr>
      <w:r>
        <w:rPr>
          <w:rFonts w:ascii="Arial" w:cs="Arial" w:eastAsia="Arial" w:hAnsi="Arial"/>
          <w:sz w:val="14"/>
          <w:szCs w:val="14"/>
          <w:b w:val="1"/>
          <w:bCs w:val="1"/>
          <w:i w:val="1"/>
          <w:iCs w:val="1"/>
          <w:color w:val="auto"/>
        </w:rPr>
        <w:t>If we are unable to identify, source, and develop effective predictive biomarkers, or our collaborators are unable to successfully develop and commercialize companion diagnostics for our product candidates, or experience significant delays in doing so, we may not realize the full commercial potential of our product candidates.</w:t>
      </w:r>
    </w:p>
    <w:p>
      <w:pPr>
        <w:spacing w:after="0" w:line="25" w:lineRule="exact"/>
        <w:rPr>
          <w:sz w:val="20"/>
          <w:szCs w:val="20"/>
          <w:color w:val="auto"/>
        </w:rPr>
      </w:pPr>
    </w:p>
    <w:p>
      <w:pPr>
        <w:ind w:firstLine="572"/>
        <w:spacing w:after="0" w:line="270" w:lineRule="auto"/>
        <w:rPr>
          <w:sz w:val="20"/>
          <w:szCs w:val="20"/>
          <w:color w:val="auto"/>
        </w:rPr>
      </w:pPr>
      <w:r>
        <w:rPr>
          <w:rFonts w:ascii="Arial" w:cs="Arial" w:eastAsia="Arial" w:hAnsi="Arial"/>
          <w:sz w:val="14"/>
          <w:szCs w:val="14"/>
          <w:color w:val="auto"/>
        </w:rPr>
        <w:t xml:space="preserve">We currently anticipate that we will need to develop diagnostic tests to identify the right patients for certain of our product candidates and to monitor response to treatment. In certain cases, diagnostic tests may need to be developed as companion diagnostics and regulatory approval obtained in order to commercialize some product candidates. We expect to use predictive biomarkers to identify the right patients for certain of our product candidates. For example, to evaluate therapeutic response of DTX301, we plan to measure ammonia levels and other biomarkers, including </w:t>
      </w:r>
      <w:r>
        <w:rPr>
          <w:rFonts w:ascii="Arial" w:cs="Arial" w:eastAsia="Arial" w:hAnsi="Arial"/>
          <w:sz w:val="20"/>
          <w:szCs w:val="20"/>
          <w:color w:val="auto"/>
          <w:vertAlign w:val="superscript"/>
        </w:rPr>
        <w:t>13</w:t>
      </w:r>
      <w:r>
        <w:rPr>
          <w:rFonts w:ascii="Arial" w:cs="Arial" w:eastAsia="Arial" w:hAnsi="Arial"/>
          <w:sz w:val="14"/>
          <w:szCs w:val="14"/>
          <w:color w:val="auto"/>
        </w:rPr>
        <w:t xml:space="preserve">C-acetate, which are established measures of OTC deficiency disease status and ureagenesis. We cannot assure you that </w:t>
      </w:r>
      <w:r>
        <w:rPr>
          <w:rFonts w:ascii="Arial" w:cs="Arial" w:eastAsia="Arial" w:hAnsi="Arial"/>
          <w:sz w:val="20"/>
          <w:szCs w:val="20"/>
          <w:color w:val="auto"/>
          <w:vertAlign w:val="superscript"/>
        </w:rPr>
        <w:t>13</w:t>
      </w:r>
      <w:r>
        <w:rPr>
          <w:rFonts w:ascii="Arial" w:cs="Arial" w:eastAsia="Arial" w:hAnsi="Arial"/>
          <w:sz w:val="14"/>
          <w:szCs w:val="14"/>
          <w:color w:val="auto"/>
        </w:rPr>
        <w:t>C-acetate or any other future potential biomarker will in fact prove predictive, be reliably sourced, or be accepted by the FDA or other regulatory authorities. In addition, our success may depend, in part, on the development and commercialization of companion diagnostics. We also expect the FDA will require the development and regulatory approval of a companion diagnostic assay as a condition to approval of DTX301. There has been limited success to date industrywide in developing and commercializing these types of companion diagnostics. Development and manufacturing of companion diagnostics is complex and there are limited manufacturers with the necessary expertise and capability. Even if we are able to find a qualified collaborator, it may not be able to manufacture the companion diagnostics at a cost or in quantities or on timelines necessary for use with our product candidates.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product candidates that receive marketing approval. University of Pennsylvania School of Medicine currently conducts some of our clinical assays pursuant to a sponsored research agreement, one of which is required for our ongoing Phase 1/2 clinical trial. We intend to enter into agreements with third parties for the automation, characterization and validation, of our companion diagnostic and the manufacture of its critical reagents. However, we may be unable to enter into any such agreement on favorable terms, or at all.</w:t>
      </w:r>
    </w:p>
    <w:p>
      <w:pPr>
        <w:spacing w:after="0" w:line="63" w:lineRule="exact"/>
        <w:rPr>
          <w:sz w:val="20"/>
          <w:szCs w:val="20"/>
          <w:color w:val="auto"/>
        </w:rPr>
      </w:pPr>
    </w:p>
    <w:p>
      <w:pPr>
        <w:ind w:right="120" w:firstLine="572"/>
        <w:spacing w:after="0" w:line="282" w:lineRule="auto"/>
        <w:rPr>
          <w:sz w:val="20"/>
          <w:szCs w:val="20"/>
          <w:color w:val="auto"/>
        </w:rPr>
      </w:pPr>
      <w:r>
        <w:rPr>
          <w:rFonts w:ascii="Arial" w:cs="Arial" w:eastAsia="Arial" w:hAnsi="Arial"/>
          <w:sz w:val="14"/>
          <w:szCs w:val="14"/>
          <w:color w:val="auto"/>
        </w:rPr>
        <w:t>Companion diagnostics are subject to regulation by FDA and similar regulatory authorities outside the United States as medical devices and require regulatory clearance or approval prior to commercialization. In the United States, companion diagnostics are cleared or approved through FDA’s 510(k) premarket notification or premarket approval, or PMA, process. Changes in marketing approval policies during the development period, changes in or the enactment of additional statutes or regulations, or changes in regulatory review for each submitted 510(k) premarket notification, PMA or equivalent application types in jurisdictions outside the United States, may cause delays in the approval, clearance or rejection of an application. Given our limited experience in developing and commercializing diagnostics, we expect to rely in part or in whole on third parties for companion diagnostic design and commercialization. We and our collaborators may encounter difficulties in developing and obtaining approval or clearance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product candidates.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Risks Related to our Reliance on Third Parties</w:t>
      </w:r>
    </w:p>
    <w:p>
      <w:pPr>
        <w:spacing w:after="0" w:line="85" w:lineRule="exact"/>
        <w:rPr>
          <w:sz w:val="20"/>
          <w:szCs w:val="20"/>
          <w:color w:val="auto"/>
        </w:rPr>
      </w:pPr>
    </w:p>
    <w:p>
      <w:pPr>
        <w:ind w:right="240"/>
        <w:spacing w:after="0" w:line="272" w:lineRule="auto"/>
        <w:rPr>
          <w:sz w:val="20"/>
          <w:szCs w:val="20"/>
          <w:color w:val="auto"/>
        </w:rPr>
      </w:pPr>
      <w:r>
        <w:rPr>
          <w:rFonts w:ascii="Arial" w:cs="Arial" w:eastAsia="Arial" w:hAnsi="Arial"/>
          <w:sz w:val="15"/>
          <w:szCs w:val="15"/>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25" w:lineRule="exact"/>
        <w:rPr>
          <w:sz w:val="20"/>
          <w:szCs w:val="20"/>
          <w:color w:val="auto"/>
        </w:rPr>
      </w:pPr>
    </w:p>
    <w:p>
      <w:pPr>
        <w:ind w:right="40" w:firstLine="520"/>
        <w:spacing w:after="0" w:line="279" w:lineRule="auto"/>
        <w:rPr>
          <w:sz w:val="20"/>
          <w:szCs w:val="20"/>
          <w:color w:val="auto"/>
        </w:rPr>
      </w:pPr>
      <w:r>
        <w:rPr>
          <w:rFonts w:ascii="Arial" w:cs="Arial" w:eastAsia="Arial" w:hAnsi="Arial"/>
          <w:sz w:val="14"/>
          <w:szCs w:val="14"/>
          <w:color w:val="auto"/>
        </w:rPr>
        <w:t>We have relied upon and plan to continue to rely upon third parties, including CROs, collaborative partners, and independent investigators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For example, we will rely on our partner Arcturus for the design and optimization of initial product candidates under our messenger RNA collaboration. Nevertheless, we are responsible for ensuring that each of our studies is conducted in accordance with the applicable protocol, legal, regulatory, and scientific standards, and our reliance on the CROs and other third parties does not relieve us of our regulatory responsibilities. We and our CROs and other vendors and partners are required to comply with GMP, GCP, and GLP, which are regulations and guidelines enforced by the FDA, the Competent Authorities of the Member States of the European Economic Area,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the regulatory authorities determine that we have failed to comply with GLP, GMP, or GCP regulations, they may deny approval of our product candidates and/or we may be required to repeat clinical or nonclinical studies, which would delay the regulatory approval process.</w:t>
      </w:r>
    </w:p>
    <w:p>
      <w:pPr>
        <w:spacing w:after="0" w:line="22" w:lineRule="exact"/>
        <w:rPr>
          <w:sz w:val="20"/>
          <w:szCs w:val="20"/>
          <w:color w:val="auto"/>
        </w:rPr>
      </w:pPr>
    </w:p>
    <w:p>
      <w:pPr>
        <w:ind w:firstLine="520"/>
        <w:spacing w:after="0" w:line="310" w:lineRule="auto"/>
        <w:rPr>
          <w:sz w:val="20"/>
          <w:szCs w:val="20"/>
          <w:color w:val="auto"/>
        </w:rPr>
      </w:pPr>
      <w:r>
        <w:rPr>
          <w:rFonts w:ascii="Arial" w:cs="Arial" w:eastAsia="Arial" w:hAnsi="Arial"/>
          <w:sz w:val="13"/>
          <w:szCs w:val="13"/>
          <w:color w:val="auto"/>
        </w:rPr>
        <w:t>Our CROs and other vendors and partners are not our employees, and except for remedies available to us under our agreements with such third parties, we cannot control whether or not they devote sufficient time and resources to our on-going nonclinical and clinical programs.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our results of operations and the commercial prospects for our product candidates would be harmed, our costs could increase, and our ability to generate revenue could be delayed.</w:t>
      </w:r>
    </w:p>
    <w:p>
      <w:pPr>
        <w:spacing w:after="0" w:line="18" w:lineRule="exact"/>
        <w:rPr>
          <w:sz w:val="20"/>
          <w:szCs w:val="20"/>
          <w:color w:val="auto"/>
        </w:rPr>
      </w:pPr>
    </w:p>
    <w:p>
      <w:pPr>
        <w:ind w:right="80" w:firstLine="520"/>
        <w:spacing w:after="0" w:line="264" w:lineRule="auto"/>
        <w:rPr>
          <w:sz w:val="20"/>
          <w:szCs w:val="20"/>
          <w:color w:val="auto"/>
        </w:rPr>
      </w:pPr>
      <w:r>
        <w:rPr>
          <w:rFonts w:ascii="Arial" w:cs="Arial" w:eastAsia="Arial" w:hAnsi="Arial"/>
          <w:sz w:val="15"/>
          <w:szCs w:val="15"/>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Though we carefully manage our relationships with our vendors and partners, there can be no assurance that we will not encounter similar challenges or delays in the future or that these delays or challenges will not have a material adverse impact on our business, financial condition, and business prospects.</w:t>
      </w:r>
    </w:p>
    <w:p>
      <w:pPr>
        <w:spacing w:after="0" w:line="32" w:lineRule="exact"/>
        <w:rPr>
          <w:sz w:val="20"/>
          <w:szCs w:val="20"/>
          <w:color w:val="auto"/>
        </w:rPr>
      </w:pPr>
    </w:p>
    <w:p>
      <w:pPr>
        <w:ind w:right="180" w:firstLine="520"/>
        <w:spacing w:after="0" w:line="272" w:lineRule="auto"/>
        <w:rPr>
          <w:sz w:val="20"/>
          <w:szCs w:val="20"/>
          <w:color w:val="auto"/>
        </w:rPr>
      </w:pPr>
      <w:r>
        <w:rPr>
          <w:rFonts w:ascii="Arial" w:cs="Arial" w:eastAsia="Arial" w:hAnsi="Arial"/>
          <w:sz w:val="15"/>
          <w:szCs w:val="15"/>
          <w:color w:val="auto"/>
        </w:rPr>
        <w:t>We also rely on third parties in other ways, including efforts to support patient diagnosis and identify patients,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spacing w:after="0" w:line="163" w:lineRule="exact"/>
        <w:rPr>
          <w:sz w:val="20"/>
          <w:szCs w:val="20"/>
          <w:color w:val="auto"/>
        </w:rPr>
      </w:pPr>
    </w:p>
    <w:p>
      <w:pPr>
        <w:jc w:val="both"/>
        <w:ind w:right="240"/>
        <w:spacing w:after="0" w:line="272" w:lineRule="auto"/>
        <w:rPr>
          <w:sz w:val="20"/>
          <w:szCs w:val="20"/>
          <w:color w:val="auto"/>
        </w:rPr>
      </w:pPr>
      <w:r>
        <w:rPr>
          <w:rFonts w:ascii="Arial" w:cs="Arial" w:eastAsia="Arial" w:hAnsi="Arial"/>
          <w:sz w:val="15"/>
          <w:szCs w:val="15"/>
          <w:b w:val="1"/>
          <w:bCs w:val="1"/>
          <w:i w:val="1"/>
          <w:iCs w:val="1"/>
          <w:color w:val="auto"/>
        </w:rPr>
        <w:t>We are dependent on KHK for the clinical and commercial supply of Crysvita for all major markets and for the development and commercialization of Crysvita in certain major markets, and KHK’s failure to provide an adequate supply of Crysvita or to commercialize Crysvita in those markets could result in a material adverse effect on our business and operating results.</w:t>
      </w:r>
    </w:p>
    <w:p>
      <w:pPr>
        <w:spacing w:after="0" w:line="36" w:lineRule="exact"/>
        <w:rPr>
          <w:sz w:val="20"/>
          <w:szCs w:val="20"/>
          <w:color w:val="auto"/>
        </w:rPr>
      </w:pPr>
    </w:p>
    <w:p>
      <w:pPr>
        <w:ind w:right="300" w:firstLine="520"/>
        <w:spacing w:after="0" w:line="272" w:lineRule="auto"/>
        <w:rPr>
          <w:sz w:val="20"/>
          <w:szCs w:val="20"/>
          <w:color w:val="auto"/>
        </w:rPr>
      </w:pPr>
      <w:r>
        <w:rPr>
          <w:rFonts w:ascii="Arial" w:cs="Arial" w:eastAsia="Arial" w:hAnsi="Arial"/>
          <w:sz w:val="15"/>
          <w:szCs w:val="15"/>
          <w:color w:val="auto"/>
        </w:rPr>
        <w:t>Under our agreement with KHK, KHK has the sole right to commercialize Crysvita in Europe and, at a specified time, in the United States, Canada, and Turkey, subject to a limited promotion right we retained. Our development partnership with KHK may not be successful, and we may not realize the expected benefits from such partnership, due to a number of important factors, including but not limited to the following:</w:t>
      </w:r>
    </w:p>
    <w:p>
      <w:pPr>
        <w:spacing w:after="0" w:line="25" w:lineRule="exact"/>
        <w:rPr>
          <w:sz w:val="20"/>
          <w:szCs w:val="20"/>
          <w:color w:val="auto"/>
        </w:rPr>
      </w:pPr>
    </w:p>
    <w:p>
      <w:pPr>
        <w:ind w:left="900" w:right="100" w:hanging="389"/>
        <w:spacing w:after="0" w:line="292" w:lineRule="auto"/>
        <w:tabs>
          <w:tab w:leader="none" w:pos="9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KHK has no obligation under our agreement to use diligent efforts to commercialize Crysvita in Europe. The timing and amount of any royalty payments we may receive under our agreement will depend on, among other things, the efforts, allocation of resources, and successful commercialization of Crysvita by KHK in Europe. Additionally, if KHK were to decide not to commercialize Crysvita in Europe, and we nevertheless wished to commercialize Crysvita in Europe, we would need to renegotiate with KHK certain terms of our agreement, which we may be unable to do on reasonable terms in a timely manner, or at 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37" w:name="page38"/>
    <w:bookmarkEnd w:id="37"/>
    <w:p>
      <w:pPr>
        <w:ind w:left="900" w:right="16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timing and amount of any royalty payments we may receive under our agreement with KHK will depend on, among other things, the efforts, allocation of resources, and successful commercialization of Crysvita by KHK in the United States and Canada under our agreement;</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KHK may change the focus of its commercialization efforts or pursue higher-priority programs;</w:t>
      </w:r>
    </w:p>
    <w:p>
      <w:pPr>
        <w:spacing w:after="0" w:line="69" w:lineRule="exact"/>
        <w:rPr>
          <w:rFonts w:ascii="Arial" w:cs="Arial" w:eastAsia="Arial" w:hAnsi="Arial"/>
          <w:sz w:val="15"/>
          <w:szCs w:val="15"/>
          <w:color w:val="auto"/>
        </w:rPr>
      </w:pPr>
    </w:p>
    <w:p>
      <w:pPr>
        <w:ind w:left="900" w:right="16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KHK may make decisions regarding the indications for our product candidates in countries where it has the sole right to commercialize the product candidates that limit commercialization efforts in those countries or in countries where we have the right to commercialize our product candidates;</w:t>
      </w:r>
    </w:p>
    <w:p>
      <w:pPr>
        <w:spacing w:after="0" w:line="12" w:lineRule="exact"/>
        <w:rPr>
          <w:rFonts w:ascii="Arial" w:cs="Arial" w:eastAsia="Arial" w:hAnsi="Arial"/>
          <w:sz w:val="15"/>
          <w:szCs w:val="15"/>
          <w:color w:val="auto"/>
        </w:rPr>
      </w:pPr>
    </w:p>
    <w:p>
      <w:pPr>
        <w:ind w:left="900" w:right="36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KHK may make decisions regarding market access and pricing in countries where it has the sole right to commercialize our product candidates which can negatively impact our commercialization efforts in countries where we have the right to commercialize our product candidates;</w:t>
      </w:r>
    </w:p>
    <w:p>
      <w:pPr>
        <w:spacing w:after="0" w:line="12" w:lineRule="exact"/>
        <w:rPr>
          <w:rFonts w:ascii="Arial" w:cs="Arial" w:eastAsia="Arial" w:hAnsi="Arial"/>
          <w:sz w:val="15"/>
          <w:szCs w:val="15"/>
          <w:color w:val="auto"/>
        </w:rPr>
      </w:pPr>
    </w:p>
    <w:p>
      <w:pPr>
        <w:ind w:left="900" w:right="34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KHK may fail to manufacture or supply sufficient drug product of Crysvita in compliance with applicable laws and regulations or otherwise for our development and clinical use, which could result in program delays;</w:t>
      </w:r>
    </w:p>
    <w:p>
      <w:pPr>
        <w:spacing w:after="0" w:line="12" w:lineRule="exact"/>
        <w:rPr>
          <w:rFonts w:ascii="Arial" w:cs="Arial" w:eastAsia="Arial" w:hAnsi="Arial"/>
          <w:sz w:val="15"/>
          <w:szCs w:val="15"/>
          <w:color w:val="auto"/>
        </w:rPr>
      </w:pPr>
    </w:p>
    <w:p>
      <w:pPr>
        <w:ind w:left="900" w:right="24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KHK may fail to manufacture or supply sufficient drug product of Crysvita in compliance with applicable laws and regulations or otherwise for our commercial use, if approved, which could result in lost revenue;</w:t>
      </w:r>
    </w:p>
    <w:p>
      <w:pPr>
        <w:spacing w:after="0" w:line="12" w:lineRule="exact"/>
        <w:rPr>
          <w:rFonts w:ascii="Arial" w:cs="Arial" w:eastAsia="Arial" w:hAnsi="Arial"/>
          <w:sz w:val="15"/>
          <w:szCs w:val="15"/>
          <w:color w:val="auto"/>
        </w:rPr>
      </w:pPr>
    </w:p>
    <w:p>
      <w:pPr>
        <w:ind w:left="900" w:right="30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KHK may elect to develop and commercialize Crysvita indications with a larger market than XLH and at a lower price, thereby reducing the profit margin on sales of Crysvita for any orphan indications, including XLH;</w:t>
      </w:r>
    </w:p>
    <w:p>
      <w:pPr>
        <w:spacing w:after="0" w:line="12" w:lineRule="exact"/>
        <w:rPr>
          <w:rFonts w:ascii="Arial" w:cs="Arial" w:eastAsia="Arial" w:hAnsi="Arial"/>
          <w:sz w:val="15"/>
          <w:szCs w:val="15"/>
          <w:color w:val="auto"/>
        </w:rPr>
      </w:pPr>
    </w:p>
    <w:p>
      <w:pPr>
        <w:ind w:left="900" w:right="18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KHK were to breach or terminate the agreement with us, we would no longer have any rights to develop or commercialize Crysvita or such rights would be limited to non-terminated countries;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KHK may terminate its agreement with us, adversely affecting our potential revenue from licensed products; and</w:t>
      </w:r>
    </w:p>
    <w:p>
      <w:pPr>
        <w:spacing w:after="0" w:line="69" w:lineRule="exact"/>
        <w:rPr>
          <w:rFonts w:ascii="Arial" w:cs="Arial" w:eastAsia="Arial" w:hAnsi="Arial"/>
          <w:sz w:val="15"/>
          <w:szCs w:val="15"/>
          <w:color w:val="auto"/>
        </w:rPr>
      </w:pPr>
    </w:p>
    <w:p>
      <w:pPr>
        <w:ind w:left="900" w:right="40" w:hanging="389"/>
        <w:spacing w:after="0" w:line="288"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timing and amounts of expense reimbursement that we may receive are uncertain, and the total expenses for which we are obligated to reimburse KHK may be greater than anticipated.</w:t>
      </w:r>
    </w:p>
    <w:p>
      <w:pPr>
        <w:spacing w:after="0" w:line="151" w:lineRule="exact"/>
        <w:rPr>
          <w:sz w:val="20"/>
          <w:szCs w:val="20"/>
          <w:color w:val="auto"/>
        </w:rPr>
      </w:pPr>
    </w:p>
    <w:p>
      <w:pPr>
        <w:ind w:right="420"/>
        <w:spacing w:after="0" w:line="288" w:lineRule="auto"/>
        <w:rPr>
          <w:sz w:val="20"/>
          <w:szCs w:val="20"/>
          <w:color w:val="auto"/>
        </w:rPr>
      </w:pPr>
      <w:r>
        <w:rPr>
          <w:rFonts w:ascii="Arial" w:cs="Arial" w:eastAsia="Arial" w:hAnsi="Arial"/>
          <w:sz w:val="15"/>
          <w:szCs w:val="15"/>
          <w:b w:val="1"/>
          <w:bCs w:val="1"/>
          <w:i w:val="1"/>
          <w:iCs w:val="1"/>
          <w:color w:val="auto"/>
        </w:rPr>
        <w:t>We rely on third parties to manufacture our products and most of our product candidates. Our business could be harmed if those third parties fail to provide us with sufficient quantities of drug product, or fail to do so at acceptable quality levels or cost.</w:t>
      </w:r>
    </w:p>
    <w:p>
      <w:pPr>
        <w:spacing w:after="0" w:line="24" w:lineRule="exact"/>
        <w:rPr>
          <w:sz w:val="20"/>
          <w:szCs w:val="20"/>
          <w:color w:val="auto"/>
        </w:rPr>
      </w:pPr>
    </w:p>
    <w:p>
      <w:pPr>
        <w:ind w:firstLine="520"/>
        <w:spacing w:after="0" w:line="305" w:lineRule="auto"/>
        <w:rPr>
          <w:sz w:val="20"/>
          <w:szCs w:val="20"/>
          <w:color w:val="auto"/>
        </w:rPr>
      </w:pPr>
      <w:r>
        <w:rPr>
          <w:rFonts w:ascii="Arial" w:cs="Arial" w:eastAsia="Arial" w:hAnsi="Arial"/>
          <w:sz w:val="13"/>
          <w:szCs w:val="13"/>
          <w:color w:val="auto"/>
        </w:rPr>
        <w:t>We have limited infrastructure or capability internally to manufacture our products and product candidates, and we lack the resources and the capability to manufacture most of our product candidates on a clinical or commercial scale. We rely on our manufacturers to purchase from third-party suppliers the materials necessary to produce our product candidates for our clinical studies. There are a limited number of suppliers for raw materials that we use to manufacture our drugs, placebos, or active controls, and there may be a need to identify alternate suppliers to prevent a possible disruption of the manufacture of the materials necessary to produce our products and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a sufficient supply of a product candidate to complete such study, any significant delay or discontinuity in the supply of a product candidate, or the raw material components thereof, for an ongoing clinical study due to, among other things, the failure of a manufacturer to provide a drug substance or drug product of sufficient quantity or quality, or the need to replace a third-party manufacturer could considerably delay completion of our clinical studies, product testing, and potential regulatory approval of our product candidates, and could also impair named patient sale supply of our product candidates, which could harm our business and results of operations.</w:t>
      </w:r>
    </w:p>
    <w:p>
      <w:pPr>
        <w:spacing w:after="0" w:line="9" w:lineRule="exact"/>
        <w:rPr>
          <w:sz w:val="20"/>
          <w:szCs w:val="20"/>
          <w:color w:val="auto"/>
        </w:rPr>
      </w:pPr>
    </w:p>
    <w:p>
      <w:pPr>
        <w:ind w:right="20" w:firstLine="520"/>
        <w:spacing w:after="0" w:line="280" w:lineRule="auto"/>
        <w:rPr>
          <w:sz w:val="20"/>
          <w:szCs w:val="20"/>
          <w:color w:val="auto"/>
        </w:rPr>
      </w:pPr>
      <w:r>
        <w:rPr>
          <w:rFonts w:ascii="Arial" w:cs="Arial" w:eastAsia="Arial" w:hAnsi="Arial"/>
          <w:sz w:val="14"/>
          <w:szCs w:val="14"/>
          <w:color w:val="auto"/>
        </w:rPr>
        <w:t>We expect our manufacturing strategy will involve the use of one or more CMOs as well as establishing our own capabilities and infrastructure, including at our Woburn, MA facility where we will support continued innovation in vector optimization and development of manufacturing processes required for IND-enabling studies and the reliable production of high quality AAV vectors at commercial scale. We expect that development of our own process development facility will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may never be successful in developing our own manufacturing facility or capability. Additionally, given that cGMP gene therapy manufacturing is a nascent industry, there are a small number of CMOs with the experience necessary to manufacture our gene therapy product candidates and we may have difficulty finding or maintaining relationships with such CMOs or hiring experts for internal manufacturing and accordingly, our production capacity may be limited.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lack of capacity, labor shortages, natural disasters, power failures and numerous other factors that could prevent us from realizing the intended benefits of our manufacturing strategy and have a material adverse effect on our business.</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5"/>
          <w:szCs w:val="15"/>
          <w:b w:val="1"/>
          <w:bCs w:val="1"/>
          <w:i w:val="1"/>
          <w:iCs w:val="1"/>
          <w:color w:val="auto"/>
        </w:rPr>
        <w:t>Gene therapy products and product candidates are novel, complex, expensive and difficult to manufacture. We could experience manufacturing problems that result in delays in our gene therapy development or commercialization programs or otherwise harm our business.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38" w:name="page39"/>
    <w:bookmarkEnd w:id="38"/>
    <w:p>
      <w:pPr>
        <w:ind w:firstLine="579"/>
        <w:spacing w:after="0" w:line="272" w:lineRule="auto"/>
        <w:rPr>
          <w:sz w:val="20"/>
          <w:szCs w:val="20"/>
          <w:color w:val="auto"/>
        </w:rPr>
      </w:pPr>
      <w:r>
        <w:rPr>
          <w:rFonts w:ascii="Arial" w:cs="Arial" w:eastAsia="Arial" w:hAnsi="Arial"/>
          <w:sz w:val="15"/>
          <w:szCs w:val="15"/>
          <w:color w:val="auto"/>
        </w:rPr>
        <w:t>The manufacturing process used to produce our gene therapy product candidates is complex, novel and has not been validated for commercial use. Several factors could cause production interruptions, including equipment malfunctions, regulatory inspections, facility contamination, raw material shortages or contamination, natural disasters, disruption in utility services, human error or disruptions in the operations of our suppliers.</w:t>
      </w:r>
    </w:p>
    <w:p>
      <w:pPr>
        <w:spacing w:after="0" w:line="36" w:lineRule="exact"/>
        <w:rPr>
          <w:sz w:val="20"/>
          <w:szCs w:val="20"/>
          <w:color w:val="auto"/>
        </w:rPr>
      </w:pPr>
    </w:p>
    <w:p>
      <w:pPr>
        <w:ind w:right="60" w:firstLine="579"/>
        <w:spacing w:after="0" w:line="283" w:lineRule="auto"/>
        <w:rPr>
          <w:sz w:val="20"/>
          <w:szCs w:val="20"/>
          <w:color w:val="auto"/>
        </w:rPr>
      </w:pPr>
      <w:r>
        <w:rPr>
          <w:rFonts w:ascii="Arial" w:cs="Arial" w:eastAsia="Arial" w:hAnsi="Arial"/>
          <w:sz w:val="14"/>
          <w:szCs w:val="14"/>
          <w:color w:val="auto"/>
        </w:rPr>
        <w:t>Our gene therapy product candidates require processing steps that are more complex than those required for most small molecule drugs. Moreover, unlike small molecules, the physical and chemical properties of a biologic such as our gene therapy ones generally cannot be fully characterized. As a result, assays of the finished product candidate may not be sufficient to ensure that the product candidate is consistent from lot to lot or will perform in the intended manner. Accordingly, we employ multiple steps to control the manufacturing process to assure that the process works reproducibly and the product candidate is made strictly and consistently in compliance with the process. Problems with the manufacturing process, even minor deviations from the normal process, could result in product defects or manufacturing failures that result in lot failures, noncompliance with regulatory requirements, product recalls, product liability claims or insufficient inventory. We may encounter problems achieving adequate quantities and quality of clinical-grade materials that meet FDA, the EMA or other applicable standards or specifications with consistent and acceptable production yields and costs.</w:t>
      </w:r>
    </w:p>
    <w:p>
      <w:pPr>
        <w:spacing w:after="0" w:line="21" w:lineRule="exact"/>
        <w:rPr>
          <w:sz w:val="20"/>
          <w:szCs w:val="20"/>
          <w:color w:val="auto"/>
        </w:rPr>
      </w:pPr>
    </w:p>
    <w:p>
      <w:pPr>
        <w:ind w:right="20" w:firstLine="579"/>
        <w:spacing w:after="0" w:line="264" w:lineRule="auto"/>
        <w:rPr>
          <w:sz w:val="20"/>
          <w:szCs w:val="20"/>
          <w:color w:val="auto"/>
        </w:rPr>
      </w:pPr>
      <w:r>
        <w:rPr>
          <w:rFonts w:ascii="Arial" w:cs="Arial" w:eastAsia="Arial" w:hAnsi="Arial"/>
          <w:sz w:val="15"/>
          <w:szCs w:val="15"/>
          <w:color w:val="auto"/>
        </w:rPr>
        <w:t>In addition, FDA, the EMA and other foreign regulatory authorities may require us to submit samples of any lot of any approved product together with the protocols showing the results of applicable tests at any time. Under some circumstances,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32" w:lineRule="exact"/>
        <w:rPr>
          <w:sz w:val="20"/>
          <w:szCs w:val="20"/>
          <w:color w:val="auto"/>
        </w:rPr>
      </w:pPr>
    </w:p>
    <w:p>
      <w:pPr>
        <w:ind w:firstLine="579"/>
        <w:spacing w:after="0" w:line="332" w:lineRule="auto"/>
        <w:rPr>
          <w:sz w:val="20"/>
          <w:szCs w:val="20"/>
          <w:color w:val="auto"/>
        </w:rPr>
      </w:pPr>
      <w:r>
        <w:rPr>
          <w:rFonts w:ascii="Arial" w:cs="Arial" w:eastAsia="Arial" w:hAnsi="Arial"/>
          <w:sz w:val="13"/>
          <w:szCs w:val="13"/>
          <w:color w:val="auto"/>
        </w:rPr>
        <w:t>We also may encounter problems hiring and retaining the experienced scientific, quality-control and manufacturing personnel needed to operate our gene therapy manufacturing processes, which could result in delays in production or difficulties in maintaining compliance with applicable regulatory requirements. We also may not be able to complete scaling up of our facility in Woburn, MA, and this facility may not enable the expansion of our internal manufacturing process discovery and development to the extent we anticipate, or at all.</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a multitude of manufacturing risks, any of which could substantially increase our costs and limit the supply of our product candidates.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process of manufacturing our products and product candidates is complex, highly regulated, and subject to several risks, including but not limited to those listed below.</w:t>
      </w:r>
    </w:p>
    <w:p>
      <w:pPr>
        <w:spacing w:after="0" w:line="81" w:lineRule="exact"/>
        <w:rPr>
          <w:sz w:val="20"/>
          <w:szCs w:val="20"/>
          <w:color w:val="auto"/>
        </w:rPr>
      </w:pPr>
    </w:p>
    <w:p>
      <w:pPr>
        <w:ind w:left="900" w:right="180" w:hanging="389"/>
        <w:spacing w:after="0" w:line="264"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process of manufacturing our products and product candidates is extremely susceptible to product loss due to contamination, equipment failure or improper installation or operation of equipment, or vendor or operator error. Even minor deviations from normal manufacturing processes for our products and any of our product candidates could result in reduced production yields, product defects, and other supply disruptions. If microbial, viral, or other contaminations are discovered in our products and product candidates or in the manufacturing facilities in which our products and product candidates are made, such manufacturing facilities may need to be closed for an extended period of time to investigate and remedy the contamination.</w:t>
      </w:r>
    </w:p>
    <w:p>
      <w:pPr>
        <w:spacing w:after="0" w:line="31" w:lineRule="exact"/>
        <w:rPr>
          <w:rFonts w:ascii="Arial" w:cs="Arial" w:eastAsia="Arial" w:hAnsi="Arial"/>
          <w:sz w:val="15"/>
          <w:szCs w:val="15"/>
          <w:color w:val="auto"/>
        </w:rPr>
      </w:pPr>
    </w:p>
    <w:p>
      <w:pPr>
        <w:ind w:left="900" w:right="380" w:hanging="389"/>
        <w:spacing w:after="0" w:line="288"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manufacturing facilities in which our products and product candidates are made could be adversely affected by equipment failures, labor shortages, raw material shortages, natural disasters, power failures, and numerous other factors.</w:t>
      </w:r>
    </w:p>
    <w:p>
      <w:pPr>
        <w:spacing w:after="0" w:line="13" w:lineRule="exact"/>
        <w:rPr>
          <w:sz w:val="20"/>
          <w:szCs w:val="20"/>
          <w:color w:val="auto"/>
        </w:rPr>
      </w:pPr>
    </w:p>
    <w:p>
      <w:pPr>
        <w:ind w:right="260" w:firstLine="520"/>
        <w:spacing w:after="0" w:line="292" w:lineRule="auto"/>
        <w:rPr>
          <w:sz w:val="20"/>
          <w:szCs w:val="20"/>
          <w:color w:val="auto"/>
        </w:rPr>
      </w:pPr>
      <w:r>
        <w:rPr>
          <w:rFonts w:ascii="Arial" w:cs="Arial" w:eastAsia="Arial" w:hAnsi="Arial"/>
          <w:sz w:val="14"/>
          <w:szCs w:val="14"/>
          <w:color w:val="auto"/>
        </w:rPr>
        <w:t>Any adverse developments affecting manufacturing operations for our products and product candidates may result in shipment delays, inventory shortages, lot failures, withdrawals or recalls, or other interruptions in the supply of our products and product candidates. Due to their stage of development, small volume requirements, and infrequency of batch production runs, we carry limited amounts of safety stock for our products and product candidates. We may also have to take inventory write-offs and incur other charges and expenses for products and product candidates that fail to meet specifications, undertake costly remediation efforts, or seek more costly manufacturing alternatives.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39" w:name="page40"/>
    <w:bookmarkEnd w:id="39"/>
    <w:p>
      <w:pPr>
        <w:ind w:right="100"/>
        <w:spacing w:after="0" w:line="288" w:lineRule="auto"/>
        <w:rPr>
          <w:sz w:val="20"/>
          <w:szCs w:val="20"/>
          <w:color w:val="auto"/>
        </w:rPr>
      </w:pPr>
      <w:r>
        <w:rPr>
          <w:rFonts w:ascii="Arial" w:cs="Arial" w:eastAsia="Arial" w:hAnsi="Arial"/>
          <w:sz w:val="15"/>
          <w:szCs w:val="15"/>
          <w:b w:val="1"/>
          <w:bCs w:val="1"/>
          <w:i w:val="1"/>
          <w:iCs w:val="1"/>
          <w:color w:val="auto"/>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affect our business.</w:t>
      </w:r>
    </w:p>
    <w:p>
      <w:pPr>
        <w:spacing w:after="0" w:line="24" w:lineRule="exact"/>
        <w:rPr>
          <w:sz w:val="20"/>
          <w:szCs w:val="20"/>
          <w:color w:val="auto"/>
        </w:rPr>
      </w:pPr>
    </w:p>
    <w:p>
      <w:pPr>
        <w:ind w:right="20" w:firstLine="520"/>
        <w:spacing w:after="0" w:line="260" w:lineRule="auto"/>
        <w:rPr>
          <w:sz w:val="20"/>
          <w:szCs w:val="20"/>
          <w:color w:val="auto"/>
        </w:rPr>
      </w:pPr>
      <w:r>
        <w:rPr>
          <w:rFonts w:ascii="Arial" w:cs="Arial" w:eastAsia="Arial" w:hAnsi="Arial"/>
          <w:sz w:val="15"/>
          <w:szCs w:val="15"/>
          <w:color w:val="auto"/>
        </w:rPr>
        <w:t>We acquire most of the drug substances and drug products for our products and product candidates from single sources. The drug substance and drug product for Crysvita are made by KHK pursuant to our license and collaboration agreement with KHK. The drug substance and drug product for Mepsevii are manufactured by Rentschler under a commercial supply and services agreement and accompanying purchase orders. The pharmaceutical-grade drug substance for UX007 is manufactured by IOI Oleo pursuant to our supply agreement with IOI Oleo, and the drug product for UX007 is prepared by Haupt Pharma AG and CPM pursuant to purchase orders. Single source suppliers are also used for our gene therapy programs We have not currently secured any other suppliers for the drug substance or drug product of our products and product candidates and, although we believe that there are alternate sources of supply that could satisfy our clinical and commercial requirements, we cannot provide assurance that identifying alternate sources and establishing relationships with such sources would not result in significant delay in the commercialization of our products or the development of our product candidates. Additionally, we may not be able to enter into supply arrangements with alternative suppliers on commercially reasonable terms or at all. A delay in the commercialization of our products or the development of our product candidates or having to enter into a new agreement with a different third-party on less favorable terms than we have with our current suppliers could have a material adverse impact upon on our business.</w:t>
      </w:r>
    </w:p>
    <w:p>
      <w:pPr>
        <w:spacing w:after="0" w:line="173"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b w:val="1"/>
          <w:bCs w:val="1"/>
          <w:i w:val="1"/>
          <w:iCs w:val="1"/>
          <w:color w:val="auto"/>
        </w:rPr>
        <w:t>We and our collaborators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3" w:lineRule="exact"/>
        <w:rPr>
          <w:sz w:val="20"/>
          <w:szCs w:val="20"/>
          <w:color w:val="auto"/>
        </w:rPr>
      </w:pPr>
    </w:p>
    <w:p>
      <w:pPr>
        <w:ind w:firstLine="520"/>
        <w:spacing w:after="0" w:line="279" w:lineRule="auto"/>
        <w:rPr>
          <w:sz w:val="20"/>
          <w:szCs w:val="20"/>
          <w:color w:val="auto"/>
        </w:rPr>
      </w:pPr>
      <w:r>
        <w:rPr>
          <w:rFonts w:ascii="Arial" w:cs="Arial" w:eastAsia="Arial" w:hAnsi="Arial"/>
          <w:sz w:val="14"/>
          <w:szCs w:val="14"/>
          <w:color w:val="auto"/>
        </w:rPr>
        <w:t>All entities involved in the preparation of therapeutics for clinical studies or commercial sale, including our existing contract manufacturers and collaboration partners for our product candidates, are subject to extensive regulation. Components of a finished therapeutic product approved for commercial sale or used in clinical studies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NDA, BLA, MAA, or other application for regulatory approval, on a timely basis and must adhere to GLP, GMP, and similar regulations enforced by the FDA and other regulatory agencies through their facilities inspection programs. Some of our contract manufacturers have never produced a commercially approved pharmaceutical product and therefore have not obtained the requisite regulatory authority approvals to do so.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substantially dependent on, our contract manufacturing partners for compliance with the regulatory requirements. If these facilities cannot schedule manufacturing to meet inspectional demands or do not pass a pre-approval plant inspection, regulatory approval of the products may not be granted or may be substantially delayed until any violations are corrected to the satisfaction of the regulatory authority, if ever.</w:t>
      </w:r>
    </w:p>
    <w:p>
      <w:pPr>
        <w:spacing w:after="0" w:line="33" w:lineRule="exact"/>
        <w:rPr>
          <w:sz w:val="20"/>
          <w:szCs w:val="20"/>
          <w:color w:val="auto"/>
        </w:rPr>
      </w:pPr>
    </w:p>
    <w:p>
      <w:pPr>
        <w:ind w:firstLine="520"/>
        <w:spacing w:after="0" w:line="264" w:lineRule="auto"/>
        <w:rPr>
          <w:sz w:val="20"/>
          <w:szCs w:val="20"/>
          <w:color w:val="auto"/>
        </w:rPr>
      </w:pPr>
      <w:r>
        <w:rPr>
          <w:rFonts w:ascii="Arial" w:cs="Arial" w:eastAsia="Arial" w:hAnsi="Arial"/>
          <w:sz w:val="15"/>
          <w:szCs w:val="15"/>
          <w:color w:val="auto"/>
        </w:rPr>
        <w:t>The regulatory authorities also may, at any time following approval of a product for sale, audit the manufacturing facilities of our collaborators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32" w:lineRule="exact"/>
        <w:rPr>
          <w:sz w:val="20"/>
          <w:szCs w:val="20"/>
          <w:color w:val="auto"/>
        </w:rPr>
      </w:pPr>
    </w:p>
    <w:p>
      <w:pPr>
        <w:ind w:right="20" w:firstLine="520"/>
        <w:spacing w:after="0" w:line="272" w:lineRule="auto"/>
        <w:rPr>
          <w:sz w:val="20"/>
          <w:szCs w:val="20"/>
          <w:color w:val="auto"/>
        </w:rPr>
      </w:pPr>
      <w:r>
        <w:rPr>
          <w:rFonts w:ascii="Arial" w:cs="Arial" w:eastAsia="Arial" w:hAnsi="Arial"/>
          <w:sz w:val="15"/>
          <w:szCs w:val="15"/>
          <w:color w:val="auto"/>
        </w:rPr>
        <w:t>If we, our collaborators, or any of our third-party manufacturers fail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w:t>
      </w:r>
    </w:p>
    <w:p>
      <w:pPr>
        <w:spacing w:after="0" w:line="25" w:lineRule="exact"/>
        <w:rPr>
          <w:sz w:val="20"/>
          <w:szCs w:val="20"/>
          <w:color w:val="auto"/>
        </w:rPr>
      </w:pPr>
    </w:p>
    <w:p>
      <w:pPr>
        <w:ind w:right="60" w:firstLine="520"/>
        <w:spacing w:after="0" w:line="300" w:lineRule="auto"/>
        <w:rPr>
          <w:sz w:val="20"/>
          <w:szCs w:val="20"/>
          <w:color w:val="auto"/>
        </w:rPr>
      </w:pPr>
      <w:r>
        <w:rPr>
          <w:rFonts w:ascii="Arial" w:cs="Arial" w:eastAsia="Arial" w:hAnsi="Arial"/>
          <w:sz w:val="14"/>
          <w:szCs w:val="14"/>
          <w:color w:val="auto"/>
        </w:rPr>
        <w:t>Additionally, if supply from one approved manufacturer is interrupted, an alternative manufacturer would need to be qualified through an NDA or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9" w:lineRule="exact"/>
        <w:rPr>
          <w:sz w:val="20"/>
          <w:szCs w:val="20"/>
          <w:color w:val="auto"/>
        </w:rPr>
      </w:pPr>
    </w:p>
    <w:p>
      <w:pPr>
        <w:jc w:val="both"/>
        <w:ind w:right="100" w:firstLine="520"/>
        <w:spacing w:after="0" w:line="272" w:lineRule="auto"/>
        <w:rPr>
          <w:sz w:val="20"/>
          <w:szCs w:val="20"/>
          <w:color w:val="auto"/>
        </w:rPr>
      </w:pPr>
      <w:r>
        <w:rPr>
          <w:rFonts w:ascii="Arial" w:cs="Arial" w:eastAsia="Arial" w:hAnsi="Arial"/>
          <w:sz w:val="15"/>
          <w:szCs w:val="15"/>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40" w:name="page41"/>
    <w:bookmarkEnd w:id="40"/>
    <w:p>
      <w:pPr>
        <w:ind w:right="20"/>
        <w:spacing w:after="0" w:line="288" w:lineRule="auto"/>
        <w:rPr>
          <w:sz w:val="20"/>
          <w:szCs w:val="20"/>
          <w:color w:val="auto"/>
        </w:rPr>
      </w:pPr>
      <w:r>
        <w:rPr>
          <w:rFonts w:ascii="Arial" w:cs="Arial" w:eastAsia="Arial" w:hAnsi="Arial"/>
          <w:sz w:val="15"/>
          <w:szCs w:val="15"/>
          <w:b w:val="1"/>
          <w:bCs w:val="1"/>
          <w:i w:val="1"/>
          <w:iCs w:val="1"/>
          <w:color w:val="auto"/>
        </w:rPr>
        <w:t>The actions of distributors could affect our ability to sell or market products profitably. Fluctuations in buying or distribution patterns by such distributors could adversely affect our revenues, financial condition, or results of operations.</w:t>
      </w:r>
    </w:p>
    <w:p>
      <w:pPr>
        <w:spacing w:after="0" w:line="24" w:lineRule="exact"/>
        <w:rPr>
          <w:sz w:val="20"/>
          <w:szCs w:val="20"/>
          <w:color w:val="auto"/>
        </w:rPr>
      </w:pPr>
    </w:p>
    <w:p>
      <w:pPr>
        <w:ind w:right="20" w:firstLine="520"/>
        <w:spacing w:after="0" w:line="267" w:lineRule="auto"/>
        <w:rPr>
          <w:sz w:val="20"/>
          <w:szCs w:val="20"/>
          <w:color w:val="auto"/>
        </w:rPr>
      </w:pPr>
      <w:r>
        <w:rPr>
          <w:rFonts w:ascii="Arial" w:cs="Arial" w:eastAsia="Arial" w:hAnsi="Arial"/>
          <w:sz w:val="15"/>
          <w:szCs w:val="15"/>
          <w:color w:val="auto"/>
        </w:rPr>
        <w:t>We intend to rely on commercial distributors for a considerable portion of our product sales and we expect such sales to be concentrated within a small number of distributors. The financial failure of any of these distributors could adversely affect our revenues, financial condition or results of operations. Our revenues, financial condition or results of operations may also be affected by fluctuations in distributor buying or distribution patterns. These fluctuations may result from seasonality, pricing, wholesaler inventory objectives, or other factors.</w:t>
      </w:r>
    </w:p>
    <w:p>
      <w:pPr>
        <w:spacing w:after="0" w:line="167" w:lineRule="exact"/>
        <w:rPr>
          <w:sz w:val="20"/>
          <w:szCs w:val="20"/>
          <w:color w:val="auto"/>
        </w:rPr>
      </w:pPr>
    </w:p>
    <w:p>
      <w:pPr>
        <w:ind w:right="960"/>
        <w:spacing w:after="0" w:line="288" w:lineRule="auto"/>
        <w:rPr>
          <w:sz w:val="20"/>
          <w:szCs w:val="20"/>
          <w:color w:val="auto"/>
        </w:rPr>
      </w:pPr>
      <w:r>
        <w:rPr>
          <w:rFonts w:ascii="Arial" w:cs="Arial" w:eastAsia="Arial" w:hAnsi="Arial"/>
          <w:sz w:val="15"/>
          <w:szCs w:val="15"/>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 w:lineRule="exact"/>
        <w:rPr>
          <w:sz w:val="20"/>
          <w:szCs w:val="20"/>
          <w:color w:val="auto"/>
        </w:rPr>
      </w:pPr>
    </w:p>
    <w:p>
      <w:pPr>
        <w:ind w:firstLine="520"/>
        <w:spacing w:after="0" w:line="282" w:lineRule="auto"/>
        <w:rPr>
          <w:sz w:val="20"/>
          <w:szCs w:val="20"/>
          <w:color w:val="auto"/>
        </w:rPr>
      </w:pPr>
      <w:r>
        <w:rPr>
          <w:rFonts w:ascii="Arial" w:cs="Arial" w:eastAsia="Arial" w:hAnsi="Arial"/>
          <w:sz w:val="14"/>
          <w:szCs w:val="14"/>
          <w:color w:val="auto"/>
        </w:rPr>
        <w:t>Because we rely on third parties in connection with the development and manufacture of our product candidates and will likely rely on third parties in connection with the commercialization of our approved products, we must, at times, share trade secrets with them. We seek to protect our proprietary technology in part by entering into confidentiality agreements and, if applicable, material transfer agreements, collaborative research agreements, consulting agreements, letters of engagement,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Commercialization of Our Product Candidates</w:t>
      </w:r>
    </w:p>
    <w:p>
      <w:pPr>
        <w:spacing w:after="0" w:line="74"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potentially even smaller, we must be able to successfully identify patients and acquire a significant market share to achieve profitability and growth.</w:t>
      </w:r>
    </w:p>
    <w:p>
      <w:pPr>
        <w:spacing w:after="0" w:line="25" w:lineRule="exact"/>
        <w:rPr>
          <w:sz w:val="20"/>
          <w:szCs w:val="20"/>
          <w:color w:val="auto"/>
        </w:rPr>
      </w:pPr>
    </w:p>
    <w:p>
      <w:pPr>
        <w:ind w:right="40" w:firstLine="520"/>
        <w:spacing w:after="0" w:line="302" w:lineRule="auto"/>
        <w:rPr>
          <w:sz w:val="20"/>
          <w:szCs w:val="20"/>
          <w:color w:val="auto"/>
        </w:rPr>
      </w:pPr>
      <w:r>
        <w:rPr>
          <w:rFonts w:ascii="Arial" w:cs="Arial" w:eastAsia="Arial" w:hAnsi="Arial"/>
          <w:sz w:val="13"/>
          <w:szCs w:val="13"/>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Some of our current clinical programs may be most appropriate for patients with more severe forms of their disease. For instance, our Phase 2 study of UX007 in LC-FAOD enrolled patients with more severe disease. In addition, while adults make up the majority of the XLH patients, they often have less severe disease that may reduce the penetration of Crysvita in the adult population relative to the pediatric population. Given the overall rarity of the diseases we target, it is difficult to project the prevalence of the more severe forms, or the other subsets of patients that may be most suitable to address with our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access, which would adversely affect our results of operations and our business. Further, even if we obtain significant market share for our product candidates, because the potential target populations are very small we may never become or remain profitable nor generate sufficient revenue growth to sustain our business.</w:t>
      </w:r>
    </w:p>
    <w:p>
      <w:pPr>
        <w:spacing w:after="0" w:line="162" w:lineRule="exact"/>
        <w:rPr>
          <w:sz w:val="20"/>
          <w:szCs w:val="20"/>
          <w:color w:val="auto"/>
        </w:rPr>
      </w:pPr>
    </w:p>
    <w:p>
      <w:pPr>
        <w:jc w:val="both"/>
        <w:ind w:right="60"/>
        <w:spacing w:after="0" w:line="272" w:lineRule="auto"/>
        <w:rPr>
          <w:sz w:val="20"/>
          <w:szCs w:val="20"/>
          <w:color w:val="auto"/>
        </w:rPr>
      </w:pPr>
      <w:r>
        <w:rPr>
          <w:rFonts w:ascii="Arial" w:cs="Arial" w:eastAsia="Arial" w:hAnsi="Arial"/>
          <w:sz w:val="15"/>
          <w:szCs w:val="15"/>
          <w:b w:val="1"/>
          <w:bCs w:val="1"/>
          <w:i w:val="1"/>
          <w:iCs w:val="1"/>
          <w:color w:val="auto"/>
        </w:rPr>
        <w:t>We intend to rely on third-party manufacturers to produce our product candidates. Additionally, these manufacturers may not have experience producing our product candidates at commercial levels and may not achieve the necessary regulatory approvals or produce our product candidates at the cost, quality, quantities, locations, and timing needed to support profitable commercialization.</w:t>
      </w:r>
    </w:p>
    <w:p>
      <w:pPr>
        <w:spacing w:after="0" w:line="25" w:lineRule="exact"/>
        <w:rPr>
          <w:sz w:val="20"/>
          <w:szCs w:val="20"/>
          <w:color w:val="auto"/>
        </w:rPr>
      </w:pPr>
    </w:p>
    <w:p>
      <w:pPr>
        <w:ind w:right="640" w:firstLine="520"/>
        <w:spacing w:after="0" w:line="288" w:lineRule="auto"/>
        <w:rPr>
          <w:sz w:val="20"/>
          <w:szCs w:val="20"/>
          <w:color w:val="auto"/>
        </w:rPr>
      </w:pPr>
      <w:r>
        <w:rPr>
          <w:rFonts w:ascii="Arial" w:cs="Arial" w:eastAsia="Arial" w:hAnsi="Arial"/>
          <w:sz w:val="15"/>
          <w:szCs w:val="15"/>
          <w:color w:val="auto"/>
        </w:rPr>
        <w:t>We have not yet secured manufacturing capabilities for commercial quantities of all of our product candidates. We may be unable to negotiate binding agreements with manufacturers to support our commercialization activities on commercially reasonable terms.</w:t>
      </w:r>
    </w:p>
    <w:p>
      <w:pPr>
        <w:spacing w:after="0" w:line="13" w:lineRule="exact"/>
        <w:rPr>
          <w:sz w:val="20"/>
          <w:szCs w:val="20"/>
          <w:color w:val="auto"/>
        </w:rPr>
      </w:pPr>
    </w:p>
    <w:p>
      <w:pPr>
        <w:ind w:right="340" w:firstLine="520"/>
        <w:spacing w:after="0" w:line="267" w:lineRule="auto"/>
        <w:rPr>
          <w:sz w:val="20"/>
          <w:szCs w:val="20"/>
          <w:color w:val="auto"/>
        </w:rPr>
      </w:pPr>
      <w:r>
        <w:rPr>
          <w:rFonts w:ascii="Arial" w:cs="Arial" w:eastAsia="Arial" w:hAnsi="Arial"/>
          <w:sz w:val="15"/>
          <w:szCs w:val="15"/>
          <w:color w:val="auto"/>
        </w:rPr>
        <w:t>Manufacturers may not have the experience or ability to produce our product candidates at commercial levels. We may run into technical or scientific issues related to manufacturing or development that we may be unable to resolve in a timely manner or with available funds. We also have not completed all of the characterization and validation activities necessary for commercialization and regulatory approvals. If our manufacturing partners are not able to conduct all such necessary activities in accordance with applicable regulations, our commercialization efforts will be harmed.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41" w:name="page42"/>
    <w:bookmarkEnd w:id="41"/>
    <w:p>
      <w:pPr>
        <w:ind w:right="100" w:firstLine="520"/>
        <w:spacing w:after="0" w:line="272" w:lineRule="auto"/>
        <w:rPr>
          <w:sz w:val="20"/>
          <w:szCs w:val="20"/>
          <w:color w:val="auto"/>
        </w:rPr>
      </w:pPr>
      <w:r>
        <w:rPr>
          <w:rFonts w:ascii="Arial" w:cs="Arial" w:eastAsia="Arial" w:hAnsi="Arial"/>
          <w:sz w:val="15"/>
          <w:szCs w:val="15"/>
          <w:color w:val="auto"/>
        </w:rPr>
        <w:t>Even if our third-party product manufacturers develop an acceptable manufacturing process, if such third-party manufacturers are unable to produce the necessary quantities of our product candidates, are unable to comply with GMP or other pertinent regulatory requirements, or are unable to produce our product candidates within our planned timeframe and cost parameters, the development and sales of our products, if approved, may be materially harmed.</w:t>
      </w:r>
    </w:p>
    <w:p>
      <w:pPr>
        <w:spacing w:after="0" w:line="36" w:lineRule="exact"/>
        <w:rPr>
          <w:sz w:val="20"/>
          <w:szCs w:val="20"/>
          <w:color w:val="auto"/>
        </w:rPr>
      </w:pPr>
    </w:p>
    <w:p>
      <w:pPr>
        <w:ind w:right="220" w:firstLine="520"/>
        <w:spacing w:after="0" w:line="267" w:lineRule="auto"/>
        <w:rPr>
          <w:sz w:val="20"/>
          <w:szCs w:val="20"/>
          <w:color w:val="auto"/>
        </w:rPr>
      </w:pPr>
      <w:r>
        <w:rPr>
          <w:rFonts w:ascii="Arial" w:cs="Arial" w:eastAsia="Arial" w:hAnsi="Arial"/>
          <w:sz w:val="15"/>
          <w:szCs w:val="15"/>
          <w:color w:val="auto"/>
        </w:rPr>
        <w:t>Additionally, the cost to us for the supply of our products and product candidates manufactured by such third parties may be high and could limit our profitability, even if our third-party product manufacturers develop acceptable manufacturing processes that provide the necessary quantities of our products and product candidates in a compliant and timely manner. Furthermore, KHK is our sole supplier of commercial quantities of Crysvita. The supply price to us for commercial sales of Crysvita, which will be determined on a fixed double-digit percentage of net sales, will be higher than the typical cost of goods sold by companies focused on rare diseases.</w:t>
      </w:r>
    </w:p>
    <w:p>
      <w:pPr>
        <w:spacing w:after="0" w:line="167"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13" w:lineRule="exact"/>
        <w:rPr>
          <w:sz w:val="20"/>
          <w:szCs w:val="20"/>
          <w:color w:val="auto"/>
        </w:rPr>
      </w:pPr>
    </w:p>
    <w:p>
      <w:pPr>
        <w:ind w:right="60" w:firstLine="520"/>
        <w:spacing w:after="0" w:line="261" w:lineRule="auto"/>
        <w:rPr>
          <w:sz w:val="20"/>
          <w:szCs w:val="20"/>
          <w:color w:val="auto"/>
        </w:rPr>
      </w:pPr>
      <w:r>
        <w:rPr>
          <w:rFonts w:ascii="Arial" w:cs="Arial" w:eastAsia="Arial" w:hAnsi="Arial"/>
          <w:sz w:val="15"/>
          <w:szCs w:val="15"/>
          <w:color w:val="auto"/>
        </w:rPr>
        <w:t>The biotechnology and pharmaceutical industries are intensely competitive and subject to rapid and significant technological change. We are currently aware of various existing therapies that may compete with our product candidates. For example, XLH is currently treated with oral phosphate and vitamin D therapy, which may compete with Crysvita. Furthermore, B. Braun Medical Inc., or B. Braun, has received orphan drug designation for triheptanoin in Europe for certain LC-FAOD indications and we do not know if B. Braun is planning to initiate clinical development. Triheptanoin is also available in food-grade form, which may compete with our pharmaceutical-grade product. Investigator-sponsored trials evaluating triheptanoin in multiple indications are ongoing. LC-FAOD is currently treated with diet therapy and medium-chain triglyceride oil, which may compete with UX007. Glut1 DS is currently treated primarily with the ketogenic diet and anti-epileptic drugs, which may also compete with UX007. OTC deficiency is currently treated with nitrogen scavenging drugs and severe limitations in dietary protein, which may compete with DTX301. Gene therapy, gene correction, RNA-based therapies, and other approaches may also emerge for the treatment of any of the disease areas in which we focus.</w:t>
      </w:r>
    </w:p>
    <w:p>
      <w:pPr>
        <w:spacing w:after="0" w:line="45" w:lineRule="exact"/>
        <w:rPr>
          <w:sz w:val="20"/>
          <w:szCs w:val="20"/>
          <w:color w:val="auto"/>
        </w:rPr>
      </w:pPr>
    </w:p>
    <w:p>
      <w:pPr>
        <w:ind w:firstLine="520"/>
        <w:spacing w:after="0" w:line="280" w:lineRule="auto"/>
        <w:rPr>
          <w:sz w:val="20"/>
          <w:szCs w:val="20"/>
          <w:color w:val="auto"/>
        </w:rPr>
      </w:pPr>
      <w:r>
        <w:rPr>
          <w:rFonts w:ascii="Arial" w:cs="Arial" w:eastAsia="Arial" w:hAnsi="Arial"/>
          <w:sz w:val="14"/>
          <w:szCs w:val="14"/>
          <w:color w:val="auto"/>
        </w:rPr>
        <w:t>We have competitors both in the United States and internationally, including major multinational pharmaceutical companies, specialty pharmaceutical companies, biotechnology companies, startups, academic research institutions, government agencies, and public and private research institutions.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 candidates uneconomical or obsolete, and we may not be successful in marketing our product candidates against competitors.</w:t>
      </w:r>
    </w:p>
    <w:p>
      <w:pPr>
        <w:spacing w:after="0" w:line="164" w:lineRule="exact"/>
        <w:rPr>
          <w:sz w:val="20"/>
          <w:szCs w:val="20"/>
          <w:color w:val="auto"/>
        </w:rPr>
      </w:pPr>
    </w:p>
    <w:p>
      <w:pPr>
        <w:ind w:right="360"/>
        <w:spacing w:after="0" w:line="288" w:lineRule="auto"/>
        <w:rPr>
          <w:sz w:val="20"/>
          <w:szCs w:val="20"/>
          <w:color w:val="auto"/>
        </w:rPr>
      </w:pPr>
      <w:r>
        <w:rPr>
          <w:rFonts w:ascii="Arial" w:cs="Arial" w:eastAsia="Arial" w:hAnsi="Arial"/>
          <w:sz w:val="15"/>
          <w:szCs w:val="15"/>
          <w:b w:val="1"/>
          <w:bCs w:val="1"/>
          <w:i w:val="1"/>
          <w:iCs w:val="1"/>
          <w:color w:val="auto"/>
        </w:rPr>
        <w:t>We continue to build and evolve an integrated commercial organization. If we are unable to expand our existing commercial infrastructure or enter into agreements with third parties to market and sell our product candidates, as needed, we may be unable to generate significant revenue.</w:t>
      </w:r>
    </w:p>
    <w:p>
      <w:pPr>
        <w:spacing w:after="0" w:line="13" w:lineRule="exact"/>
        <w:rPr>
          <w:sz w:val="20"/>
          <w:szCs w:val="20"/>
          <w:color w:val="auto"/>
        </w:rPr>
      </w:pPr>
    </w:p>
    <w:p>
      <w:pPr>
        <w:ind w:right="80" w:firstLine="520"/>
        <w:spacing w:after="0" w:line="267" w:lineRule="auto"/>
        <w:rPr>
          <w:sz w:val="20"/>
          <w:szCs w:val="20"/>
          <w:color w:val="auto"/>
        </w:rPr>
      </w:pPr>
      <w:r>
        <w:rPr>
          <w:rFonts w:ascii="Arial" w:cs="Arial" w:eastAsia="Arial" w:hAnsi="Arial"/>
          <w:sz w:val="15"/>
          <w:szCs w:val="15"/>
          <w:color w:val="auto"/>
        </w:rPr>
        <w:t>In preparation to successfully commercialize Crysvita and Mepsevii as well as any additional products that may result from our development programs, we have begun to build commercial infrastructure in the United States, Europe and Latin America. This infrastructure consists of both office based as well as field teams with technical expertise, and will be expanded as we approach the potential approval dates of additional products that result from our development programs. This will be expensive and time consuming. Any failure or delay in the expansion of this infrastructure may adversely impact the commercialization of our approved products.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87" w:right="259" w:bottom="1440" w:gutter="0" w:footer="0" w:header="0"/>
        </w:sectPr>
      </w:pPr>
    </w:p>
    <w:bookmarkStart w:id="42" w:name="page43"/>
    <w:bookmarkEnd w:id="42"/>
    <w:p>
      <w:pPr>
        <w:ind w:right="40" w:firstLine="520"/>
        <w:spacing w:after="0" w:line="260" w:lineRule="auto"/>
        <w:rPr>
          <w:sz w:val="20"/>
          <w:szCs w:val="20"/>
          <w:color w:val="auto"/>
        </w:rPr>
      </w:pPr>
      <w:r>
        <w:rPr>
          <w:rFonts w:ascii="Arial" w:cs="Arial" w:eastAsia="Arial" w:hAnsi="Arial"/>
          <w:sz w:val="15"/>
          <w:szCs w:val="15"/>
          <w:color w:val="auto"/>
        </w:rPr>
        <w:t>Although our employees may have promoted other similar products in the past while employed at other companies, we, as a company, have limited, recent experience selling and marketing our product. Further, given our limited experience in marketing and selling biopharmaceutical products, our initial estimate of the size of the required field force may be materially more or less than the size of the field force actually required to effectively commercialize our product candidates. As such, we may be required to hire large teams to adequately support the commercialization of our product candidates or we may incur excess costs as a result of hiring more commercial personnel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an internal team or the support of a third-party to perform key commercial functions, we may be unable to compete successfully against these more established companies.</w:t>
      </w:r>
    </w:p>
    <w:p>
      <w:pPr>
        <w:spacing w:after="0" w:line="187"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b w:val="1"/>
          <w:bCs w:val="1"/>
          <w:i w:val="1"/>
          <w:iCs w:val="1"/>
          <w:color w:val="auto"/>
        </w:rPr>
        <w:t>The commercial success of any current or future product will depend upon the degree of market acceptance by physicians, patients, third-party payors, and others in the medical community.</w:t>
      </w:r>
    </w:p>
    <w:p>
      <w:pPr>
        <w:spacing w:after="0" w:line="13" w:lineRule="exact"/>
        <w:rPr>
          <w:sz w:val="20"/>
          <w:szCs w:val="20"/>
          <w:color w:val="auto"/>
        </w:rPr>
      </w:pPr>
    </w:p>
    <w:p>
      <w:pPr>
        <w:ind w:firstLine="520"/>
        <w:spacing w:after="0" w:line="267" w:lineRule="auto"/>
        <w:rPr>
          <w:sz w:val="20"/>
          <w:szCs w:val="20"/>
          <w:color w:val="auto"/>
        </w:rPr>
      </w:pPr>
      <w:r>
        <w:rPr>
          <w:rFonts w:ascii="Arial" w:cs="Arial" w:eastAsia="Arial" w:hAnsi="Arial"/>
          <w:sz w:val="15"/>
          <w:szCs w:val="15"/>
          <w:color w:val="auto"/>
        </w:rPr>
        <w:t>Even with the requisite approvals from the FDA and comparable foreign regulatory authorities, the commercial success of our current and future products will depend in part on the medical community, patients, and payors accepting our current and future products as medically useful, cost-effective, and safe. Any product that we bring to the market may not gain market acceptance by physicians, patients, payors, and others in the medical community. The degree of market acceptance of any of our current and future products will depend on a number of factors, including:</w:t>
      </w:r>
    </w:p>
    <w:p>
      <w:pPr>
        <w:spacing w:after="0" w:line="28" w:lineRule="exact"/>
        <w:rPr>
          <w:sz w:val="20"/>
          <w:szCs w:val="20"/>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efficacy of the product as demonstrated in clinical studies and potential advantages over competing treatments;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prevalence and severity of any side effects, including any limitations or warnings contained in a product’s approved labeling;</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clinical indications for which approval is granted;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relative convenience and ease of administration;</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cost of treatment, particularly in relation to competing treatments;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effectiveness of our field forces and marketing efforts;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strength of marketing and distribution support and timing of market introduction of competitive products;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publicity concerning our products or competing products and treatments; and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sufficient third-party insurance coverage and reimbursement.</w:t>
      </w:r>
    </w:p>
    <w:p>
      <w:pPr>
        <w:spacing w:after="0" w:line="70" w:lineRule="exact"/>
        <w:rPr>
          <w:sz w:val="20"/>
          <w:szCs w:val="20"/>
          <w:color w:val="auto"/>
        </w:rPr>
      </w:pPr>
    </w:p>
    <w:p>
      <w:pPr>
        <w:ind w:right="20" w:firstLine="520"/>
        <w:spacing w:after="0" w:line="267" w:lineRule="auto"/>
        <w:rPr>
          <w:sz w:val="20"/>
          <w:szCs w:val="20"/>
          <w:color w:val="auto"/>
        </w:rPr>
      </w:pPr>
      <w:r>
        <w:rPr>
          <w:rFonts w:ascii="Arial" w:cs="Arial" w:eastAsia="Arial" w:hAnsi="Arial"/>
          <w:sz w:val="15"/>
          <w:szCs w:val="15"/>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may require significant resources and may never be successful. If our current and future products fail to achieve an adequate level of acceptance by physicians, patients, payors, and others in the medical community, we will not be able to generate sufficient revenue to become or remain profitable.</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3" w:lineRule="exact"/>
        <w:rPr>
          <w:sz w:val="20"/>
          <w:szCs w:val="20"/>
          <w:color w:val="auto"/>
        </w:rPr>
      </w:pPr>
    </w:p>
    <w:p>
      <w:pPr>
        <w:ind w:firstLine="520"/>
        <w:spacing w:after="0" w:line="260" w:lineRule="auto"/>
        <w:rPr>
          <w:sz w:val="20"/>
          <w:szCs w:val="20"/>
          <w:color w:val="auto"/>
        </w:rPr>
      </w:pPr>
      <w:r>
        <w:rPr>
          <w:rFonts w:ascii="Arial" w:cs="Arial" w:eastAsia="Arial" w:hAnsi="Arial"/>
          <w:sz w:val="15"/>
          <w:szCs w:val="15"/>
          <w:color w:val="auto"/>
        </w:rPr>
        <w:t>Our target patient populations are small, and accordingly the pricing, coverage, and reimbursement of our products and product candidates, if approved, must be adequate to support our commercial infrastructure. Our per-patient prices must be sufficient to recover our development and manufacturing costs and potentially achieve profitability. We expect the cost of a single administration of gene therapy products, such as those we are developing, to be substantial, when and if they achieve regulatory approval. Accordingly, the availability and adequacy of coverage and reimbursement by governmental and private payors are essential for most patients to afford expensive treatments such as ours, assuming approval. Sales of our products and product candidates, if approved, will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our products and product candidates, if approved. Even if coverage is provided, the approved reimbursement amount may not be high enough to allow us to establish or maintain pricing sufficient to sustain our overall enterprise.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43" w:name="page44"/>
    <w:bookmarkEnd w:id="43"/>
    <w:p>
      <w:pPr>
        <w:ind w:right="20" w:firstLine="520"/>
        <w:spacing w:after="0" w:line="264" w:lineRule="auto"/>
        <w:rPr>
          <w:sz w:val="20"/>
          <w:szCs w:val="20"/>
          <w:color w:val="auto"/>
        </w:rPr>
      </w:pPr>
      <w:r>
        <w:rPr>
          <w:rFonts w:ascii="Arial" w:cs="Arial" w:eastAsia="Arial" w:hAnsi="Arial"/>
          <w:sz w:val="15"/>
          <w:szCs w:val="15"/>
          <w:color w:val="auto"/>
        </w:rPr>
        <w:t>There is significant uncertainty related to the insurance coverage and reimbursement of newly approved products. In the United States,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 especially our gene therapy product candidates as there is a limited body of established practices and precedents for gene therapy products.</w:t>
      </w:r>
    </w:p>
    <w:p>
      <w:pPr>
        <w:spacing w:after="0" w:line="43" w:lineRule="exact"/>
        <w:rPr>
          <w:sz w:val="20"/>
          <w:szCs w:val="20"/>
          <w:color w:val="auto"/>
        </w:rPr>
      </w:pPr>
    </w:p>
    <w:p>
      <w:pPr>
        <w:ind w:right="120" w:firstLine="520"/>
        <w:spacing w:after="0" w:line="263" w:lineRule="auto"/>
        <w:rPr>
          <w:sz w:val="20"/>
          <w:szCs w:val="20"/>
          <w:color w:val="auto"/>
        </w:rPr>
      </w:pPr>
      <w:r>
        <w:rPr>
          <w:rFonts w:ascii="Arial" w:cs="Arial" w:eastAsia="Arial" w:hAnsi="Arial"/>
          <w:sz w:val="15"/>
          <w:szCs w:val="15"/>
          <w:color w:val="auto"/>
        </w:rPr>
        <w:t>Outside the United States,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31" w:lineRule="exact"/>
        <w:rPr>
          <w:sz w:val="20"/>
          <w:szCs w:val="20"/>
          <w:color w:val="auto"/>
        </w:rPr>
      </w:pPr>
    </w:p>
    <w:p>
      <w:pPr>
        <w:ind w:right="40" w:firstLine="520"/>
        <w:spacing w:after="0" w:line="283" w:lineRule="auto"/>
        <w:rPr>
          <w:sz w:val="20"/>
          <w:szCs w:val="20"/>
          <w:color w:val="auto"/>
        </w:rPr>
      </w:pPr>
      <w:r>
        <w:rPr>
          <w:rFonts w:ascii="Arial" w:cs="Arial" w:eastAsia="Arial" w:hAnsi="Arial"/>
          <w:sz w:val="14"/>
          <w:szCs w:val="14"/>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additional legislative changes, and statements by elected officials. For example, recently, several states in the U.S. have introduced legislation to require pharmaceutical companies to disclose their costs to justify the prices of their products, and an “Affordable Drug Pricing Task-Force” has been formed in the U.S. House of Representatives with the goal of combating the increased costs of prescription drugs.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85"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b w:val="1"/>
          <w:bCs w:val="1"/>
          <w:i w:val="1"/>
          <w:iCs w:val="1"/>
          <w:color w:val="auto"/>
        </w:rPr>
        <w:t>If we are unable to obtain and maintain effective patent rights for our products, product candidates, or any future product candidates, we may not be able to compete effectively in our markets.</w:t>
      </w:r>
    </w:p>
    <w:p>
      <w:pPr>
        <w:spacing w:after="0" w:line="13" w:lineRule="exact"/>
        <w:rPr>
          <w:sz w:val="20"/>
          <w:szCs w:val="20"/>
          <w:color w:val="auto"/>
        </w:rPr>
      </w:pPr>
    </w:p>
    <w:p>
      <w:pPr>
        <w:ind w:firstLine="520"/>
        <w:spacing w:after="0" w:line="272" w:lineRule="auto"/>
        <w:rPr>
          <w:sz w:val="20"/>
          <w:szCs w:val="20"/>
          <w:color w:val="auto"/>
        </w:rPr>
      </w:pPr>
      <w:r>
        <w:rPr>
          <w:rFonts w:ascii="Arial" w:cs="Arial" w:eastAsia="Arial" w:hAnsi="Arial"/>
          <w:sz w:val="15"/>
          <w:szCs w:val="15"/>
          <w:color w:val="auto"/>
        </w:rPr>
        <w:t>We rely upon a combination of patents, trade secret protection, and confidentiality agreements to protect the intellectual property related to our technologies, our products, and our product candidates. Our success depends in large part on our and our licensors’ ability to obtain and maintain patent and other intellectual property protection in the United States and in other countries with respect to our proprietary technology, our products, and our product candidates.</w:t>
      </w:r>
    </w:p>
    <w:p>
      <w:pPr>
        <w:spacing w:after="0" w:line="25" w:lineRule="exact"/>
        <w:rPr>
          <w:sz w:val="20"/>
          <w:szCs w:val="20"/>
          <w:color w:val="auto"/>
        </w:rPr>
      </w:pPr>
    </w:p>
    <w:p>
      <w:pPr>
        <w:ind w:right="100" w:firstLine="520"/>
        <w:spacing w:after="0" w:line="300" w:lineRule="auto"/>
        <w:rPr>
          <w:sz w:val="20"/>
          <w:szCs w:val="20"/>
          <w:color w:val="auto"/>
        </w:rPr>
      </w:pPr>
      <w:r>
        <w:rPr>
          <w:rFonts w:ascii="Arial" w:cs="Arial" w:eastAsia="Arial" w:hAnsi="Arial"/>
          <w:sz w:val="14"/>
          <w:szCs w:val="14"/>
          <w:color w:val="auto"/>
        </w:rPr>
        <w:t>We have sought to protect our proprietary position by filing patent applications in the United States and abroad related to our novel technologies and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9" w:lineRule="exact"/>
        <w:rPr>
          <w:sz w:val="20"/>
          <w:szCs w:val="20"/>
          <w:color w:val="auto"/>
        </w:rPr>
      </w:pPr>
    </w:p>
    <w:p>
      <w:pPr>
        <w:ind w:right="40" w:firstLine="520"/>
        <w:spacing w:after="0" w:line="260" w:lineRule="auto"/>
        <w:rPr>
          <w:sz w:val="20"/>
          <w:szCs w:val="20"/>
          <w:color w:val="auto"/>
        </w:rPr>
      </w:pPr>
      <w:r>
        <w:rPr>
          <w:rFonts w:ascii="Arial" w:cs="Arial" w:eastAsia="Arial" w:hAnsi="Arial"/>
          <w:sz w:val="15"/>
          <w:szCs w:val="15"/>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products or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products or product candidates, third parties may challenge their validity, enforceability, or scope, which may result in such patents being narrowed, found unenforceable, or invalidated. For instance, in June 2017, a third party filed an opposition with the European Patent Office challenging the validity of a European patent owned by the University of Pennsylvania and sub-licensed to us from REGENXBIO relating to the AAV8 capsid used in our DTX301 and DTX401 product candidates. This opposition is in its very early stages and we are unable to estimate the timing or outcome of this matter. Furthermore, even if the patents and patent applications we own or in-license are unchallenged, they may not adequately protect our intellectual property, provide exclusivity for our products or product candidates, or prevent others from designing around our claims. Any of these outcomes could impair our ability to prevent competition from third parties, which may have an adverse impact on our business.</w:t>
      </w:r>
    </w:p>
    <w:p>
      <w:pPr>
        <w:spacing w:after="0" w:line="35" w:lineRule="exact"/>
        <w:rPr>
          <w:sz w:val="20"/>
          <w:szCs w:val="20"/>
          <w:color w:val="auto"/>
        </w:rPr>
      </w:pPr>
    </w:p>
    <w:p>
      <w:pPr>
        <w:ind w:right="200" w:firstLine="520"/>
        <w:spacing w:after="0" w:line="264" w:lineRule="auto"/>
        <w:rPr>
          <w:sz w:val="20"/>
          <w:szCs w:val="20"/>
          <w:color w:val="auto"/>
        </w:rPr>
      </w:pPr>
      <w:r>
        <w:rPr>
          <w:rFonts w:ascii="Arial" w:cs="Arial" w:eastAsia="Arial" w:hAnsi="Arial"/>
          <w:sz w:val="15"/>
          <w:szCs w:val="15"/>
          <w:color w:val="auto"/>
        </w:rPr>
        <w:t>We, independently or together with our licensors, have filed several patent applications covering various aspects of our products or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87" w:right="219" w:bottom="1440" w:gutter="0" w:footer="0" w:header="0"/>
        </w:sectPr>
      </w:pPr>
    </w:p>
    <w:bookmarkStart w:id="44" w:name="page45"/>
    <w:bookmarkEnd w:id="44"/>
    <w:p>
      <w:pPr>
        <w:ind w:right="120" w:firstLine="520"/>
        <w:spacing w:after="0" w:line="287" w:lineRule="auto"/>
        <w:rPr>
          <w:sz w:val="20"/>
          <w:szCs w:val="20"/>
          <w:color w:val="auto"/>
        </w:rPr>
      </w:pPr>
      <w:r>
        <w:rPr>
          <w:rFonts w:ascii="Arial" w:cs="Arial" w:eastAsia="Arial" w:hAnsi="Arial"/>
          <w:sz w:val="14"/>
          <w:szCs w:val="14"/>
          <w:color w:val="auto"/>
        </w:rPr>
        <w:t>Although we have a number of patents or applications covering methods of use and certain compositions of matter, we do not have complete patent protection for our products and product candidates in all territories. For example, there are no issued patents covering the Crysvita composition of matter in Latin America where we have rights to commercialize the compound. Therefore, a competitor could develop the same antibody or a similar antibody as well as other approaches that target FGF23 for potential commercialization in Latin America, subject to any intellectual property rights or regulatory exclusivities awarded to us. If we cannot obtain and maintain effective patent rights for our products or product candidates, we may not be able to compete effectively and our business and results of operations would be harmed.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patent terms to effectively protect our products and business.</w:t>
      </w:r>
    </w:p>
    <w:p>
      <w:pPr>
        <w:spacing w:after="0" w:line="70" w:lineRule="exact"/>
        <w:rPr>
          <w:sz w:val="20"/>
          <w:szCs w:val="20"/>
          <w:color w:val="auto"/>
        </w:rPr>
      </w:pPr>
    </w:p>
    <w:p>
      <w:pPr>
        <w:ind w:firstLine="520"/>
        <w:spacing w:after="0" w:line="272" w:lineRule="auto"/>
        <w:rPr>
          <w:sz w:val="20"/>
          <w:szCs w:val="20"/>
          <w:color w:val="auto"/>
        </w:rPr>
      </w:pPr>
      <w:r>
        <w:rPr>
          <w:rFonts w:ascii="Arial" w:cs="Arial" w:eastAsia="Arial" w:hAnsi="Arial"/>
          <w:sz w:val="15"/>
          <w:szCs w:val="15"/>
          <w:color w:val="auto"/>
        </w:rPr>
        <w:t>Patents have a limited lifespan. In the United States, the natural expiration of a patent is generally 20 years after it is filed. Although various extensions may be available, the life of a patent, and the protection it affords, is limited. Even if patents covering our product candidates are obtained, once the patent life has expired for a product, we may be open to competition from generic medications.</w:t>
      </w:r>
    </w:p>
    <w:p>
      <w:pPr>
        <w:spacing w:after="0" w:line="25" w:lineRule="exact"/>
        <w:rPr>
          <w:sz w:val="20"/>
          <w:szCs w:val="20"/>
          <w:color w:val="auto"/>
        </w:rPr>
      </w:pPr>
    </w:p>
    <w:p>
      <w:pPr>
        <w:ind w:right="20" w:firstLine="520"/>
        <w:spacing w:after="0" w:line="264" w:lineRule="auto"/>
        <w:rPr>
          <w:sz w:val="20"/>
          <w:szCs w:val="20"/>
          <w:color w:val="auto"/>
        </w:rPr>
      </w:pPr>
      <w:r>
        <w:rPr>
          <w:rFonts w:ascii="Arial" w:cs="Arial" w:eastAsia="Arial" w:hAnsi="Arial"/>
          <w:sz w:val="15"/>
          <w:szCs w:val="15"/>
          <w:color w:val="auto"/>
        </w:rPr>
        <w:t>While patent term extensions under the Hatch-Waxman Act in the United States and under supplementary protection certificates in Europe may be available to extend the patent exclusivity term for Crysvita, Mepsevii, UX007, DTX301, and DTX401, we cannot provide any assurances that any such patent term extension will be obtained and, if so, for how long. In addition, upon issuance in the United States, any patent term can be adjusted based on certain delays caused by the applicant(s) or the United States Patent and Trademark Office (USPTO). For example, a patent term can be reduced based on certain delays caused by the patent applicant during patent prosecution. If we do not have sufficient patent terms or regulatory exclusivity to protect our products, our business and results of operations will be adversely affected.</w:t>
      </w:r>
    </w:p>
    <w:p>
      <w:pPr>
        <w:spacing w:after="0" w:line="182" w:lineRule="exact"/>
        <w:rPr>
          <w:sz w:val="20"/>
          <w:szCs w:val="20"/>
          <w:color w:val="auto"/>
        </w:rPr>
      </w:pPr>
    </w:p>
    <w:p>
      <w:pPr>
        <w:ind w:right="360"/>
        <w:spacing w:after="0" w:line="288" w:lineRule="auto"/>
        <w:rPr>
          <w:sz w:val="20"/>
          <w:szCs w:val="20"/>
          <w:color w:val="auto"/>
        </w:rPr>
      </w:pPr>
      <w:r>
        <w:rPr>
          <w:rFonts w:ascii="Arial" w:cs="Arial" w:eastAsia="Arial" w:hAnsi="Arial"/>
          <w:sz w:val="15"/>
          <w:szCs w:val="15"/>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13" w:lineRule="exact"/>
        <w:rPr>
          <w:sz w:val="20"/>
          <w:szCs w:val="20"/>
          <w:color w:val="auto"/>
        </w:rPr>
      </w:pPr>
    </w:p>
    <w:p>
      <w:pPr>
        <w:ind w:firstLine="520"/>
        <w:spacing w:after="0" w:line="280" w:lineRule="auto"/>
        <w:rPr>
          <w:sz w:val="20"/>
          <w:szCs w:val="20"/>
          <w:color w:val="auto"/>
        </w:rPr>
      </w:pPr>
      <w:r>
        <w:rPr>
          <w:rFonts w:ascii="Arial" w:cs="Arial" w:eastAsia="Arial" w:hAnsi="Arial"/>
          <w:sz w:val="14"/>
          <w:szCs w:val="14"/>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The effects of these changes are currently unclear as the courts have only begun to address these provisions.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5" w:lineRule="exact"/>
        <w:rPr>
          <w:sz w:val="20"/>
          <w:szCs w:val="20"/>
          <w:color w:val="auto"/>
        </w:rPr>
      </w:pPr>
    </w:p>
    <w:p>
      <w:pPr>
        <w:ind w:firstLine="520"/>
        <w:spacing w:after="0" w:line="260" w:lineRule="auto"/>
        <w:rPr>
          <w:sz w:val="20"/>
          <w:szCs w:val="20"/>
          <w:color w:val="auto"/>
        </w:rPr>
      </w:pPr>
      <w:r>
        <w:rPr>
          <w:rFonts w:ascii="Arial" w:cs="Arial" w:eastAsia="Arial" w:hAnsi="Arial"/>
          <w:sz w:val="15"/>
          <w:szCs w:val="15"/>
          <w:color w:val="auto"/>
        </w:rPr>
        <w:t xml:space="preserve">The U.S. Supreme Court has ruled on several patent cases in recent years, either narrowing the scope of protection available in certain circumstances or weakening the rights of patent owners in certain situations. For example, in </w:t>
      </w:r>
      <w:r>
        <w:rPr>
          <w:rFonts w:ascii="Arial" w:cs="Arial" w:eastAsia="Arial" w:hAnsi="Arial"/>
          <w:sz w:val="15"/>
          <w:szCs w:val="15"/>
          <w:i w:val="1"/>
          <w:iCs w:val="1"/>
          <w:color w:val="auto"/>
        </w:rPr>
        <w:t>Association for Molecular Pathology v. Myriad Genetics, Inc.</w:t>
      </w:r>
      <w:r>
        <w:rPr>
          <w:rFonts w:ascii="Arial" w:cs="Arial" w:eastAsia="Arial" w:hAnsi="Arial"/>
          <w:sz w:val="15"/>
          <w:szCs w:val="15"/>
          <w:color w:val="auto"/>
        </w:rPr>
        <w:t xml:space="preserve">, the Supreme Court ruled that a “naturally occurring DNA segment is a product of nature and not patent eligible merely because it has been isolated,” invalidating Myriad Genetics’ patents on the BRCA1 and BRCA2 genes. Certain claims of our licensed U.S. patents covering DTX301 and DTX401 relate to isolated AAV8 vectors, capsid proteins, or nucleic acids. To the extent that such claims are deemed to be directed to natural products, or to lack an inventive concept above and beyond an isolated natural product, a court may decide the claims are invalid under </w:t>
      </w:r>
      <w:r>
        <w:rPr>
          <w:rFonts w:ascii="Arial" w:cs="Arial" w:eastAsia="Arial" w:hAnsi="Arial"/>
          <w:sz w:val="15"/>
          <w:szCs w:val="15"/>
          <w:i w:val="1"/>
          <w:iCs w:val="1"/>
          <w:color w:val="auto"/>
        </w:rPr>
        <w:t>Myriad</w:t>
      </w:r>
      <w:r>
        <w:rPr>
          <w:rFonts w:ascii="Arial" w:cs="Arial" w:eastAsia="Arial" w:hAnsi="Arial"/>
          <w:sz w:val="15"/>
          <w:szCs w:val="15"/>
          <w:color w:val="auto"/>
        </w:rPr>
        <w: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87" w:right="259" w:bottom="1440" w:gutter="0" w:footer="0" w:header="0"/>
        </w:sectPr>
      </w:pPr>
    </w:p>
    <w:bookmarkStart w:id="45" w:name="page46"/>
    <w:bookmarkEnd w:id="45"/>
    <w:p>
      <w:pPr>
        <w:ind w:right="320"/>
        <w:spacing w:after="0" w:line="288" w:lineRule="auto"/>
        <w:rPr>
          <w:sz w:val="20"/>
          <w:szCs w:val="20"/>
          <w:color w:val="auto"/>
        </w:rPr>
      </w:pPr>
      <w:r>
        <w:rPr>
          <w:rFonts w:ascii="Arial" w:cs="Arial" w:eastAsia="Arial" w:hAnsi="Arial"/>
          <w:sz w:val="15"/>
          <w:szCs w:val="15"/>
          <w:b w:val="1"/>
          <w:bCs w:val="1"/>
          <w:i w:val="1"/>
          <w:iCs w:val="1"/>
          <w:color w:val="auto"/>
        </w:rPr>
        <w:t>If we are unable to maintain effective proprietary rights for our products, product candidates, or any future product candidates, we may not be able to compete effectively in our markets.</w:t>
      </w:r>
    </w:p>
    <w:p>
      <w:pPr>
        <w:spacing w:after="0" w:line="24" w:lineRule="exact"/>
        <w:rPr>
          <w:sz w:val="20"/>
          <w:szCs w:val="20"/>
          <w:color w:val="auto"/>
        </w:rPr>
      </w:pPr>
    </w:p>
    <w:p>
      <w:pPr>
        <w:ind w:right="80" w:firstLine="520"/>
        <w:spacing w:after="0" w:line="283" w:lineRule="auto"/>
        <w:rPr>
          <w:sz w:val="20"/>
          <w:szCs w:val="20"/>
          <w:color w:val="auto"/>
        </w:rPr>
      </w:pPr>
      <w:r>
        <w:rPr>
          <w:rFonts w:ascii="Arial" w:cs="Arial" w:eastAsia="Arial" w:hAnsi="Arial"/>
          <w:sz w:val="14"/>
          <w:szCs w:val="14"/>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products or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1" w:lineRule="exact"/>
        <w:rPr>
          <w:sz w:val="20"/>
          <w:szCs w:val="20"/>
          <w:color w:val="auto"/>
        </w:rPr>
      </w:pPr>
    </w:p>
    <w:p>
      <w:pPr>
        <w:ind w:right="80" w:firstLine="520"/>
        <w:spacing w:after="0" w:line="263" w:lineRule="auto"/>
        <w:rPr>
          <w:sz w:val="20"/>
          <w:szCs w:val="20"/>
          <w:color w:val="auto"/>
        </w:rPr>
      </w:pPr>
      <w:r>
        <w:rPr>
          <w:rFonts w:ascii="Arial" w:cs="Arial" w:eastAsia="Arial" w:hAnsi="Arial"/>
          <w:sz w:val="15"/>
          <w:szCs w:val="15"/>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Claims of intellectual property infringement may prevent or delay our development and commercialization efforts.</w:t>
      </w:r>
    </w:p>
    <w:p>
      <w:pPr>
        <w:spacing w:after="0" w:line="81" w:lineRule="exact"/>
        <w:rPr>
          <w:sz w:val="20"/>
          <w:szCs w:val="20"/>
          <w:color w:val="auto"/>
        </w:rPr>
      </w:pPr>
    </w:p>
    <w:p>
      <w:pPr>
        <w:ind w:right="100" w:firstLine="520"/>
        <w:spacing w:after="0" w:line="287" w:lineRule="auto"/>
        <w:rPr>
          <w:sz w:val="20"/>
          <w:szCs w:val="20"/>
          <w:color w:val="auto"/>
        </w:rPr>
      </w:pPr>
      <w:r>
        <w:rPr>
          <w:rFonts w:ascii="Arial" w:cs="Arial" w:eastAsia="Arial" w:hAnsi="Arial"/>
          <w:sz w:val="14"/>
          <w:szCs w:val="14"/>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products or product candidates may be subject to claims of infringement of the patent rights of these other parties.</w:t>
      </w:r>
    </w:p>
    <w:p>
      <w:pPr>
        <w:spacing w:after="0" w:line="18" w:lineRule="exact"/>
        <w:rPr>
          <w:sz w:val="20"/>
          <w:szCs w:val="20"/>
          <w:color w:val="auto"/>
        </w:rPr>
      </w:pPr>
    </w:p>
    <w:p>
      <w:pPr>
        <w:ind w:right="60" w:firstLine="520"/>
        <w:spacing w:after="0" w:line="310" w:lineRule="auto"/>
        <w:rPr>
          <w:sz w:val="20"/>
          <w:szCs w:val="20"/>
          <w:color w:val="auto"/>
        </w:rPr>
      </w:pPr>
      <w:r>
        <w:rPr>
          <w:rFonts w:ascii="Arial" w:cs="Arial" w:eastAsia="Arial" w:hAnsi="Arial"/>
          <w:sz w:val="13"/>
          <w:szCs w:val="13"/>
          <w:color w:val="auto"/>
        </w:rPr>
        <w:t>Other parties may assert that we are employing their proprietary technology without authorization. There may be patents or patent applications with claims to materials, formulations, methods of manufacture, or methods for treatment related to the use or manufacture of our products or product candidates. We have conducted freedom to operate analyses with respect only to our products and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United States and abroad that is relevant or necessary to the commercialization of our products or product candidates. Because patent applications can take many years to issue, there may be currently pending patent applications that may later result in issued patents that our products or product candidates may infringe.</w:t>
      </w:r>
    </w:p>
    <w:p>
      <w:pPr>
        <w:spacing w:after="0" w:line="7" w:lineRule="exact"/>
        <w:rPr>
          <w:sz w:val="20"/>
          <w:szCs w:val="20"/>
          <w:color w:val="auto"/>
        </w:rPr>
      </w:pPr>
    </w:p>
    <w:p>
      <w:pPr>
        <w:ind w:right="20" w:firstLine="520"/>
        <w:spacing w:after="0" w:line="308" w:lineRule="auto"/>
        <w:rPr>
          <w:sz w:val="20"/>
          <w:szCs w:val="20"/>
          <w:color w:val="auto"/>
        </w:rPr>
      </w:pPr>
      <w:r>
        <w:rPr>
          <w:rFonts w:ascii="Arial" w:cs="Arial" w:eastAsia="Arial" w:hAnsi="Arial"/>
          <w:sz w:val="13"/>
          <w:szCs w:val="13"/>
          <w:color w:val="auto"/>
        </w:rPr>
        <w:t>We are aware of four third-party patent families that include issued U.S. patents with claims that, if valid and enforceable, could be construed to cover one or more of our gene therapy product candidates, if and when approved, or methods of their manufacture. We are also aware of an additional three third-party patent families that include issued European claims that, if valid and enforceable, could be construed to cover certain methods that may be used in the manufacture of one or more of our gene therapy product candidates. In addition, other parties may obtain patents in the future and claim that use of our technologies infringes upon these patents. If any of these patents were held by a court of competent jurisdiction to cover aspects of our formulations, the manufacturing process of our products or any of our product candidates, methods of use, any molecules formed during the manufacturing process or any final product itself, the holders of any such patents may be able to block our ability to commercialize our products or a product candidate unless we obtained a license under the applicable patents, or until such patents expire or are finally determined to be invalid or unenforceable. Such a license may not be available on commercially reasonable terms or at all.</w:t>
      </w:r>
    </w:p>
    <w:p>
      <w:pPr>
        <w:spacing w:after="0" w:line="18" w:lineRule="exact"/>
        <w:rPr>
          <w:sz w:val="20"/>
          <w:szCs w:val="20"/>
          <w:color w:val="auto"/>
        </w:rPr>
      </w:pPr>
    </w:p>
    <w:p>
      <w:pPr>
        <w:ind w:firstLine="520"/>
        <w:spacing w:after="0" w:line="264" w:lineRule="auto"/>
        <w:rPr>
          <w:sz w:val="20"/>
          <w:szCs w:val="20"/>
          <w:color w:val="auto"/>
        </w:rPr>
      </w:pPr>
      <w:r>
        <w:rPr>
          <w:rFonts w:ascii="Arial" w:cs="Arial" w:eastAsia="Arial" w:hAnsi="Arial"/>
          <w:sz w:val="15"/>
          <w:szCs w:val="15"/>
          <w:color w:val="auto"/>
        </w:rPr>
        <w:t>Parties making claims against us may obtain injunctive or other equitable relief, which could effectively block our ability to continue commercialization of our products, or block our ability to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i w:val="1"/>
          <w:iCs w:val="1"/>
          <w:color w:val="auto"/>
        </w:rPr>
        <w:t>We may not be successful in obtaining or maintaining necessary rights to our product candidates through acquisitions and in-licenses.</w:t>
      </w:r>
    </w:p>
    <w:p>
      <w:pPr>
        <w:spacing w:after="0" w:line="81" w:lineRule="exact"/>
        <w:rPr>
          <w:sz w:val="20"/>
          <w:szCs w:val="20"/>
          <w:color w:val="auto"/>
        </w:rPr>
      </w:pPr>
    </w:p>
    <w:p>
      <w:pPr>
        <w:ind w:firstLine="520"/>
        <w:spacing w:after="0" w:line="282" w:lineRule="auto"/>
        <w:rPr>
          <w:sz w:val="20"/>
          <w:szCs w:val="20"/>
          <w:color w:val="auto"/>
        </w:rPr>
      </w:pPr>
      <w:r>
        <w:rPr>
          <w:rFonts w:ascii="Arial" w:cs="Arial" w:eastAsia="Arial" w:hAnsi="Arial"/>
          <w:sz w:val="14"/>
          <w:szCs w:val="14"/>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1" w:lineRule="exact"/>
        <w:rPr>
          <w:sz w:val="20"/>
          <w:szCs w:val="20"/>
          <w:color w:val="auto"/>
        </w:rPr>
      </w:pPr>
    </w:p>
    <w:p>
      <w:pPr>
        <w:ind w:right="80" w:firstLine="520"/>
        <w:spacing w:after="0" w:line="267" w:lineRule="auto"/>
        <w:rPr>
          <w:sz w:val="20"/>
          <w:szCs w:val="20"/>
          <w:color w:val="auto"/>
        </w:rPr>
      </w:pPr>
      <w:r>
        <w:rPr>
          <w:rFonts w:ascii="Arial" w:cs="Arial" w:eastAsia="Arial" w:hAnsi="Arial"/>
          <w:sz w:val="15"/>
          <w:szCs w:val="15"/>
          <w:color w:val="auto"/>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28" w:lineRule="exact"/>
        <w:rPr>
          <w:sz w:val="20"/>
          <w:szCs w:val="20"/>
          <w:color w:val="auto"/>
        </w:rPr>
      </w:pPr>
    </w:p>
    <w:p>
      <w:pPr>
        <w:ind w:right="340" w:firstLine="520"/>
        <w:spacing w:after="0" w:line="288" w:lineRule="auto"/>
        <w:rPr>
          <w:sz w:val="20"/>
          <w:szCs w:val="20"/>
          <w:color w:val="auto"/>
        </w:rPr>
      </w:pPr>
      <w:r>
        <w:rPr>
          <w:rFonts w:ascii="Arial" w:cs="Arial" w:eastAsia="Arial" w:hAnsi="Arial"/>
          <w:sz w:val="15"/>
          <w:szCs w:val="15"/>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competition from biosimilars, which may have a material adverse impact on the future commercial prospects of Crysvita, Mepsevii, DTX301, and DTX401.</w:t>
      </w:r>
    </w:p>
    <w:p>
      <w:pPr>
        <w:spacing w:after="0" w:line="81" w:lineRule="exact"/>
        <w:rPr>
          <w:sz w:val="20"/>
          <w:szCs w:val="20"/>
          <w:color w:val="auto"/>
        </w:rPr>
      </w:pPr>
    </w:p>
    <w:p>
      <w:pPr>
        <w:ind w:right="60" w:firstLine="520"/>
        <w:spacing w:after="0" w:line="281" w:lineRule="auto"/>
        <w:rPr>
          <w:sz w:val="20"/>
          <w:szCs w:val="20"/>
          <w:color w:val="auto"/>
        </w:rPr>
      </w:pPr>
      <w:r>
        <w:rPr>
          <w:rFonts w:ascii="Arial" w:cs="Arial" w:eastAsia="Arial" w:hAnsi="Arial"/>
          <w:sz w:val="14"/>
          <w:szCs w:val="14"/>
          <w:color w:val="auto"/>
        </w:rPr>
        <w:t>Even if we are successful in achieving regulatory approval to commercialize a product candidate faster than our competitors, we may face competition from biosimilars with respect to Crysvita, Mepsevii, DTX301, and DTX401. In the United States,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The BPCI Act is complex and is only beginning to be interpreted and implemented by the FDA. Moreover, it is not known whether the BPCI Act will survive in whole or in part if the Affordable Care Act is repealed. As a result, its ultimate impact, implementation, meaning, and long-term existence are subject to uncertainty. Elimination or modification of the BPCI Act, or changes to the FDA’s interpretation or implementation of the BPCI Act, could have a material adverse effect on the future commercial prospects for Crysvita, Mepsevii, DTX301, and DTX401.</w:t>
      </w:r>
    </w:p>
    <w:p>
      <w:pPr>
        <w:spacing w:after="0" w:line="22" w:lineRule="exact"/>
        <w:rPr>
          <w:sz w:val="20"/>
          <w:szCs w:val="20"/>
          <w:color w:val="auto"/>
        </w:rPr>
      </w:pPr>
    </w:p>
    <w:p>
      <w:pPr>
        <w:ind w:right="20" w:firstLine="520"/>
        <w:spacing w:after="0" w:line="264" w:lineRule="auto"/>
        <w:rPr>
          <w:sz w:val="20"/>
          <w:szCs w:val="20"/>
          <w:color w:val="auto"/>
        </w:rPr>
      </w:pPr>
      <w:r>
        <w:rPr>
          <w:rFonts w:ascii="Arial" w:cs="Arial" w:eastAsia="Arial" w:hAnsi="Arial"/>
          <w:sz w:val="15"/>
          <w:szCs w:val="15"/>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43" w:lineRule="exact"/>
        <w:rPr>
          <w:sz w:val="20"/>
          <w:szCs w:val="20"/>
          <w:color w:val="auto"/>
        </w:rPr>
      </w:pPr>
    </w:p>
    <w:p>
      <w:pPr>
        <w:ind w:right="200" w:firstLine="520"/>
        <w:spacing w:after="0" w:line="288" w:lineRule="auto"/>
        <w:rPr>
          <w:sz w:val="20"/>
          <w:szCs w:val="20"/>
          <w:color w:val="auto"/>
        </w:rPr>
      </w:pPr>
      <w:r>
        <w:rPr>
          <w:rFonts w:ascii="Arial" w:cs="Arial" w:eastAsia="Arial" w:hAnsi="Arial"/>
          <w:sz w:val="15"/>
          <w:szCs w:val="15"/>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47" w:name="page48"/>
    <w:bookmarkEnd w:id="47"/>
    <w:p>
      <w:pPr>
        <w:ind w:right="200"/>
        <w:spacing w:after="0" w:line="288" w:lineRule="auto"/>
        <w:rPr>
          <w:sz w:val="20"/>
          <w:szCs w:val="20"/>
          <w:color w:val="auto"/>
        </w:rPr>
      </w:pPr>
      <w:r>
        <w:rPr>
          <w:rFonts w:ascii="Arial" w:cs="Arial" w:eastAsia="Arial" w:hAnsi="Arial"/>
          <w:sz w:val="15"/>
          <w:szCs w:val="15"/>
          <w:b w:val="1"/>
          <w:bCs w:val="1"/>
          <w:i w:val="1"/>
          <w:iCs w:val="1"/>
          <w:color w:val="auto"/>
        </w:rPr>
        <w:t>Additional competitors could enter the market with generic versions of our small-molecule product candidates, which may result in a material decline in sales of UX007 or future small-molecule product candidates.</w:t>
      </w:r>
    </w:p>
    <w:p>
      <w:pPr>
        <w:spacing w:after="0" w:line="24" w:lineRule="exact"/>
        <w:rPr>
          <w:sz w:val="20"/>
          <w:szCs w:val="20"/>
          <w:color w:val="auto"/>
        </w:rPr>
      </w:pPr>
    </w:p>
    <w:p>
      <w:pPr>
        <w:ind w:firstLine="520"/>
        <w:spacing w:after="0" w:line="280" w:lineRule="auto"/>
        <w:rPr>
          <w:sz w:val="20"/>
          <w:szCs w:val="20"/>
          <w:color w:val="auto"/>
        </w:rPr>
      </w:pPr>
      <w:r>
        <w:rPr>
          <w:rFonts w:ascii="Arial" w:cs="Arial" w:eastAsia="Arial" w:hAnsi="Arial"/>
          <w:sz w:val="14"/>
          <w:szCs w:val="14"/>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(e.g., five years for new chemical entities, three years for changes to an approved drug requiring a new clinical study, and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25" w:lineRule="exact"/>
        <w:rPr>
          <w:sz w:val="20"/>
          <w:szCs w:val="20"/>
          <w:color w:val="auto"/>
        </w:rPr>
      </w:pPr>
    </w:p>
    <w:p>
      <w:pPr>
        <w:ind w:right="40" w:firstLine="520"/>
        <w:spacing w:after="0" w:line="267" w:lineRule="auto"/>
        <w:rPr>
          <w:sz w:val="20"/>
          <w:szCs w:val="20"/>
          <w:color w:val="auto"/>
        </w:rPr>
      </w:pPr>
      <w:r>
        <w:rPr>
          <w:rFonts w:ascii="Arial" w:cs="Arial" w:eastAsia="Arial" w:hAnsi="Arial"/>
          <w:sz w:val="15"/>
          <w:szCs w:val="15"/>
          <w:color w:val="auto"/>
        </w:rPr>
        <w:t>Accordingly, if UX007 is approved, competitors could file ANDAs for generic versions of UX007, or 505(b)(2) NDAs that reference UX007. If there are patents listed for UX007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28" w:lineRule="exact"/>
        <w:rPr>
          <w:sz w:val="20"/>
          <w:szCs w:val="20"/>
          <w:color w:val="auto"/>
        </w:rPr>
      </w:pPr>
    </w:p>
    <w:p>
      <w:pPr>
        <w:ind w:right="40" w:firstLine="520"/>
        <w:spacing w:after="0" w:line="267" w:lineRule="auto"/>
        <w:rPr>
          <w:sz w:val="20"/>
          <w:szCs w:val="20"/>
          <w:color w:val="auto"/>
        </w:rPr>
      </w:pPr>
      <w:r>
        <w:rPr>
          <w:rFonts w:ascii="Arial" w:cs="Arial" w:eastAsia="Arial" w:hAnsi="Arial"/>
          <w:sz w:val="15"/>
          <w:szCs w:val="15"/>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patent protection and patent prosecution for some of our product candidates is dependent on third parties.</w:t>
      </w:r>
    </w:p>
    <w:p>
      <w:pPr>
        <w:spacing w:after="0" w:line="70" w:lineRule="exact"/>
        <w:rPr>
          <w:sz w:val="20"/>
          <w:szCs w:val="20"/>
          <w:color w:val="auto"/>
        </w:rPr>
      </w:pPr>
    </w:p>
    <w:p>
      <w:pPr>
        <w:ind w:firstLine="520"/>
        <w:spacing w:after="0" w:line="272" w:lineRule="auto"/>
        <w:rPr>
          <w:sz w:val="20"/>
          <w:szCs w:val="20"/>
          <w:color w:val="auto"/>
        </w:rPr>
      </w:pPr>
      <w:r>
        <w:rPr>
          <w:rFonts w:ascii="Arial" w:cs="Arial" w:eastAsia="Arial" w:hAnsi="Arial"/>
          <w:sz w:val="15"/>
          <w:szCs w:val="15"/>
          <w:color w:val="auto"/>
        </w:rPr>
        <w:t>While we normally seek and gain the right to fully prosecute the patents relating to our product candidates, there may be times when patents relating to our product candidates are controlled by our licensors. This is the case with our agreement with KHK, who is primarily responsible for the prosecution of patents and patent applications licensed to us under the collaboration agreement.</w:t>
      </w:r>
    </w:p>
    <w:p>
      <w:pPr>
        <w:spacing w:after="0" w:line="25" w:lineRule="exact"/>
        <w:rPr>
          <w:sz w:val="20"/>
          <w:szCs w:val="20"/>
          <w:color w:val="auto"/>
        </w:rPr>
      </w:pPr>
    </w:p>
    <w:p>
      <w:pPr>
        <w:ind w:right="20" w:firstLine="520"/>
        <w:spacing w:after="0" w:line="287" w:lineRule="auto"/>
        <w:rPr>
          <w:sz w:val="20"/>
          <w:szCs w:val="20"/>
          <w:color w:val="auto"/>
        </w:rPr>
      </w:pPr>
      <w:r>
        <w:rPr>
          <w:rFonts w:ascii="Arial" w:cs="Arial" w:eastAsia="Arial" w:hAnsi="Arial"/>
          <w:sz w:val="14"/>
          <w:szCs w:val="14"/>
          <w:color w:val="auto"/>
        </w:rPr>
        <w:t>In addition, we have in-licensed patents and patent applications owned by the University of Pennsylvania, relating to the AAV8 vector used in DTX301 and DTX401. These patents and patent applications are licensed or sublicensed by REGENXBIO and sublicensed to us. We do not have the right to control the prosecution of these patent applications, or the maintenance of any of these patents. In addition, under our agreement with REGENXBIO, we do not have the first right to enforce the licensed patents, and our enforcement rights are subject to certain limitations that may adversely impact our ability to use the licensed patents to exclude others from commercializing competitive products. Moreover, REGENXBIO and the University of Pennsylvania may have interests which differ from ours in determining whether and the manner in which to enforce such patents.</w:t>
      </w:r>
    </w:p>
    <w:p>
      <w:pPr>
        <w:spacing w:after="0" w:line="29" w:lineRule="exact"/>
        <w:rPr>
          <w:sz w:val="20"/>
          <w:szCs w:val="20"/>
          <w:color w:val="auto"/>
        </w:rPr>
      </w:pPr>
    </w:p>
    <w:p>
      <w:pPr>
        <w:ind w:firstLine="520"/>
        <w:spacing w:after="0" w:line="320" w:lineRule="auto"/>
        <w:rPr>
          <w:sz w:val="20"/>
          <w:szCs w:val="20"/>
          <w:color w:val="auto"/>
        </w:rPr>
      </w:pPr>
      <w:r>
        <w:rPr>
          <w:rFonts w:ascii="Arial" w:cs="Arial" w:eastAsia="Arial" w:hAnsi="Arial"/>
          <w:sz w:val="13"/>
          <w:szCs w:val="13"/>
          <w:color w:val="auto"/>
        </w:rPr>
        <w:t>If KHK, the University of Pennsylvania, or any of our future licensing partners fail to appropriately prosecute, maintain, and enforce patent protection for the patents covering any of our product candidates, our ability to develop and commercialize those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137" w:lineRule="exact"/>
        <w:rPr>
          <w:sz w:val="20"/>
          <w:szCs w:val="20"/>
          <w:color w:val="auto"/>
        </w:rPr>
      </w:pPr>
    </w:p>
    <w:p>
      <w:pPr>
        <w:ind w:right="240"/>
        <w:spacing w:after="0" w:line="288"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3" w:lineRule="exact"/>
        <w:rPr>
          <w:sz w:val="20"/>
          <w:szCs w:val="20"/>
          <w:color w:val="auto"/>
        </w:rPr>
      </w:pPr>
    </w:p>
    <w:p>
      <w:pPr>
        <w:ind w:right="20" w:firstLine="520"/>
        <w:spacing w:after="0" w:line="262" w:lineRule="auto"/>
        <w:rPr>
          <w:sz w:val="20"/>
          <w:szCs w:val="20"/>
          <w:color w:val="auto"/>
        </w:rPr>
      </w:pPr>
      <w:r>
        <w:rPr>
          <w:rFonts w:ascii="Arial" w:cs="Arial" w:eastAsia="Arial" w:hAnsi="Arial"/>
          <w:sz w:val="15"/>
          <w:szCs w:val="15"/>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See “Business—License and Collaboration Agreements” in the Annual Report for a description of our license agreements with KHK, Baylor Research Institute, Saint Louis University, Bayer, REGENXBIO, and the University of Pennsylvania, which include descriptions of the termination provisions of these agreements.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48" w:name="page49"/>
    <w:bookmarkEnd w:id="48"/>
    <w:p>
      <w:pPr>
        <w:ind w:right="100" w:firstLine="520"/>
        <w:spacing w:after="0" w:line="272" w:lineRule="auto"/>
        <w:rPr>
          <w:sz w:val="20"/>
          <w:szCs w:val="20"/>
          <w:color w:val="auto"/>
        </w:rPr>
      </w:pPr>
      <w:r>
        <w:rPr>
          <w:rFonts w:ascii="Arial" w:cs="Arial" w:eastAsia="Arial" w:hAnsi="Arial"/>
          <w:sz w:val="15"/>
          <w:szCs w:val="15"/>
          <w:color w:val="auto"/>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36" w:lineRule="exact"/>
        <w:rPr>
          <w:sz w:val="20"/>
          <w:szCs w:val="20"/>
          <w:color w:val="auto"/>
        </w:rPr>
      </w:pPr>
    </w:p>
    <w:p>
      <w:pPr>
        <w:ind w:left="900" w:hanging="389"/>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scope of rights granted under the license agreement and other interpretation-related issues;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extent to which our technology and processes infringe on intellectual property of the licensor that is not subject to the licensing agreement;</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sublicensing of patent and other rights;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diligence obligations under the license agreement and what activities satisfy those diligence obligations;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ownership of inventions and know-how resulting from the joint creation or use of intellectual property by our licensors and us and our collaborators; and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priority of invention of patented technology.</w:t>
      </w:r>
    </w:p>
    <w:p>
      <w:pPr>
        <w:spacing w:after="0" w:line="70" w:lineRule="exact"/>
        <w:rPr>
          <w:sz w:val="20"/>
          <w:szCs w:val="20"/>
          <w:color w:val="auto"/>
        </w:rPr>
      </w:pPr>
    </w:p>
    <w:p>
      <w:pPr>
        <w:ind w:right="80" w:firstLine="520"/>
        <w:spacing w:after="0" w:line="288" w:lineRule="auto"/>
        <w:rPr>
          <w:sz w:val="20"/>
          <w:szCs w:val="20"/>
          <w:color w:val="auto"/>
        </w:rPr>
      </w:pPr>
      <w:r>
        <w:rPr>
          <w:rFonts w:ascii="Arial" w:cs="Arial" w:eastAsia="Arial" w:hAnsi="Arial"/>
          <w:sz w:val="15"/>
          <w:szCs w:val="15"/>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51"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b w:val="1"/>
          <w:bCs w:val="1"/>
          <w:i w:val="1"/>
          <w:iCs w:val="1"/>
          <w:color w:val="auto"/>
        </w:rPr>
        <w:t>Although we are not currently involved in any intellectual property litigation, we may be involved in lawsuits to protect or enforce our patents or the patents of our licensors, which could be expensive, time consuming, and unsuccessful.</w:t>
      </w:r>
    </w:p>
    <w:p>
      <w:pPr>
        <w:spacing w:after="0" w:line="13" w:lineRule="exact"/>
        <w:rPr>
          <w:sz w:val="20"/>
          <w:szCs w:val="20"/>
          <w:color w:val="auto"/>
        </w:rPr>
      </w:pPr>
    </w:p>
    <w:p>
      <w:pPr>
        <w:ind w:firstLine="520"/>
        <w:spacing w:after="0" w:line="285" w:lineRule="auto"/>
        <w:rPr>
          <w:sz w:val="20"/>
          <w:szCs w:val="20"/>
          <w:color w:val="auto"/>
        </w:rPr>
      </w:pPr>
      <w:r>
        <w:rPr>
          <w:rFonts w:ascii="Arial" w:cs="Arial" w:eastAsia="Arial" w:hAnsi="Arial"/>
          <w:sz w:val="14"/>
          <w:szCs w:val="14"/>
          <w:color w:val="auto"/>
        </w:rPr>
        <w:t>Competitors may infringe our patents or the patents of our licensors. Although we are not currently involved in any intellectual property litigation, if we or one of our licensing partners were to initiate legal proceedings against a third party to enforce a patent covering our products or one of our product candidates, the defendant could counterclaim that the patent covering our product or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30" w:lineRule="exact"/>
        <w:rPr>
          <w:sz w:val="20"/>
          <w:szCs w:val="20"/>
          <w:color w:val="auto"/>
        </w:rPr>
      </w:pPr>
    </w:p>
    <w:p>
      <w:pPr>
        <w:ind w:right="20" w:firstLine="520"/>
        <w:spacing w:after="0" w:line="261" w:lineRule="auto"/>
        <w:rPr>
          <w:sz w:val="20"/>
          <w:szCs w:val="20"/>
          <w:color w:val="auto"/>
        </w:rPr>
      </w:pPr>
      <w:r>
        <w:rPr>
          <w:rFonts w:ascii="Arial" w:cs="Arial" w:eastAsia="Arial" w:hAnsi="Arial"/>
          <w:sz w:val="15"/>
          <w:szCs w:val="15"/>
          <w:color w:val="auto"/>
        </w:rPr>
        <w:t>Interference proceedings or derivation proceedings now available under the Leahy-Smith Act provoked by third parties or brought by us or declared or instituted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In addition, the validity of our patents could be challenged in the USPTO by one of the new post grant proceedings (i.e., inter partes review or post grant review) now available under the Leahy-Smith Act. Our defense of litigation, interference proceedings, or post grant proceedings under the Leahy-Smith Act may fail and, even if successful, may result in substantial costs and distract our management and other employees. In addition, the uncertainties associated with litigation could have a material adverse effect on our ability to raise sufficient capital to continue our clinical studies, continue our research programs, license necessary technology from third parties, or enter into development partnerships that would help us bring our product candidates to market.</w:t>
      </w:r>
    </w:p>
    <w:p>
      <w:pPr>
        <w:spacing w:after="0" w:line="34" w:lineRule="exact"/>
        <w:rPr>
          <w:sz w:val="20"/>
          <w:szCs w:val="20"/>
          <w:color w:val="auto"/>
        </w:rPr>
      </w:pPr>
    </w:p>
    <w:p>
      <w:pPr>
        <w:ind w:right="80" w:firstLine="520"/>
        <w:spacing w:after="0" w:line="300"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46" w:lineRule="exact"/>
        <w:rPr>
          <w:sz w:val="20"/>
          <w:szCs w:val="20"/>
          <w:color w:val="auto"/>
        </w:rPr>
      </w:pPr>
    </w:p>
    <w:p>
      <w:pPr>
        <w:ind w:right="340"/>
        <w:spacing w:after="0" w:line="288" w:lineRule="auto"/>
        <w:rPr>
          <w:sz w:val="20"/>
          <w:szCs w:val="20"/>
          <w:color w:val="auto"/>
        </w:rPr>
      </w:pPr>
      <w:r>
        <w:rPr>
          <w:rFonts w:ascii="Arial" w:cs="Arial" w:eastAsia="Arial" w:hAnsi="Arial"/>
          <w:sz w:val="15"/>
          <w:szCs w:val="15"/>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24" w:lineRule="exact"/>
        <w:rPr>
          <w:sz w:val="20"/>
          <w:szCs w:val="20"/>
          <w:color w:val="auto"/>
        </w:rPr>
      </w:pPr>
    </w:p>
    <w:p>
      <w:pPr>
        <w:ind w:firstLine="520"/>
        <w:spacing w:after="0" w:line="263" w:lineRule="auto"/>
        <w:rPr>
          <w:sz w:val="20"/>
          <w:szCs w:val="20"/>
          <w:color w:val="auto"/>
        </w:rPr>
      </w:pPr>
      <w:r>
        <w:rPr>
          <w:rFonts w:ascii="Arial" w:cs="Arial" w:eastAsia="Arial" w:hAnsi="Arial"/>
          <w:sz w:val="15"/>
          <w:szCs w:val="15"/>
          <w:color w:val="auto"/>
        </w:rPr>
        <w:t>We employ certain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187" w:right="25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of our patents and other intellectual property.</w:t>
      </w:r>
    </w:p>
    <w:p>
      <w:pPr>
        <w:spacing w:after="0" w:line="81" w:lineRule="exact"/>
        <w:rPr>
          <w:sz w:val="20"/>
          <w:szCs w:val="20"/>
          <w:color w:val="auto"/>
        </w:rPr>
      </w:pPr>
    </w:p>
    <w:p>
      <w:pPr>
        <w:ind w:right="160" w:firstLine="520"/>
        <w:spacing w:after="0" w:line="285" w:lineRule="auto"/>
        <w:rPr>
          <w:sz w:val="20"/>
          <w:szCs w:val="20"/>
          <w:color w:val="auto"/>
        </w:rPr>
      </w:pPr>
      <w:r>
        <w:rPr>
          <w:rFonts w:ascii="Arial" w:cs="Arial" w:eastAsia="Arial" w:hAnsi="Arial"/>
          <w:sz w:val="14"/>
          <w:szCs w:val="14"/>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to successfully defend against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distract management and other employees.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products.</w:t>
      </w:r>
    </w:p>
    <w:p>
      <w:pPr>
        <w:spacing w:after="0" w:line="70" w:lineRule="exact"/>
        <w:rPr>
          <w:sz w:val="20"/>
          <w:szCs w:val="20"/>
          <w:color w:val="auto"/>
        </w:rPr>
      </w:pPr>
    </w:p>
    <w:p>
      <w:pPr>
        <w:ind w:right="20" w:firstLine="520"/>
        <w:spacing w:after="0" w:line="262" w:lineRule="auto"/>
        <w:rPr>
          <w:sz w:val="20"/>
          <w:szCs w:val="20"/>
          <w:color w:val="auto"/>
        </w:rPr>
      </w:pPr>
      <w:r>
        <w:rPr>
          <w:rFonts w:ascii="Arial" w:cs="Arial" w:eastAsia="Arial" w:hAnsi="Arial"/>
          <w:sz w:val="15"/>
          <w:szCs w:val="15"/>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about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rights throughout the world.</w:t>
      </w:r>
    </w:p>
    <w:p>
      <w:pPr>
        <w:spacing w:after="0" w:line="70" w:lineRule="exact"/>
        <w:rPr>
          <w:sz w:val="20"/>
          <w:szCs w:val="20"/>
          <w:color w:val="auto"/>
        </w:rPr>
      </w:pPr>
    </w:p>
    <w:p>
      <w:pPr>
        <w:ind w:right="20" w:firstLine="520"/>
        <w:spacing w:after="0" w:line="282" w:lineRule="auto"/>
        <w:rPr>
          <w:sz w:val="20"/>
          <w:szCs w:val="20"/>
          <w:color w:val="auto"/>
        </w:rPr>
      </w:pPr>
      <w:r>
        <w:rPr>
          <w:rFonts w:ascii="Arial" w:cs="Arial" w:eastAsia="Arial" w:hAnsi="Arial"/>
          <w:sz w:val="14"/>
          <w:szCs w:val="14"/>
          <w:color w:val="auto"/>
        </w:rPr>
        <w:t>Filing, prosecuting, and defending patents on our products or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KHK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1" w:lineRule="exact"/>
        <w:rPr>
          <w:sz w:val="20"/>
          <w:szCs w:val="20"/>
          <w:color w:val="auto"/>
        </w:rPr>
      </w:pPr>
    </w:p>
    <w:p>
      <w:pPr>
        <w:ind w:right="80" w:firstLine="520"/>
        <w:spacing w:after="0" w:line="283"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 Operations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future success depends in part on our ability to retain our Founder, President, and Chief Executive Officer and to attract, retain, and motivate other qualified personnel.</w:t>
      </w:r>
    </w:p>
    <w:p>
      <w:pPr>
        <w:spacing w:after="0" w:line="93"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i w:val="1"/>
          <w:iCs w:val="1"/>
          <w:color w:val="auto"/>
        </w:rPr>
        <w:t>If we fail to obtain or maintain orphan drug exclusivity for our products, our competitors may sell products to treat the same conditions and our revenue will be reduced.</w:t>
      </w:r>
    </w:p>
    <w:p>
      <w:pPr>
        <w:spacing w:after="0" w:line="93" w:lineRule="exact"/>
        <w:rPr>
          <w:sz w:val="20"/>
          <w:szCs w:val="20"/>
          <w:color w:val="auto"/>
        </w:rPr>
      </w:pPr>
    </w:p>
    <w:p>
      <w:pPr>
        <w:ind w:right="40" w:firstLine="520"/>
        <w:spacing w:after="0" w:line="283" w:lineRule="auto"/>
        <w:rPr>
          <w:sz w:val="20"/>
          <w:szCs w:val="20"/>
          <w:color w:val="auto"/>
        </w:rPr>
      </w:pPr>
      <w:r>
        <w:rPr>
          <w:rFonts w:ascii="Arial" w:cs="Arial" w:eastAsia="Arial" w:hAnsi="Arial"/>
          <w:sz w:val="14"/>
          <w:szCs w:val="14"/>
          <w:color w:val="auto"/>
        </w:rPr>
        <w:t>Our business strategy focuses on the development of drugs that are eligible for FDA and EU orphan drug designation. 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21" w:lineRule="exact"/>
        <w:rPr>
          <w:sz w:val="20"/>
          <w:szCs w:val="20"/>
          <w:color w:val="auto"/>
        </w:rPr>
      </w:pPr>
    </w:p>
    <w:p>
      <w:pPr>
        <w:ind w:right="20" w:firstLine="520"/>
        <w:spacing w:after="0" w:line="267" w:lineRule="auto"/>
        <w:rPr>
          <w:sz w:val="20"/>
          <w:szCs w:val="20"/>
          <w:color w:val="auto"/>
        </w:rPr>
      </w:pPr>
      <w:r>
        <w:rPr>
          <w:rFonts w:ascii="Arial" w:cs="Arial" w:eastAsia="Arial" w:hAnsi="Arial"/>
          <w:sz w:val="15"/>
          <w:szCs w:val="15"/>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28" w:lineRule="exact"/>
        <w:rPr>
          <w:sz w:val="20"/>
          <w:szCs w:val="20"/>
          <w:color w:val="auto"/>
        </w:rPr>
      </w:pPr>
    </w:p>
    <w:p>
      <w:pPr>
        <w:ind w:right="100" w:firstLine="520"/>
        <w:spacing w:after="0" w:line="261" w:lineRule="auto"/>
        <w:rPr>
          <w:sz w:val="20"/>
          <w:szCs w:val="20"/>
          <w:color w:val="auto"/>
        </w:rPr>
      </w:pPr>
      <w:r>
        <w:rPr>
          <w:rFonts w:ascii="Arial" w:cs="Arial" w:eastAsia="Arial" w:hAnsi="Arial"/>
          <w:sz w:val="15"/>
          <w:szCs w:val="15"/>
          <w:color w:val="auto"/>
        </w:rPr>
        <w:t>Even though we have orphan drug designation for UX007 for the treatment of fatty acid oxidation disorders in the United States and for various subtypes of LC-FAOD in Europe, as well as for UX007 for the treatment of Glut1 DS, Crysvita, Mepsevii, and DTX301 in the United States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need to expand our organization and we may experience difficulties in managing this growth, which could disrupt our operations.</w:t>
      </w:r>
    </w:p>
    <w:p>
      <w:pPr>
        <w:spacing w:after="0" w:line="70" w:lineRule="exact"/>
        <w:rPr>
          <w:sz w:val="20"/>
          <w:szCs w:val="20"/>
          <w:color w:val="auto"/>
        </w:rPr>
      </w:pPr>
    </w:p>
    <w:p>
      <w:pPr>
        <w:ind w:firstLine="520"/>
        <w:spacing w:after="0" w:line="283" w:lineRule="auto"/>
        <w:rPr>
          <w:sz w:val="20"/>
          <w:szCs w:val="20"/>
          <w:color w:val="auto"/>
        </w:rPr>
      </w:pPr>
      <w:r>
        <w:rPr>
          <w:rFonts w:ascii="Arial" w:cs="Arial" w:eastAsia="Arial" w:hAnsi="Arial"/>
          <w:sz w:val="14"/>
          <w:szCs w:val="14"/>
          <w:color w:val="auto"/>
        </w:rPr>
        <w:t>As our development and commercialization plans and strategies develop, we expect to need additional managerial, operational, field forces,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operating results would be adversely impacted if our intangible assets become impaired.</w:t>
      </w:r>
    </w:p>
    <w:p>
      <w:pPr>
        <w:spacing w:after="0" w:line="81" w:lineRule="exact"/>
        <w:rPr>
          <w:sz w:val="20"/>
          <w:szCs w:val="20"/>
          <w:color w:val="auto"/>
        </w:rPr>
      </w:pPr>
    </w:p>
    <w:p>
      <w:pPr>
        <w:ind w:right="40" w:firstLine="477"/>
        <w:spacing w:after="0" w:line="292" w:lineRule="auto"/>
        <w:rPr>
          <w:sz w:val="20"/>
          <w:szCs w:val="20"/>
          <w:color w:val="auto"/>
        </w:rPr>
      </w:pPr>
      <w:r>
        <w:rPr>
          <w:rFonts w:ascii="Arial" w:cs="Arial" w:eastAsia="Arial" w:hAnsi="Arial"/>
          <w:sz w:val="14"/>
          <w:szCs w:val="14"/>
          <w:color w:val="auto"/>
        </w:rPr>
        <w:t>As a result of the accounting for our acquisition of Dimension Therapeutics, Inc. (Dimension) in November 2017, we have recorded on our balance sheet intangible assets for in-process research and development (“IPR&amp;D”) and an acquired contract asset. We test the intangible assets for impairment annually during the fourth quarter and more frequently if events or changes in circumstances indicate that it is more likely than not that the asset is impaired. If the associated research and development effort is abandoned, the related assets will be written-off and we will record a noncash impairment loss on our statement of operations. We have not recorded any impairments since inception.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i w:val="1"/>
          <w:iCs w:val="1"/>
          <w:color w:val="auto"/>
        </w:rPr>
        <w:t>We may not be successful in our efforts to identify, license, discover, develop, or commercialize additional product candidates.</w:t>
      </w:r>
    </w:p>
    <w:p>
      <w:pPr>
        <w:spacing w:after="0" w:line="81" w:lineRule="exact"/>
        <w:rPr>
          <w:sz w:val="20"/>
          <w:szCs w:val="20"/>
          <w:color w:val="auto"/>
        </w:rPr>
      </w:pPr>
    </w:p>
    <w:p>
      <w:pPr>
        <w:ind w:firstLine="520"/>
        <w:spacing w:after="0" w:line="264" w:lineRule="auto"/>
        <w:rPr>
          <w:sz w:val="20"/>
          <w:szCs w:val="20"/>
          <w:color w:val="auto"/>
        </w:rPr>
      </w:pPr>
      <w:r>
        <w:rPr>
          <w:rFonts w:ascii="Arial" w:cs="Arial" w:eastAsia="Arial" w:hAnsi="Arial"/>
          <w:sz w:val="15"/>
          <w:szCs w:val="15"/>
          <w:color w:val="auto"/>
        </w:rPr>
        <w:t>Although a substantial amount of our effort will focus on the continued clinical testing, potential approval, and commercialization of our existing product candidates, the success of our business also depends upon our ability to identify, license, discover, develop, or commercialize additional product candidates. Research programs to identify and develop new product candidates, such as those under our collaboration with Arcturus,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32" w:lineRule="exact"/>
        <w:rPr>
          <w:sz w:val="20"/>
          <w:szCs w:val="20"/>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research or business development methodology or search criteria and process may be unsuccessful in identifying potential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may not be able or willing to assemble sufficient technical, financial or human resources to acquire or discover additional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may face competition in obtaining and/or developing additional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product candidates may not succeed in research, discovery, preclinical or clinical testing;</w:t>
      </w:r>
    </w:p>
    <w:p>
      <w:pPr>
        <w:spacing w:after="0" w:line="69" w:lineRule="exact"/>
        <w:rPr>
          <w:rFonts w:ascii="Arial" w:cs="Arial" w:eastAsia="Arial" w:hAnsi="Arial"/>
          <w:sz w:val="15"/>
          <w:szCs w:val="15"/>
          <w:color w:val="auto"/>
        </w:rPr>
      </w:pPr>
    </w:p>
    <w:p>
      <w:pPr>
        <w:ind w:left="900" w:right="320" w:hanging="389"/>
        <w:spacing w:after="0" w:line="288"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potential product candidates may be shown to have harmful side effects or may have other characteristics that may make the products unmarketable or unlikely to receive marketing approval;</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competitors may develop alternatives that render our product candidates obsolete or less attractive;</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product candidates we develop may be covered by third parties’ patents or other exclusive rights;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market for a product candidate may change during our program so that such a product may become unreasonable to continue to develop;</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product candidate may not be capable of being produced in commercial quantities at an acceptable cost or at all; and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 product candidate may not be accepted as safe and effective by regulatory authorities, patients, the medical community, or payors.</w:t>
      </w:r>
    </w:p>
    <w:p>
      <w:pPr>
        <w:spacing w:after="0" w:line="70" w:lineRule="exact"/>
        <w:rPr>
          <w:sz w:val="20"/>
          <w:szCs w:val="20"/>
          <w:color w:val="auto"/>
        </w:rPr>
      </w:pPr>
    </w:p>
    <w:p>
      <w:pPr>
        <w:ind w:right="160" w:firstLine="520"/>
        <w:spacing w:after="0" w:line="325" w:lineRule="auto"/>
        <w:rPr>
          <w:sz w:val="20"/>
          <w:szCs w:val="20"/>
          <w:color w:val="auto"/>
        </w:rPr>
      </w:pPr>
      <w:r>
        <w:rPr>
          <w:rFonts w:ascii="Arial" w:cs="Arial" w:eastAsia="Arial" w:hAnsi="Arial"/>
          <w:sz w:val="14"/>
          <w:szCs w:val="14"/>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129" w:lineRule="exact"/>
        <w:rPr>
          <w:sz w:val="20"/>
          <w:szCs w:val="20"/>
          <w:color w:val="auto"/>
        </w:rPr>
      </w:pPr>
    </w:p>
    <w:p>
      <w:pPr>
        <w:spacing w:after="0" w:line="288" w:lineRule="auto"/>
        <w:rPr>
          <w:sz w:val="20"/>
          <w:szCs w:val="20"/>
          <w:color w:val="auto"/>
        </w:rPr>
      </w:pPr>
      <w:r>
        <w:rPr>
          <w:rFonts w:ascii="Arial" w:cs="Arial" w:eastAsia="Arial" w:hAnsi="Arial"/>
          <w:sz w:val="15"/>
          <w:szCs w:val="15"/>
          <w:b w:val="1"/>
          <w:bCs w:val="1"/>
          <w:i w:val="1"/>
          <w:iCs w:val="1"/>
          <w:color w:val="auto"/>
        </w:rPr>
        <w:t>If we are unable to maintain and further develop effective internal control over financial reporting, investors may lose confidence in the accuracy and completeness of our financial reports and the market price of our stock may decrease.</w:t>
      </w:r>
    </w:p>
    <w:p>
      <w:pPr>
        <w:spacing w:after="0" w:line="24" w:lineRule="exact"/>
        <w:rPr>
          <w:sz w:val="20"/>
          <w:szCs w:val="20"/>
          <w:color w:val="auto"/>
        </w:rPr>
      </w:pPr>
    </w:p>
    <w:p>
      <w:pPr>
        <w:ind w:firstLine="520"/>
        <w:spacing w:after="0" w:line="282" w:lineRule="auto"/>
        <w:rPr>
          <w:sz w:val="20"/>
          <w:szCs w:val="20"/>
          <w:color w:val="auto"/>
        </w:rPr>
      </w:pPr>
      <w:r>
        <w:rPr>
          <w:rFonts w:ascii="Arial" w:cs="Arial" w:eastAsia="Arial" w:hAnsi="Arial"/>
          <w:sz w:val="14"/>
          <w:szCs w:val="14"/>
          <w:color w:val="auto"/>
        </w:rPr>
        <w:t>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We are also subject to the compliance requirements of Section 404(b) of the Sarbanes-Oxley Act, which results in us incurring substantial expenses and expending significant management efforts. We currently do not have an internal audit group. We may need to hire additional accounting and financial staff with appropriate public company experience and technical accounting knowledge. If we are not able to comply with the requirements of Section 404(b) or if we or our independent registered public accounting firm identify deficiencies in our internal controls over financial reporting that are deemed to be material weaknesses,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healthcare and FDA laws, regulations, and policies may have a material adverse effect on our business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United States</w:t>
      </w:r>
    </w:p>
    <w:p>
      <w:pPr>
        <w:spacing w:after="0" w:line="81" w:lineRule="exact"/>
        <w:rPr>
          <w:sz w:val="20"/>
          <w:szCs w:val="20"/>
          <w:color w:val="auto"/>
        </w:rPr>
      </w:pPr>
    </w:p>
    <w:p>
      <w:pPr>
        <w:ind w:right="20" w:firstLine="520"/>
        <w:spacing w:after="0" w:line="283" w:lineRule="auto"/>
        <w:rPr>
          <w:sz w:val="20"/>
          <w:szCs w:val="20"/>
          <w:color w:val="auto"/>
        </w:rPr>
      </w:pPr>
      <w:r>
        <w:rPr>
          <w:rFonts w:ascii="Arial" w:cs="Arial" w:eastAsia="Arial" w:hAnsi="Arial"/>
          <w:sz w:val="14"/>
          <w:szCs w:val="14"/>
          <w:color w:val="auto"/>
        </w:rPr>
        <w:t>In the United States, there have been and continue to be a number of legislative initiatives to contain healthcare costs and to modify the regulation of drug and biologic products. For example, the Affordable Care Act, as amended, substantially changed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and establishes annual fees and taxes on manufacturers of certain branded prescription drugs. Implementation of the Affordable Care Act remains ongoing, and there remains uncertainty as to how the law’s various provisions will ultimately affect the industry and whether the law will remain in place.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0"/>
          </w:cols>
          <w:pgMar w:left="240" w:top="325" w:right="259" w:bottom="1440" w:gutter="0" w:footer="0" w:header="0"/>
        </w:sectPr>
      </w:pPr>
    </w:p>
    <w:bookmarkStart w:id="52" w:name="page53"/>
    <w:bookmarkEnd w:id="52"/>
    <w:p>
      <w:pPr>
        <w:ind w:right="80" w:firstLine="520"/>
        <w:spacing w:after="0" w:line="292" w:lineRule="auto"/>
        <w:rPr>
          <w:sz w:val="20"/>
          <w:szCs w:val="20"/>
          <w:color w:val="auto"/>
        </w:rPr>
      </w:pPr>
      <w:r>
        <w:rPr>
          <w:rFonts w:ascii="Arial" w:cs="Arial" w:eastAsia="Arial" w:hAnsi="Arial"/>
          <w:sz w:val="14"/>
          <w:szCs w:val="14"/>
          <w:color w:val="auto"/>
        </w:rPr>
        <w:t>Other legislative changes have been adopted in the United States, including the Cures Act and the Budget Control Act of 2011, or the Budget Act, signed into law on August 2, 2011. The Cures Act introduced a wide range of reforms and the Budget Act, among other things, required reductions in federal spending, which eventually triggered Medicare sequestration—the requirement to reduce Medicare payments to providers up to 2% per fiscal year. In 2013, the 2% Medicare payment reductions were applied to fee-for-service claims with dates of service or dates of discharge on or after April 1, 2013. Sequestration was initially set to expire in fiscal year 2021 but has been extended to 2025.</w:t>
      </w:r>
    </w:p>
    <w:p>
      <w:pPr>
        <w:spacing w:after="0" w:line="24" w:lineRule="exact"/>
        <w:rPr>
          <w:sz w:val="20"/>
          <w:szCs w:val="20"/>
          <w:color w:val="auto"/>
        </w:rPr>
      </w:pPr>
    </w:p>
    <w:p>
      <w:pPr>
        <w:ind w:right="260" w:firstLine="520"/>
        <w:spacing w:after="0" w:line="267" w:lineRule="auto"/>
        <w:rPr>
          <w:sz w:val="20"/>
          <w:szCs w:val="20"/>
          <w:color w:val="auto"/>
        </w:rPr>
      </w:pPr>
      <w:r>
        <w:rPr>
          <w:rFonts w:ascii="Arial" w:cs="Arial" w:eastAsia="Arial" w:hAnsi="Arial"/>
          <w:sz w:val="15"/>
          <w:szCs w:val="15"/>
          <w:color w:val="auto"/>
        </w:rPr>
        <w:t>We expect that additional state and federal healthcare reform measures and regulations will be adopted in the future, including proposals to reduce the exclusivity protections provided to already approved biological products and to provide biosimilar and interchangeable biologic products an easier path to approval.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European Union</w:t>
      </w:r>
    </w:p>
    <w:p>
      <w:pPr>
        <w:spacing w:after="0" w:line="70" w:lineRule="exact"/>
        <w:rPr>
          <w:sz w:val="20"/>
          <w:szCs w:val="20"/>
          <w:color w:val="auto"/>
        </w:rPr>
      </w:pPr>
    </w:p>
    <w:p>
      <w:pPr>
        <w:ind w:right="220" w:firstLine="520"/>
        <w:spacing w:after="0" w:line="292" w:lineRule="auto"/>
        <w:rPr>
          <w:sz w:val="20"/>
          <w:szCs w:val="20"/>
          <w:color w:val="auto"/>
        </w:rPr>
      </w:pPr>
      <w:r>
        <w:rPr>
          <w:rFonts w:ascii="Arial" w:cs="Arial" w:eastAsia="Arial" w:hAnsi="Arial"/>
          <w:sz w:val="14"/>
          <w:szCs w:val="14"/>
          <w:color w:val="auto"/>
        </w:rPr>
        <w:t>In the EU, the European Commission has adopted detailed rules for the safety features appearing on the packaging of medicinal products for human use. The regulations set forth the rules for the features appearing on the packaging of these medicinal products, including, inter alia, the characteristics and technical specifications of the unique identifier that enables the authenticity of medicinal products to be verified and individual packs to be identified, the modalities for the verification of the safety features, and the list of medicinal products and product categories subject and not subject to prescription which shall not bear and bear (respectively) safety features.</w:t>
      </w:r>
    </w:p>
    <w:p>
      <w:pPr>
        <w:spacing w:after="0" w:line="24" w:lineRule="exact"/>
        <w:rPr>
          <w:sz w:val="20"/>
          <w:szCs w:val="20"/>
          <w:color w:val="auto"/>
        </w:rPr>
      </w:pPr>
    </w:p>
    <w:p>
      <w:pPr>
        <w:ind w:firstLine="520"/>
        <w:spacing w:after="0" w:line="285" w:lineRule="auto"/>
        <w:rPr>
          <w:sz w:val="20"/>
          <w:szCs w:val="20"/>
          <w:color w:val="auto"/>
        </w:rPr>
      </w:pPr>
      <w:r>
        <w:rPr>
          <w:rFonts w:ascii="Arial" w:cs="Arial" w:eastAsia="Arial" w:hAnsi="Arial"/>
          <w:sz w:val="14"/>
          <w:szCs w:val="14"/>
          <w:color w:val="auto"/>
        </w:rPr>
        <w:t>The European Commission has also launched a series of public consultations that are aimed at the adoption of notices and guidelines which will serve the interpretation of currently applicable regulations and directives. For example, between August 2015 and December 2016, the European Commission launched public consultations which concerned good manufacturing practices, clinical trials for human medicinal products, and orphan medicinal products. The purpose of the consultation on orphan medicinal products (which will be replaced with a Notice) is to streamline the regulatory framework and to adapt the applicable regulations to technical progress. The consultation focuses on a variety of elements of Regulation (EC) No 141/2000, which include the encouragement of development of orphan medicinal products for communicable diseases and the simplification of the procedure for the reassessment of orphan criteria when two authorization application procedures are pending in parallel for two orphan medicinal products.</w:t>
      </w:r>
    </w:p>
    <w:p>
      <w:pPr>
        <w:spacing w:after="0" w:line="156"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b w:val="1"/>
          <w:bCs w:val="1"/>
          <w:i w:val="1"/>
          <w:iCs w:val="1"/>
          <w:color w:val="auto"/>
        </w:rPr>
        <w:t>We are subject, directly and indirectly, to federal and state healthcare fraud and abuse laws, false claims laws, and health information privacy and security laws. If we are unable to comply, or have not fully complied, with such laws, we could face substantial penalties.</w:t>
      </w:r>
    </w:p>
    <w:p>
      <w:pPr>
        <w:spacing w:after="0" w:line="13" w:lineRule="exact"/>
        <w:rPr>
          <w:sz w:val="20"/>
          <w:szCs w:val="20"/>
          <w:color w:val="auto"/>
        </w:rPr>
      </w:pPr>
    </w:p>
    <w:p>
      <w:pPr>
        <w:ind w:right="80" w:firstLine="520"/>
        <w:spacing w:after="0" w:line="261" w:lineRule="auto"/>
        <w:rPr>
          <w:sz w:val="20"/>
          <w:szCs w:val="20"/>
          <w:color w:val="auto"/>
        </w:rPr>
      </w:pPr>
      <w:r>
        <w:rPr>
          <w:rFonts w:ascii="Arial" w:cs="Arial" w:eastAsia="Arial" w:hAnsi="Arial"/>
          <w:sz w:val="15"/>
          <w:szCs w:val="15"/>
          <w:color w:val="auto"/>
        </w:rPr>
        <w:t>Our operations are directly, and indirectly through our customers, subject to various federal and state fraud and abuse laws, including, without limitation, the federal Anti-Kickback Statute, the federal False Claims Act, and physician sunshine laws and regulations. These laws impact, among other things, our field marketing and education programs. In addition, we are subject to patient privacy regulation by both the federal government and the states in which we conduct our business. The laws that may affect our ability to operate are described under “Business—Government Regulation” in the Annual Report. 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3" w:lineRule="exact"/>
        <w:rPr>
          <w:sz w:val="20"/>
          <w:szCs w:val="20"/>
          <w:color w:val="auto"/>
        </w:rPr>
      </w:pPr>
    </w:p>
    <w:p>
      <w:pPr>
        <w:ind w:right="140" w:firstLine="520"/>
        <w:spacing w:after="0" w:line="272" w:lineRule="auto"/>
        <w:rPr>
          <w:sz w:val="20"/>
          <w:szCs w:val="20"/>
          <w:color w:val="auto"/>
        </w:rPr>
      </w:pPr>
      <w:r>
        <w:rPr>
          <w:rFonts w:ascii="Arial" w:cs="Arial" w:eastAsia="Arial" w:hAnsi="Arial"/>
          <w:sz w:val="15"/>
          <w:szCs w:val="15"/>
          <w:color w:val="auto"/>
        </w:rPr>
        <w:t>We currently have limited international operations, but our business strategy includes significant international expansion, particularly in anticipation of approval of our product candidates. We currently conduct physician and patient association outreach activities, as well as clinical studies, outside of the United States and plan to maintain field forces representatives internationally in the future. Doing business internationally involves a number of risks, including but not limited to:</w:t>
      </w:r>
    </w:p>
    <w:p>
      <w:pPr>
        <w:spacing w:after="0" w:line="25" w:lineRule="exact"/>
        <w:rPr>
          <w:sz w:val="20"/>
          <w:szCs w:val="20"/>
          <w:color w:val="auto"/>
        </w:rPr>
      </w:pPr>
    </w:p>
    <w:p>
      <w:pPr>
        <w:ind w:left="900" w:right="700" w:hanging="389"/>
        <w:spacing w:after="0" w:line="288"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introduction of new health authority requirements and/or changes in health authority expectations;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failure by us to obtain and maintain regulatory approvals for the use of our products in various countries;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additional potentially relevant third-party patent rights;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complexities and difficulties in obtaining protection for, and enforcing, our intellectual property;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87" w:right="239" w:bottom="1440" w:gutter="0" w:footer="0" w:header="0"/>
        </w:sectPr>
      </w:pPr>
    </w:p>
    <w:bookmarkStart w:id="53" w:name="page54"/>
    <w:bookmarkEnd w:id="53"/>
    <w:p>
      <w:pPr>
        <w:ind w:left="900" w:hanging="389"/>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difficulties in staffing and managing foreign operations;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complexities associated with managing multiple payor reimbursement regimes, government payors, or patient self-pay systems;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limits in our ability to penetrate international markets;</w:t>
      </w:r>
    </w:p>
    <w:p>
      <w:pPr>
        <w:spacing w:after="0" w:line="69" w:lineRule="exact"/>
        <w:rPr>
          <w:rFonts w:ascii="Arial" w:cs="Arial" w:eastAsia="Arial" w:hAnsi="Arial"/>
          <w:sz w:val="15"/>
          <w:szCs w:val="15"/>
          <w:color w:val="auto"/>
        </w:rPr>
      </w:pPr>
    </w:p>
    <w:p>
      <w:pPr>
        <w:ind w:left="900" w:right="180" w:hanging="389"/>
        <w:spacing w:after="0" w:line="28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2" w:lineRule="exact"/>
        <w:rPr>
          <w:rFonts w:ascii="Arial" w:cs="Arial" w:eastAsia="Arial" w:hAnsi="Arial"/>
          <w:sz w:val="15"/>
          <w:szCs w:val="15"/>
          <w:color w:val="auto"/>
        </w:rPr>
      </w:pPr>
    </w:p>
    <w:p>
      <w:pPr>
        <w:ind w:left="900" w:right="200" w:hanging="389"/>
        <w:spacing w:after="0" w:line="28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natural disasters and political and economic instability, including wars, terrorism, political unrest, outbreak of disease, boycotts, curtailment of trade, and other business restrictions;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certain expenses including, among others, expenses for travel, translation, and insurance;</w:t>
      </w:r>
    </w:p>
    <w:p>
      <w:pPr>
        <w:spacing w:after="0" w:line="69" w:lineRule="exact"/>
        <w:rPr>
          <w:rFonts w:ascii="Arial" w:cs="Arial" w:eastAsia="Arial" w:hAnsi="Arial"/>
          <w:sz w:val="15"/>
          <w:szCs w:val="15"/>
          <w:color w:val="auto"/>
        </w:rPr>
      </w:pPr>
    </w:p>
    <w:p>
      <w:pPr>
        <w:jc w:val="both"/>
        <w:ind w:left="900" w:right="140" w:hanging="389"/>
        <w:spacing w:after="0" w:line="272"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foreign laws and regulations; and</w:t>
      </w:r>
    </w:p>
    <w:p>
      <w:pPr>
        <w:spacing w:after="0" w:line="24" w:lineRule="exact"/>
        <w:rPr>
          <w:rFonts w:ascii="Arial" w:cs="Arial" w:eastAsia="Arial" w:hAnsi="Arial"/>
          <w:sz w:val="15"/>
          <w:szCs w:val="15"/>
          <w:color w:val="auto"/>
        </w:rPr>
      </w:pPr>
    </w:p>
    <w:p>
      <w:pPr>
        <w:ind w:left="900" w:right="320" w:hanging="389"/>
        <w:spacing w:after="0" w:line="288"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regulatory and compliance risks relating to doing business with any entity that is subject to sanctions administered by the Office of Foreign Assets Control of the U.S. Department of the Treasury.</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additional tax liabilities related to our operations.</w:t>
      </w:r>
    </w:p>
    <w:p>
      <w:pPr>
        <w:spacing w:after="0" w:line="70" w:lineRule="exact"/>
        <w:rPr>
          <w:sz w:val="20"/>
          <w:szCs w:val="20"/>
          <w:color w:val="auto"/>
        </w:rPr>
      </w:pPr>
    </w:p>
    <w:p>
      <w:pPr>
        <w:ind w:right="100" w:firstLine="520"/>
        <w:spacing w:after="0" w:line="283" w:lineRule="auto"/>
        <w:rPr>
          <w:sz w:val="20"/>
          <w:szCs w:val="20"/>
          <w:color w:val="auto"/>
        </w:rPr>
      </w:pPr>
      <w:r>
        <w:rPr>
          <w:rFonts w:ascii="Arial" w:cs="Arial" w:eastAsia="Arial" w:hAnsi="Arial"/>
          <w:sz w:val="14"/>
          <w:szCs w:val="14"/>
          <w:color w:val="auto"/>
        </w:rPr>
        <w:t>We have a multinational tax structure and are subject to income tax in the United States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operations for future periods.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laws and regulations could harm our business and our reputation.</w:t>
      </w:r>
    </w:p>
    <w:p>
      <w:pPr>
        <w:spacing w:after="0" w:line="81" w:lineRule="exact"/>
        <w:rPr>
          <w:sz w:val="20"/>
          <w:szCs w:val="20"/>
          <w:color w:val="auto"/>
        </w:rPr>
      </w:pPr>
    </w:p>
    <w:p>
      <w:pPr>
        <w:ind w:firstLine="520"/>
        <w:spacing w:after="0" w:line="262" w:lineRule="auto"/>
        <w:rPr>
          <w:sz w:val="20"/>
          <w:szCs w:val="20"/>
          <w:color w:val="auto"/>
        </w:rPr>
      </w:pPr>
      <w:r>
        <w:rPr>
          <w:rFonts w:ascii="Arial" w:cs="Arial" w:eastAsia="Arial" w:hAnsi="Arial"/>
          <w:sz w:val="15"/>
          <w:szCs w:val="15"/>
          <w:color w:val="auto"/>
        </w:rPr>
        <w:t>Our business is subject to regulation by various federal, state, local and foreign governmental agencies, including agencies responsible for monitoring and enforcing employment and labor laws, workplace safety, and tax laws and regulations.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enforcement actions, disgorgement of profits, fines, damages, civil and criminal penalties, or injunctions.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our reputation.</w:t>
      </w:r>
    </w:p>
    <w:p>
      <w:pPr>
        <w:spacing w:after="0" w:line="32" w:lineRule="exact"/>
        <w:rPr>
          <w:sz w:val="20"/>
          <w:szCs w:val="20"/>
          <w:color w:val="auto"/>
        </w:rPr>
      </w:pPr>
    </w:p>
    <w:p>
      <w:pPr>
        <w:ind w:firstLine="520"/>
        <w:spacing w:after="0" w:line="280" w:lineRule="auto"/>
        <w:rPr>
          <w:sz w:val="20"/>
          <w:szCs w:val="20"/>
          <w:color w:val="auto"/>
        </w:rPr>
      </w:pPr>
      <w:r>
        <w:rPr>
          <w:rFonts w:ascii="Arial" w:cs="Arial" w:eastAsia="Arial" w:hAnsi="Arial"/>
          <w:sz w:val="14"/>
          <w:szCs w:val="14"/>
          <w:color w:val="auto"/>
        </w:rPr>
        <w:t>In particular, our research and development activities and our and our third-party manufacturers’ and suppliers’ activities involve the controlled storage, use, and disposal of hazardous materials, including the components of our product candidates, such as viruses,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4" w:name="page55"/>
    <w:bookmarkEnd w:id="54"/>
    <w:p>
      <w:pPr>
        <w:ind w:right="60"/>
        <w:spacing w:after="0" w:line="288" w:lineRule="auto"/>
        <w:rPr>
          <w:sz w:val="20"/>
          <w:szCs w:val="20"/>
          <w:color w:val="auto"/>
        </w:rPr>
      </w:pPr>
      <w:r>
        <w:rPr>
          <w:rFonts w:ascii="Arial" w:cs="Arial" w:eastAsia="Arial" w:hAnsi="Arial"/>
          <w:sz w:val="15"/>
          <w:szCs w:val="15"/>
          <w:b w:val="1"/>
          <w:bCs w:val="1"/>
          <w:i w:val="1"/>
          <w:iCs w:val="1"/>
          <w:color w:val="auto"/>
        </w:rPr>
        <w:t>Risks generally associated with a company-wide implementation of an enterprise resource planning (ERP) system may adversely affect our business and results of operations or the effectiveness of our internal controls over financial reporting.</w:t>
      </w:r>
    </w:p>
    <w:p>
      <w:pPr>
        <w:spacing w:after="0" w:line="24" w:lineRule="exact"/>
        <w:rPr>
          <w:sz w:val="20"/>
          <w:szCs w:val="20"/>
          <w:color w:val="auto"/>
        </w:rPr>
      </w:pPr>
    </w:p>
    <w:p>
      <w:pPr>
        <w:ind w:right="40" w:firstLine="520"/>
        <w:spacing w:after="0" w:line="283" w:lineRule="auto"/>
        <w:rPr>
          <w:sz w:val="20"/>
          <w:szCs w:val="20"/>
          <w:color w:val="auto"/>
        </w:rPr>
      </w:pPr>
      <w:r>
        <w:rPr>
          <w:rFonts w:ascii="Arial" w:cs="Arial" w:eastAsia="Arial" w:hAnsi="Arial"/>
          <w:sz w:val="14"/>
          <w:szCs w:val="14"/>
          <w:color w:val="auto"/>
        </w:rPr>
        <w:t>We are in the process of implementing a company-wide ERP system to upgrade certain existing business, operational, and financial processes. Our ERP implementation is a complex and time-consuming project that we expect will require multiple years to complete. Our results of operations could be adversely affected if we experience time delays or cost overruns during the ERP implementation process, or if the ERP system or associated process changes do not give rise to the benefits that we expect. This project has required and may continue to require investment of capital and human resources, the re-engineering of processes of our business, and the attention of many employees who would otherwise be focused on other aspects of our business. Any deficiencies in the design and implementation of the new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operations may be materially adversely affected in the event of computer system failures or security breaches.</w:t>
      </w:r>
    </w:p>
    <w:p>
      <w:pPr>
        <w:spacing w:after="0" w:line="70" w:lineRule="exact"/>
        <w:rPr>
          <w:sz w:val="20"/>
          <w:szCs w:val="20"/>
          <w:color w:val="auto"/>
        </w:rPr>
      </w:pPr>
    </w:p>
    <w:p>
      <w:pPr>
        <w:ind w:right="20" w:firstLine="520"/>
        <w:spacing w:after="0" w:line="282" w:lineRule="auto"/>
        <w:rPr>
          <w:sz w:val="20"/>
          <w:szCs w:val="20"/>
          <w:color w:val="auto"/>
        </w:rPr>
      </w:pPr>
      <w:r>
        <w:rPr>
          <w:rFonts w:ascii="Arial" w:cs="Arial" w:eastAsia="Arial" w:hAnsi="Arial"/>
          <w:sz w:val="14"/>
          <w:szCs w:val="14"/>
          <w:color w:val="auto"/>
        </w:rPr>
        <w:t>Despite the implementation of security measures, our internal computer systems, and those of our CROs and other third parties on which we rely, are vulnerable to damage from computer viruses, unauthorized access, cyber-attacks, natural disasters, fire, terrorism, war, and telecommunication and electrical failures. If a system failure or security breach occurs and interrupts our operations, it could result in a material disruption of our drug development programs.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data of employees or former employees, access to our clinical data, or disruption of the manufacturing process, we could incur liability and the further development of our drug candidates could be delayed. We may also be vulnerable to cyber-attacks by hackers or other malfeasance. This type of breach of our cybersecurity may compromise our confidential information and/or our financial information and adversely affect our business or result in legal proceedings.</w:t>
      </w:r>
    </w:p>
    <w:p>
      <w:pPr>
        <w:spacing w:after="0" w:line="171"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3" w:lineRule="exact"/>
        <w:rPr>
          <w:sz w:val="20"/>
          <w:szCs w:val="20"/>
          <w:color w:val="auto"/>
        </w:rPr>
      </w:pPr>
    </w:p>
    <w:p>
      <w:pPr>
        <w:ind w:firstLine="520"/>
        <w:spacing w:after="0" w:line="261" w:lineRule="auto"/>
        <w:rPr>
          <w:sz w:val="20"/>
          <w:szCs w:val="20"/>
          <w:color w:val="auto"/>
        </w:rPr>
      </w:pPr>
      <w:r>
        <w:rPr>
          <w:rFonts w:ascii="Arial" w:cs="Arial" w:eastAsia="Arial" w:hAnsi="Arial"/>
          <w:sz w:val="15"/>
          <w:szCs w:val="15"/>
          <w:color w:val="auto"/>
        </w:rPr>
        <w:t>Our corporate headquarters and one of our laboratories are located in the San Francisco Bay Area, and our collaboration partner for Crysvita, KHK,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may be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acquire companies or products or engage in strategic transactions, which could divert our management’s attention and cause us to incur various costs and expenses.</w:t>
      </w:r>
    </w:p>
    <w:p>
      <w:pPr>
        <w:spacing w:after="0" w:line="104" w:lineRule="exact"/>
        <w:rPr>
          <w:sz w:val="20"/>
          <w:szCs w:val="20"/>
          <w:color w:val="auto"/>
        </w:rPr>
      </w:pPr>
    </w:p>
    <w:p>
      <w:pPr>
        <w:ind w:firstLine="520"/>
        <w:spacing w:after="0" w:line="267" w:lineRule="auto"/>
        <w:rPr>
          <w:sz w:val="20"/>
          <w:szCs w:val="20"/>
          <w:color w:val="auto"/>
        </w:rPr>
      </w:pPr>
      <w:r>
        <w:rPr>
          <w:rFonts w:ascii="Arial" w:cs="Arial" w:eastAsia="Arial" w:hAnsi="Arial"/>
          <w:sz w:val="15"/>
          <w:szCs w:val="15"/>
          <w:color w:val="auto"/>
        </w:rPr>
        <w:t>We may acquire or invest in businesses or products that we believe could complement or expand our business or otherwise offer growth opportunities. For example, we acquired Dimension in November 2017. The pursuit of potential acquisitions or investments may divert the attention of management and may cause us to incur various costs and expenses in identifying, investigating, and pursuing them, whether or not they are consummated. We may not be able to identify desirable acquisitions or investments or be successful in entering into an agreement for such transactions.</w:t>
      </w:r>
    </w:p>
    <w:p>
      <w:pPr>
        <w:spacing w:after="0" w:line="28" w:lineRule="exact"/>
        <w:rPr>
          <w:sz w:val="20"/>
          <w:szCs w:val="20"/>
          <w:color w:val="auto"/>
        </w:rPr>
      </w:pPr>
    </w:p>
    <w:p>
      <w:pPr>
        <w:ind w:right="180" w:firstLine="520"/>
        <w:spacing w:after="0" w:line="325" w:lineRule="auto"/>
        <w:rPr>
          <w:sz w:val="20"/>
          <w:szCs w:val="20"/>
          <w:color w:val="auto"/>
        </w:rPr>
      </w:pPr>
      <w:r>
        <w:rPr>
          <w:rFonts w:ascii="Arial" w:cs="Arial" w:eastAsia="Arial" w:hAnsi="Arial"/>
          <w:sz w:val="14"/>
          <w:szCs w:val="14"/>
          <w:color w:val="auto"/>
        </w:rPr>
        <w:t>In addition, we may receive inquiries relating to potential strategic transactions, including collaborations, licenses, and acquisitions. Such potential transactions may divert the attention of management and may cause us to incur various costs and expenses in investigating and evaluating such transactions, whether or not they are consummated.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i w:val="1"/>
          <w:iCs w:val="1"/>
          <w:color w:val="auto"/>
        </w:rPr>
        <w:t>Litigation may substantially increase our costs and harm our business.</w:t>
      </w:r>
    </w:p>
    <w:p>
      <w:pPr>
        <w:spacing w:after="0" w:line="81" w:lineRule="exact"/>
        <w:rPr>
          <w:sz w:val="20"/>
          <w:szCs w:val="20"/>
          <w:color w:val="auto"/>
        </w:rPr>
      </w:pPr>
    </w:p>
    <w:p>
      <w:pPr>
        <w:ind w:firstLine="520"/>
        <w:spacing w:after="0" w:line="285" w:lineRule="auto"/>
        <w:rPr>
          <w:sz w:val="20"/>
          <w:szCs w:val="20"/>
          <w:color w:val="auto"/>
        </w:rPr>
      </w:pPr>
      <w:r>
        <w:rPr>
          <w:rFonts w:ascii="Arial" w:cs="Arial" w:eastAsia="Arial" w:hAnsi="Arial"/>
          <w:sz w:val="14"/>
          <w:szCs w:val="14"/>
          <w:color w:val="auto"/>
        </w:rPr>
        <w:t>We have been, and may in the future become, party to lawsuits including, without limitation, actions and proceedings in the ordinary course of business relating to our directors, officers, stockholders, intellectual property, and employment matters,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Ownership of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common stock may be highly volatile.</w:t>
      </w:r>
    </w:p>
    <w:p>
      <w:pPr>
        <w:spacing w:after="0" w:line="81" w:lineRule="exact"/>
        <w:rPr>
          <w:sz w:val="20"/>
          <w:szCs w:val="20"/>
          <w:color w:val="auto"/>
        </w:rPr>
      </w:pPr>
    </w:p>
    <w:p>
      <w:pPr>
        <w:ind w:right="300" w:firstLine="520"/>
        <w:spacing w:after="0" w:line="288" w:lineRule="auto"/>
        <w:rPr>
          <w:sz w:val="20"/>
          <w:szCs w:val="20"/>
          <w:color w:val="auto"/>
        </w:rPr>
      </w:pPr>
      <w:r>
        <w:rPr>
          <w:rFonts w:ascii="Arial" w:cs="Arial" w:eastAsia="Arial" w:hAnsi="Arial"/>
          <w:sz w:val="15"/>
          <w:szCs w:val="15"/>
          <w:color w:val="auto"/>
        </w:rPr>
        <w:t>The market price of our common stock has been, and is likely to continue to be, volatile, including for reasons unrelated to changes in our business. Our stock price could be subject to wide fluctuations in response to a variety of factors, including but not limited to the following:</w:t>
      </w:r>
    </w:p>
    <w:p>
      <w:pPr>
        <w:spacing w:after="0" w:line="13" w:lineRule="exact"/>
        <w:rPr>
          <w:sz w:val="20"/>
          <w:szCs w:val="20"/>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adverse results or delays in preclinical or clinical studies;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inability to obtain additional funding;</w:t>
      </w:r>
    </w:p>
    <w:p>
      <w:pPr>
        <w:spacing w:after="0" w:line="69" w:lineRule="exact"/>
        <w:rPr>
          <w:rFonts w:ascii="Arial" w:cs="Arial" w:eastAsia="Arial" w:hAnsi="Arial"/>
          <w:sz w:val="15"/>
          <w:szCs w:val="15"/>
          <w:color w:val="auto"/>
        </w:rPr>
      </w:pPr>
    </w:p>
    <w:p>
      <w:pPr>
        <w:ind w:left="900" w:right="480" w:hanging="389"/>
        <w:spacing w:after="0" w:line="28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perception of limited market sizes or pricing for our products and product candidates;</w:t>
      </w:r>
    </w:p>
    <w:p>
      <w:pPr>
        <w:spacing w:after="0" w:line="69" w:lineRule="exact"/>
        <w:rPr>
          <w:rFonts w:ascii="Arial" w:cs="Arial" w:eastAsia="Arial" w:hAnsi="Arial"/>
          <w:sz w:val="15"/>
          <w:szCs w:val="15"/>
          <w:color w:val="auto"/>
        </w:rPr>
      </w:pPr>
    </w:p>
    <w:p>
      <w:pPr>
        <w:ind w:left="900" w:right="420" w:hanging="389"/>
        <w:spacing w:after="0" w:line="288"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decisions by our collaboration partners with respect to the indications for our product candidates in countries where they have the right to commercialize the product candidates;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decisions by our collaboration partners regarding market access and pricing in countries where they have the right to commercialize our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to successfully develop and commercialize our product candidates;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level of any revenue we receive from named patient sales;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post-marketing safety issues;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to maintain our existing strategic collaborations or enter into new collaborations;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by us or our licensors and strategic collaboration partners to prosecute, maintain, or enforce our intellectual property rights;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laws or regulations applicable to our products;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inability to obtain adequate product supply for our products and product candidates or the inability to do so at acceptable prices;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adverse regulatory decisions;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introduction of new products, services, or technologies by our competitors;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to meet or exceed financial projections we may provide to the public;</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failure to meet or exceed the financial projections of the investment community;</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perception of the pharmaceutical industry by the public, legislatures, regulators, and the investment community;</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perception of the pharmaceutical industry’s approach to drug pricing;</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announcements of significant acquisitions, strategic partnerships, joint ventures, or capital commitments by us, our strategic collaboration partners, or our competitors;</w:t>
      </w:r>
    </w:p>
    <w:p>
      <w:pPr>
        <w:spacing w:after="0" w:line="81" w:lineRule="exact"/>
        <w:rPr>
          <w:rFonts w:ascii="Arial" w:cs="Arial" w:eastAsia="Arial" w:hAnsi="Arial"/>
          <w:sz w:val="14"/>
          <w:szCs w:val="14"/>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integration and performance of any businesses we have acquired or may acquire;</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disputes or other developments relating to proprietary rights, including patents, litigation matters, and our ability to obtain patent protection for our technologies;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additions or departures of key scientific or management personnel;</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significant lawsuits, including patent or stockholder litigation;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56" w:name="page57"/>
    <w:bookmarkEnd w:id="56"/>
    <w:p>
      <w:pPr>
        <w:ind w:left="900" w:hanging="389"/>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securities or industry analysts’ reports regarding our stock, or their failure to issue such reports;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changes in the market valuations of similar companies;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general market or macroeconomic conditions;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sales of our common stock by us or our stockholders in the future; and</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trading volume of our common stock.</w:t>
      </w:r>
    </w:p>
    <w:p>
      <w:pPr>
        <w:spacing w:after="0" w:line="70" w:lineRule="exact"/>
        <w:rPr>
          <w:sz w:val="20"/>
          <w:szCs w:val="20"/>
          <w:color w:val="auto"/>
        </w:rPr>
      </w:pPr>
    </w:p>
    <w:p>
      <w:pPr>
        <w:ind w:right="340" w:firstLine="520"/>
        <w:spacing w:after="0" w:line="272" w:lineRule="auto"/>
        <w:rPr>
          <w:sz w:val="20"/>
          <w:szCs w:val="20"/>
          <w:color w:val="auto"/>
        </w:rPr>
      </w:pPr>
      <w:r>
        <w:rPr>
          <w:rFonts w:ascii="Arial" w:cs="Arial" w:eastAsia="Arial" w:hAnsi="Arial"/>
          <w:sz w:val="15"/>
          <w:szCs w:val="15"/>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5" w:lineRule="exact"/>
        <w:rPr>
          <w:sz w:val="20"/>
          <w:szCs w:val="20"/>
          <w:color w:val="auto"/>
        </w:rPr>
      </w:pPr>
    </w:p>
    <w:p>
      <w:pPr>
        <w:ind w:right="300"/>
        <w:spacing w:after="0" w:line="288"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3" w:lineRule="exact"/>
        <w:rPr>
          <w:sz w:val="20"/>
          <w:szCs w:val="20"/>
          <w:color w:val="auto"/>
        </w:rPr>
      </w:pPr>
    </w:p>
    <w:p>
      <w:pPr>
        <w:ind w:right="40" w:firstLine="520"/>
        <w:spacing w:after="0" w:line="292" w:lineRule="auto"/>
        <w:rPr>
          <w:sz w:val="20"/>
          <w:szCs w:val="20"/>
          <w:color w:val="auto"/>
        </w:rPr>
      </w:pPr>
      <w:r>
        <w:rPr>
          <w:rFonts w:ascii="Arial" w:cs="Arial" w:eastAsia="Arial" w:hAnsi="Arial"/>
          <w:sz w:val="14"/>
          <w:szCs w:val="14"/>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2" w:lineRule="exact"/>
        <w:rPr>
          <w:sz w:val="20"/>
          <w:szCs w:val="20"/>
          <w:color w:val="auto"/>
        </w:rPr>
      </w:pPr>
    </w:p>
    <w:p>
      <w:pPr>
        <w:ind w:right="380" w:firstLine="520"/>
        <w:spacing w:after="0" w:line="267" w:lineRule="auto"/>
        <w:rPr>
          <w:sz w:val="20"/>
          <w:szCs w:val="20"/>
          <w:color w:val="auto"/>
        </w:rPr>
      </w:pPr>
      <w:r>
        <w:rPr>
          <w:rFonts w:ascii="Arial" w:cs="Arial" w:eastAsia="Arial" w:hAnsi="Arial"/>
          <w:sz w:val="15"/>
          <w:szCs w:val="15"/>
          <w:color w:val="auto"/>
        </w:rPr>
        <w:t>Pursuant to our 2014 Incentive Plan, or the 2014 Plan, our management is authorized to grant stock options and other equity-based awards to our employees, directors, and consultants. At June 30, 2018, 1,915,493 shares were available for future grants under the 2014 Plan. The number of shares available for future grant under the 2014 Plan will automatically increase on January 1 of each year by the lesser of 2,500,000 shares or 4% of all shares of our capital stock outstanding as of December 31 of the prior calendar year, subject to the ability of our compensation committee to take action to reduce the size of the increase in any given year.</w:t>
      </w:r>
    </w:p>
    <w:p>
      <w:pPr>
        <w:spacing w:after="0" w:line="40" w:lineRule="exact"/>
        <w:rPr>
          <w:sz w:val="20"/>
          <w:szCs w:val="20"/>
          <w:color w:val="auto"/>
        </w:rPr>
      </w:pPr>
    </w:p>
    <w:p>
      <w:pPr>
        <w:ind w:right="100" w:firstLine="520"/>
        <w:spacing w:after="0" w:line="267" w:lineRule="auto"/>
        <w:rPr>
          <w:sz w:val="20"/>
          <w:szCs w:val="20"/>
          <w:color w:val="auto"/>
        </w:rPr>
      </w:pPr>
      <w:r>
        <w:rPr>
          <w:rFonts w:ascii="Arial" w:cs="Arial" w:eastAsia="Arial" w:hAnsi="Arial"/>
          <w:sz w:val="15"/>
          <w:szCs w:val="15"/>
          <w:color w:val="auto"/>
        </w:rPr>
        <w:t>Pursuant to our 2014 Employee Stock Purchase Plan, or 2014 ESPP, eligible employees can acquire shares of our common stock at a discount to the prevailing market price. At June 30, 2018, 2,246,823 shares were available for issuance under the 2014 ESPP. The number of shares available for issuance under the 2014 ESPP will automatically increase on January 1 of each year by the lesser of 1,200,000 shares or 1% of all shares of our capital stock outstanding as of December 31 of the prior calendar year, subject to the ability of our compensation committee to take action to reduce the size of the increase in any given year.</w:t>
      </w:r>
    </w:p>
    <w:p>
      <w:pPr>
        <w:spacing w:after="0" w:line="28" w:lineRule="exact"/>
        <w:rPr>
          <w:sz w:val="20"/>
          <w:szCs w:val="20"/>
          <w:color w:val="auto"/>
        </w:rPr>
      </w:pPr>
    </w:p>
    <w:p>
      <w:pPr>
        <w:ind w:right="120" w:firstLine="520"/>
        <w:spacing w:after="0" w:line="325" w:lineRule="auto"/>
        <w:rPr>
          <w:sz w:val="20"/>
          <w:szCs w:val="20"/>
          <w:color w:val="auto"/>
        </w:rPr>
      </w:pPr>
      <w:r>
        <w:rPr>
          <w:rFonts w:ascii="Arial" w:cs="Arial" w:eastAsia="Arial" w:hAnsi="Arial"/>
          <w:sz w:val="14"/>
          <w:szCs w:val="14"/>
          <w:color w:val="auto"/>
        </w:rPr>
        <w:t>Currently we plan to register the increased number of shares available under the 2014 Plan and the 2014 ESPP each year. If our board of directors elects to increase the number of shares available for future grant under the 2014 Plan or the 2014 ESPP, our stockholders may experience additional dilution, which could cause our stock price to fall.</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net operating loss carryforwards and certain other tax attributes may be limited.</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incurred substantial losses during our history. To the extent that we continue to generate taxable losses, unused taxable losses will, subject to certain limitations, carry</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forward to offset future taxable income, if any, until such unused losses expire. Under Sections 382 and 383 of the Internal Revenue Code of 1986, as amended, or the IRC, if a</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corporation undergoes an “ownership change,” generally defined as a greater than 50% change (by value) in its equity ownership over a three-year period, the corporation’s ability to use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its pre-change net operating loss carryforwards, or NOL carryforwards, and other pre-change tax attributes (such as research tax credits) to offset its post-change income may be limited.</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An analysis to determine limitations upon our NOL carryforwards and other pre-change tax attributes for ownership changes that have occurred previously has been performed, resulting</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 a permanent decrease of federal and state NOL carryforwards in the amount of $7.2 million and a permanent decrease in federal research tax credit carryforwards in the amount of</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$0.2 million. As a result of these decreases and others that may occur as a result of future ownership changes, our ability to use our pre-change NOL carryforwards and other tax attribute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carryforwards to offset U.S. federal taxable income and tax liabilities is limited and may become subject to even greater limitations, which could potentially accelerate or permanently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increase future federal tax liabilities for us. In addition, there may be periods during which the use of state income tax NOL carryforwards and other state tax attribute carryforwards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(such as state research tax credits) are suspended or otherwise limited, which could potentially accelerate or permanently increase future state tax liabilities for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57" w:name="page58"/>
    <w:bookmarkEnd w:id="57"/>
    <w:p>
      <w:pPr>
        <w:spacing w:after="0"/>
        <w:rPr>
          <w:sz w:val="20"/>
          <w:szCs w:val="20"/>
          <w:color w:val="auto"/>
        </w:rPr>
      </w:pPr>
      <w:r>
        <w:rPr>
          <w:rFonts w:ascii="Arial" w:cs="Arial" w:eastAsia="Arial" w:hAnsi="Arial"/>
          <w:sz w:val="15"/>
          <w:szCs w:val="15"/>
          <w:b w:val="1"/>
          <w:bCs w:val="1"/>
          <w:i w:val="1"/>
          <w:iCs w:val="1"/>
          <w:color w:val="auto"/>
        </w:rPr>
        <w:t>The recently enacted comprehensive tax reform legislation could adversely affect our business and financial condition.</w:t>
      </w:r>
    </w:p>
    <w:p>
      <w:pPr>
        <w:spacing w:after="0" w:line="81" w:lineRule="exact"/>
        <w:rPr>
          <w:sz w:val="20"/>
          <w:szCs w:val="20"/>
          <w:color w:val="auto"/>
        </w:rPr>
      </w:pPr>
    </w:p>
    <w:p>
      <w:pPr>
        <w:ind w:right="60" w:firstLine="520"/>
        <w:spacing w:after="0" w:line="280" w:lineRule="auto"/>
        <w:rPr>
          <w:sz w:val="20"/>
          <w:szCs w:val="20"/>
          <w:color w:val="auto"/>
        </w:rPr>
      </w:pPr>
      <w:r>
        <w:rPr>
          <w:rFonts w:ascii="Arial" w:cs="Arial" w:eastAsia="Arial" w:hAnsi="Arial"/>
          <w:sz w:val="14"/>
          <w:szCs w:val="14"/>
          <w:color w:val="auto"/>
        </w:rPr>
        <w:t>On December 22, 2017, the U.S. government enacted comprehensive tax legislation commonly referred to as the Tax Cuts and Jobs Act (Tax Act). The Tax Act made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determination of the benefit from (provision for) income taxes requires complex estimations, significant judgments and significant knowledge and experience concerning the applicable tax laws. Given that we are still in the transition period for the accounting for income tax effects of the Tax Act, the current assessment on deferred tax assets (liabilities) is based on the currently available information and guidance. If in the future any element of the tax reform changes the related accounting guidance for income tax, it could affect our income tax position and we may need to adjust the benefit from (provision for) income taxes accordingly.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intend to pay dividends on our common stock so any returns will be limited to the value of our stock.</w:t>
      </w:r>
    </w:p>
    <w:p>
      <w:pPr>
        <w:spacing w:after="0" w:line="70" w:lineRule="exact"/>
        <w:rPr>
          <w:sz w:val="20"/>
          <w:szCs w:val="20"/>
          <w:color w:val="auto"/>
        </w:rPr>
      </w:pPr>
    </w:p>
    <w:p>
      <w:pPr>
        <w:jc w:val="both"/>
        <w:ind w:right="120" w:firstLine="520"/>
        <w:spacing w:after="0" w:line="272" w:lineRule="auto"/>
        <w:rPr>
          <w:sz w:val="20"/>
          <w:szCs w:val="20"/>
          <w:color w:val="auto"/>
        </w:rPr>
      </w:pPr>
      <w:r>
        <w:rPr>
          <w:rFonts w:ascii="Arial" w:cs="Arial" w:eastAsia="Arial" w:hAnsi="Arial"/>
          <w:sz w:val="15"/>
          <w:szCs w:val="15"/>
          <w:color w:val="auto"/>
        </w:rPr>
        <w:t>We have never declared or paid any cash dividends on our common stock.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third-party to acquire us or increase the cost of acquiring us, even if doing so would benefit our stockholders, or remove our current management.</w:t>
      </w:r>
    </w:p>
    <w:p>
      <w:pPr>
        <w:spacing w:after="0" w:line="13" w:lineRule="exact"/>
        <w:rPr>
          <w:sz w:val="20"/>
          <w:szCs w:val="20"/>
          <w:color w:val="auto"/>
        </w:rPr>
      </w:pPr>
    </w:p>
    <w:p>
      <w:pPr>
        <w:ind w:right="100" w:firstLine="520"/>
        <w:spacing w:after="0" w:line="288" w:lineRule="auto"/>
        <w:rPr>
          <w:sz w:val="20"/>
          <w:szCs w:val="20"/>
          <w:color w:val="auto"/>
        </w:rPr>
      </w:pPr>
      <w:r>
        <w:rPr>
          <w:rFonts w:ascii="Arial" w:cs="Arial" w:eastAsia="Arial" w:hAnsi="Arial"/>
          <w:sz w:val="15"/>
          <w:szCs w:val="15"/>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3" w:lineRule="exact"/>
        <w:rPr>
          <w:sz w:val="20"/>
          <w:szCs w:val="20"/>
          <w:color w:val="auto"/>
        </w:rPr>
      </w:pPr>
    </w:p>
    <w:p>
      <w:pPr>
        <w:ind w:left="900" w:right="80" w:hanging="389"/>
        <w:spacing w:after="0" w:line="288"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authorize “blank check” preferred stock, which could be issued by our board of directors without stockholder approval and may contain voting, liquidation, dividend, and other rights superior to our common stock;</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create a classified board of directors whose members serve staggered three-year terms;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or the chairperson of our board of directors;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prohibit stockholder action by written consent;</w:t>
      </w:r>
    </w:p>
    <w:p>
      <w:pPr>
        <w:spacing w:after="0" w:line="69" w:lineRule="exact"/>
        <w:rPr>
          <w:rFonts w:ascii="Arial" w:cs="Arial" w:eastAsia="Arial" w:hAnsi="Arial"/>
          <w:sz w:val="15"/>
          <w:szCs w:val="15"/>
          <w:color w:val="auto"/>
        </w:rPr>
      </w:pPr>
    </w:p>
    <w:p>
      <w:pPr>
        <w:ind w:left="900" w:right="180" w:hanging="389"/>
        <w:spacing w:after="0" w:line="288"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establish an advance notice procedure for stockholder approvals to be brought before an annual meeting of our stockholders, including proposed nominations of persons for election to our board of directors;</w:t>
      </w:r>
    </w:p>
    <w:p>
      <w:pPr>
        <w:spacing w:after="0" w:line="12" w:lineRule="exact"/>
        <w:rPr>
          <w:rFonts w:ascii="Arial" w:cs="Arial" w:eastAsia="Arial" w:hAnsi="Arial"/>
          <w:sz w:val="15"/>
          <w:szCs w:val="15"/>
          <w:color w:val="auto"/>
        </w:rPr>
      </w:pPr>
    </w:p>
    <w:p>
      <w:pPr>
        <w:ind w:left="900" w:hanging="389"/>
        <w:spacing w:after="0"/>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provide that our directors may be removed only for cause;</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provide that vacancies on our board of directors may be filled only by a resolution adopted by the board of directors;</w:t>
      </w:r>
    </w:p>
    <w:p>
      <w:pPr>
        <w:spacing w:after="0" w:line="69" w:lineRule="exact"/>
        <w:rPr>
          <w:rFonts w:ascii="Arial" w:cs="Arial" w:eastAsia="Arial" w:hAnsi="Arial"/>
          <w:sz w:val="15"/>
          <w:szCs w:val="15"/>
          <w:color w:val="auto"/>
        </w:rPr>
      </w:pPr>
    </w:p>
    <w:p>
      <w:pPr>
        <w:ind w:left="900" w:hanging="389"/>
        <w:spacing w:after="0"/>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expressly authorize our board of directors to modify, alter or repeal our amended and restated by-laws; and</w:t>
      </w:r>
    </w:p>
    <w:p>
      <w:pPr>
        <w:spacing w:after="0" w:line="69" w:lineRule="exact"/>
        <w:rPr>
          <w:rFonts w:ascii="Arial" w:cs="Arial" w:eastAsia="Arial" w:hAnsi="Arial"/>
          <w:sz w:val="15"/>
          <w:szCs w:val="15"/>
          <w:color w:val="auto"/>
        </w:rPr>
      </w:pPr>
    </w:p>
    <w:p>
      <w:pPr>
        <w:ind w:left="900" w:right="40" w:hanging="389"/>
        <w:spacing w:after="0" w:line="288"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require holders of 75% of our outstanding common stock to amend specified provisions of our amended and restated certificate of incorporation and amended and restated by-laws.</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These provisions, alone or together, could delay, deter, or prevent hostile takeovers and changes in control or changes in our management.</w:t>
      </w:r>
    </w:p>
    <w:p>
      <w:pPr>
        <w:spacing w:after="0" w:line="81" w:lineRule="exact"/>
        <w:rPr>
          <w:sz w:val="20"/>
          <w:szCs w:val="20"/>
          <w:color w:val="auto"/>
        </w:rPr>
      </w:pPr>
    </w:p>
    <w:p>
      <w:pPr>
        <w:jc w:val="both"/>
        <w:ind w:right="220" w:firstLine="520"/>
        <w:spacing w:after="0" w:line="272" w:lineRule="auto"/>
        <w:rPr>
          <w:sz w:val="20"/>
          <w:szCs w:val="20"/>
          <w:color w:val="auto"/>
        </w:rPr>
      </w:pPr>
      <w:r>
        <w:rPr>
          <w:rFonts w:ascii="Arial" w:cs="Arial" w:eastAsia="Arial" w:hAnsi="Arial"/>
          <w:sz w:val="15"/>
          <w:szCs w:val="15"/>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spacing w:after="0" w:line="25" w:lineRule="exact"/>
        <w:rPr>
          <w:sz w:val="20"/>
          <w:szCs w:val="20"/>
          <w:color w:val="auto"/>
        </w:rPr>
      </w:pPr>
    </w:p>
    <w:p>
      <w:pPr>
        <w:jc w:val="both"/>
        <w:ind w:right="80" w:firstLine="520"/>
        <w:spacing w:after="0" w:line="272" w:lineRule="auto"/>
        <w:rPr>
          <w:sz w:val="20"/>
          <w:szCs w:val="20"/>
          <w:color w:val="auto"/>
        </w:rPr>
      </w:pPr>
      <w:r>
        <w:rPr>
          <w:rFonts w:ascii="Arial" w:cs="Arial" w:eastAsia="Arial" w:hAnsi="Arial"/>
          <w:sz w:val="15"/>
          <w:szCs w:val="15"/>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60325</wp:posOffset>
            </wp:positionV>
            <wp:extent cx="730631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58" w:name="page59"/>
    <w:bookmarkEnd w:id="58"/>
    <w:p>
      <w:pPr>
        <w:ind w:left="8" w:right="280"/>
        <w:spacing w:after="0" w:line="351"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1" w:lineRule="exact"/>
        <w:rPr>
          <w:sz w:val="20"/>
          <w:szCs w:val="20"/>
          <w:color w:val="auto"/>
        </w:rPr>
      </w:pPr>
    </w:p>
    <w:p>
      <w:pPr>
        <w:jc w:val="both"/>
        <w:ind w:left="8" w:right="80" w:firstLine="520"/>
        <w:spacing w:after="0" w:line="304" w:lineRule="auto"/>
        <w:rPr>
          <w:sz w:val="20"/>
          <w:szCs w:val="20"/>
          <w:color w:val="auto"/>
        </w:rPr>
      </w:pPr>
      <w:r>
        <w:rPr>
          <w:rFonts w:ascii="Arial" w:cs="Arial" w:eastAsia="Arial" w:hAnsi="Arial"/>
          <w:sz w:val="13"/>
          <w:szCs w:val="13"/>
          <w:color w:val="auto"/>
        </w:rPr>
        <w:t>Our amended and restated certificate of incorporation provides that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w:t>
      </w:r>
    </w:p>
    <w:p>
      <w:pPr>
        <w:spacing w:after="0" w:line="1" w:lineRule="exact"/>
        <w:rPr>
          <w:sz w:val="20"/>
          <w:szCs w:val="20"/>
          <w:color w:val="auto"/>
        </w:rPr>
      </w:pPr>
    </w:p>
    <w:p>
      <w:pPr>
        <w:ind w:left="8" w:hanging="8"/>
        <w:spacing w:after="0" w:line="283" w:lineRule="auto"/>
        <w:tabs>
          <w:tab w:leader="none" w:pos="226"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b w:val="1"/>
          <w:bCs w:val="1"/>
          <w:i w:val="1"/>
          <w:iCs w:val="1"/>
          <w:color w:val="auto"/>
        </w:rPr>
        <w:t>Unregistered Sales of Equity Securities and Use of Proceeds</w:t>
      </w:r>
    </w:p>
    <w:p>
      <w:pPr>
        <w:spacing w:after="0" w:line="74" w:lineRule="exact"/>
        <w:rPr>
          <w:sz w:val="20"/>
          <w:szCs w:val="20"/>
          <w:color w:val="auto"/>
        </w:rPr>
      </w:pPr>
    </w:p>
    <w:p>
      <w:pPr>
        <w:ind w:left="528"/>
        <w:spacing w:after="0"/>
        <w:rPr>
          <w:sz w:val="20"/>
          <w:szCs w:val="20"/>
          <w:color w:val="auto"/>
        </w:rPr>
      </w:pPr>
      <w:r>
        <w:rPr>
          <w:rFonts w:ascii="Arial" w:cs="Arial" w:eastAsia="Arial" w:hAnsi="Arial"/>
          <w:sz w:val="15"/>
          <w:szCs w:val="15"/>
          <w:color w:val="auto"/>
        </w:rPr>
        <w:t>None.</w:t>
      </w:r>
    </w:p>
    <w:p>
      <w:pPr>
        <w:spacing w:after="0" w:line="21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Item 3. </w:t>
      </w:r>
      <w:r>
        <w:rPr>
          <w:rFonts w:ascii="Arial" w:cs="Arial" w:eastAsia="Arial" w:hAnsi="Arial"/>
          <w:sz w:val="15"/>
          <w:szCs w:val="15"/>
          <w:b w:val="1"/>
          <w:bCs w:val="1"/>
          <w:i w:val="1"/>
          <w:iCs w:val="1"/>
          <w:color w:val="auto"/>
        </w:rPr>
        <w:t>Defaults Upon Senior Securities</w:t>
      </w:r>
    </w:p>
    <w:p>
      <w:pPr>
        <w:spacing w:after="0" w:line="74" w:lineRule="exact"/>
        <w:rPr>
          <w:sz w:val="20"/>
          <w:szCs w:val="20"/>
          <w:color w:val="auto"/>
        </w:rPr>
      </w:pPr>
    </w:p>
    <w:p>
      <w:pPr>
        <w:ind w:left="528"/>
        <w:spacing w:after="0"/>
        <w:rPr>
          <w:sz w:val="20"/>
          <w:szCs w:val="20"/>
          <w:color w:val="auto"/>
        </w:rPr>
      </w:pPr>
      <w:r>
        <w:rPr>
          <w:rFonts w:ascii="Arial" w:cs="Arial" w:eastAsia="Arial" w:hAnsi="Arial"/>
          <w:sz w:val="15"/>
          <w:szCs w:val="15"/>
          <w:color w:val="auto"/>
        </w:rPr>
        <w:t>None.</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Mine Safety Disclosures</w:t>
      </w:r>
    </w:p>
    <w:p>
      <w:pPr>
        <w:spacing w:after="0" w:line="85" w:lineRule="exact"/>
        <w:rPr>
          <w:sz w:val="20"/>
          <w:szCs w:val="20"/>
          <w:color w:val="auto"/>
        </w:rPr>
      </w:pPr>
    </w:p>
    <w:p>
      <w:pPr>
        <w:ind w:left="528"/>
        <w:spacing w:after="0"/>
        <w:rPr>
          <w:sz w:val="20"/>
          <w:szCs w:val="20"/>
          <w:color w:val="auto"/>
        </w:rPr>
      </w:pPr>
      <w:r>
        <w:rPr>
          <w:rFonts w:ascii="Arial" w:cs="Arial" w:eastAsia="Arial" w:hAnsi="Arial"/>
          <w:sz w:val="15"/>
          <w:szCs w:val="15"/>
          <w:color w:val="auto"/>
        </w:rPr>
        <w:t>Not applicable.</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 xml:space="preserve">Item 5. </w:t>
      </w:r>
      <w:r>
        <w:rPr>
          <w:rFonts w:ascii="Arial" w:cs="Arial" w:eastAsia="Arial" w:hAnsi="Arial"/>
          <w:sz w:val="15"/>
          <w:szCs w:val="15"/>
          <w:b w:val="1"/>
          <w:bCs w:val="1"/>
          <w:i w:val="1"/>
          <w:iCs w:val="1"/>
          <w:color w:val="auto"/>
        </w:rPr>
        <w:t>Other Information</w:t>
      </w:r>
    </w:p>
    <w:p>
      <w:pPr>
        <w:spacing w:after="0" w:line="74" w:lineRule="exact"/>
        <w:rPr>
          <w:sz w:val="20"/>
          <w:szCs w:val="20"/>
          <w:color w:val="auto"/>
        </w:rPr>
      </w:pPr>
    </w:p>
    <w:p>
      <w:pPr>
        <w:ind w:left="528"/>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631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388"/>
          </w:cols>
          <w:pgMar w:left="232" w:top="325" w:right="279" w:bottom="1440" w:gutter="0" w:footer="0" w:header="0"/>
        </w:sectPr>
      </w:pPr>
    </w:p>
    <w:bookmarkStart w:id="59" w:name="page60"/>
    <w:bookmarkEnd w:id="59"/>
    <w:p>
      <w:pPr>
        <w:ind w:left="8"/>
        <w:spacing w:after="0"/>
        <w:rPr>
          <w:sz w:val="20"/>
          <w:szCs w:val="20"/>
          <w:color w:val="auto"/>
        </w:rPr>
      </w:pPr>
      <w:r>
        <w:rPr>
          <w:rFonts w:ascii="Arial" w:cs="Arial" w:eastAsia="Arial" w:hAnsi="Arial"/>
          <w:sz w:val="15"/>
          <w:szCs w:val="15"/>
          <w:b w:val="1"/>
          <w:bCs w:val="1"/>
          <w:color w:val="auto"/>
        </w:rPr>
        <w:t xml:space="preserve">Item 6. </w:t>
      </w:r>
      <w:r>
        <w:rPr>
          <w:rFonts w:ascii="Arial" w:cs="Arial" w:eastAsia="Arial" w:hAnsi="Arial"/>
          <w:sz w:val="15"/>
          <w:szCs w:val="15"/>
          <w:b w:val="1"/>
          <w:bCs w:val="1"/>
          <w:i w:val="1"/>
          <w:iCs w:val="1"/>
          <w:color w:val="auto"/>
        </w:rPr>
        <w:t>Exhibits</w:t>
      </w:r>
    </w:p>
    <w:p>
      <w:pPr>
        <w:spacing w:after="0" w:line="222"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20" w:type="dxa"/>
            <w:vAlign w:val="bottom"/>
          </w:tcPr>
          <w:p>
            <w:pPr>
              <w:ind w:left="220"/>
              <w:spacing w:after="0"/>
              <w:rPr>
                <w:sz w:val="20"/>
                <w:szCs w:val="20"/>
                <w:color w:val="auto"/>
              </w:rPr>
            </w:pPr>
            <w:r>
              <w:rPr>
                <w:rFonts w:ascii="Arial" w:cs="Arial" w:eastAsia="Arial" w:hAnsi="Arial"/>
                <w:sz w:val="14"/>
                <w:szCs w:val="14"/>
                <w:b w:val="1"/>
                <w:bCs w:val="1"/>
                <w:color w:val="auto"/>
                <w:w w:val="94"/>
              </w:rPr>
              <w:t>Incorporated by Reference</w:t>
            </w:r>
          </w:p>
        </w:tc>
        <w:tc>
          <w:tcPr>
            <w:tcW w:w="920" w:type="dxa"/>
            <w:vAlign w:val="bottom"/>
          </w:tcPr>
          <w:p>
            <w:pPr>
              <w:spacing w:after="0"/>
              <w:rPr>
                <w:sz w:val="15"/>
                <w:szCs w:val="15"/>
                <w:color w:val="auto"/>
              </w:rPr>
            </w:pPr>
          </w:p>
        </w:tc>
        <w:tc>
          <w:tcPr>
            <w:tcW w:w="1420" w:type="dxa"/>
            <w:vAlign w:val="bottom"/>
            <w:vMerge w:val="restart"/>
          </w:tcPr>
          <w:p>
            <w:pPr>
              <w:jc w:val="center"/>
              <w:ind w:left="251"/>
              <w:spacing w:after="0"/>
              <w:rPr>
                <w:sz w:val="20"/>
                <w:szCs w:val="20"/>
                <w:color w:val="auto"/>
              </w:rPr>
            </w:pPr>
            <w:r>
              <w:rPr>
                <w:rFonts w:ascii="Arial" w:cs="Arial" w:eastAsia="Arial" w:hAnsi="Arial"/>
                <w:sz w:val="14"/>
                <w:szCs w:val="14"/>
                <w:b w:val="1"/>
                <w:bCs w:val="1"/>
                <w:color w:val="auto"/>
                <w:w w:val="90"/>
              </w:rPr>
              <w:t>Furnished or Filed</w:t>
            </w:r>
          </w:p>
        </w:tc>
        <w:tc>
          <w:tcPr>
            <w:tcW w:w="0" w:type="dxa"/>
            <w:vAlign w:val="bottom"/>
          </w:tcPr>
          <w:p>
            <w:pPr>
              <w:spacing w:after="0"/>
              <w:rPr>
                <w:sz w:val="1"/>
                <w:szCs w:val="1"/>
                <w:color w:val="auto"/>
              </w:rPr>
            </w:pPr>
          </w:p>
        </w:tc>
      </w:tr>
      <w:tr>
        <w:trPr>
          <w:trHeight w:val="167"/>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80" w:type="dxa"/>
            <w:vAlign w:val="bottom"/>
          </w:tcPr>
          <w:p>
            <w:pPr>
              <w:ind w:left="300"/>
              <w:spacing w:after="0"/>
              <w:rPr>
                <w:sz w:val="20"/>
                <w:szCs w:val="20"/>
                <w:color w:val="auto"/>
              </w:rPr>
            </w:pPr>
            <w:r>
              <w:rPr>
                <w:rFonts w:ascii="Arial" w:cs="Arial" w:eastAsia="Arial" w:hAnsi="Arial"/>
                <w:sz w:val="14"/>
                <w:szCs w:val="14"/>
                <w:b w:val="1"/>
                <w:bCs w:val="1"/>
                <w:color w:val="auto"/>
              </w:rPr>
              <w:t>Exhibit Number</w:t>
            </w:r>
          </w:p>
        </w:tc>
        <w:tc>
          <w:tcPr>
            <w:tcW w:w="1220" w:type="dxa"/>
            <w:vAlign w:val="bottom"/>
          </w:tcPr>
          <w:p>
            <w:pPr>
              <w:spacing w:after="0"/>
              <w:rPr>
                <w:sz w:val="15"/>
                <w:szCs w:val="15"/>
                <w:color w:val="auto"/>
              </w:rPr>
            </w:pPr>
          </w:p>
        </w:tc>
        <w:tc>
          <w:tcPr>
            <w:tcW w:w="3140" w:type="dxa"/>
            <w:vAlign w:val="bottom"/>
            <w:gridSpan w:val="14"/>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tcPr>
          <w:p>
            <w:pPr>
              <w:jc w:val="center"/>
              <w:ind w:left="51"/>
              <w:spacing w:after="0"/>
              <w:rPr>
                <w:sz w:val="20"/>
                <w:szCs w:val="20"/>
                <w:color w:val="auto"/>
              </w:rPr>
            </w:pPr>
            <w:r>
              <w:rPr>
                <w:rFonts w:ascii="Arial" w:cs="Arial" w:eastAsia="Arial" w:hAnsi="Arial"/>
                <w:sz w:val="14"/>
                <w:szCs w:val="14"/>
                <w:b w:val="1"/>
                <w:bCs w:val="1"/>
                <w:color w:val="auto"/>
                <w:w w:val="97"/>
              </w:rPr>
              <w:t>Form</w:t>
            </w:r>
          </w:p>
        </w:tc>
        <w:tc>
          <w:tcPr>
            <w:tcW w:w="1920" w:type="dxa"/>
            <w:vAlign w:val="bottom"/>
          </w:tcPr>
          <w:p>
            <w:pPr>
              <w:jc w:val="center"/>
              <w:ind w:right="91"/>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Pr>
          <w:p>
            <w:pPr>
              <w:jc w:val="center"/>
              <w:ind w:right="151"/>
              <w:spacing w:after="0"/>
              <w:rPr>
                <w:sz w:val="20"/>
                <w:szCs w:val="20"/>
                <w:color w:val="auto"/>
              </w:rPr>
            </w:pPr>
            <w:r>
              <w:rPr>
                <w:rFonts w:ascii="Arial" w:cs="Arial" w:eastAsia="Arial" w:hAnsi="Arial"/>
                <w:sz w:val="14"/>
                <w:szCs w:val="14"/>
                <w:b w:val="1"/>
                <w:bCs w:val="1"/>
                <w:color w:val="auto"/>
                <w:w w:val="94"/>
              </w:rPr>
              <w:t>Number</w:t>
            </w:r>
          </w:p>
        </w:tc>
        <w:tc>
          <w:tcPr>
            <w:tcW w:w="1420" w:type="dxa"/>
            <w:vAlign w:val="bottom"/>
          </w:tcPr>
          <w:p>
            <w:pPr>
              <w:jc w:val="center"/>
              <w:ind w:left="251"/>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147"/>
        </w:trPr>
        <w:tc>
          <w:tcPr>
            <w:tcW w:w="1880" w:type="dxa"/>
            <w:vAlign w:val="bottom"/>
          </w:tcPr>
          <w:p>
            <w:pPr>
              <w:spacing w:after="0" w:line="147" w:lineRule="exact"/>
              <w:rPr>
                <w:sz w:val="20"/>
                <w:szCs w:val="20"/>
                <w:color w:val="auto"/>
              </w:rPr>
            </w:pPr>
            <w:r>
              <w:rPr>
                <w:rFonts w:ascii="Arial" w:cs="Arial" w:eastAsia="Arial" w:hAnsi="Arial"/>
                <w:sz w:val="14"/>
                <w:szCs w:val="14"/>
                <w:color w:val="auto"/>
              </w:rPr>
              <w:t>3.1</w:t>
            </w:r>
          </w:p>
        </w:tc>
        <w:tc>
          <w:tcPr>
            <w:tcW w:w="4360" w:type="dxa"/>
            <w:vAlign w:val="bottom"/>
            <w:gridSpan w:val="15"/>
          </w:tcPr>
          <w:p>
            <w:pPr>
              <w:spacing w:after="0" w:line="147" w:lineRule="exact"/>
              <w:rPr>
                <w:rFonts w:ascii="Arial" w:cs="Arial" w:eastAsia="Arial" w:hAnsi="Arial"/>
                <w:sz w:val="14"/>
                <w:szCs w:val="14"/>
                <w:color w:val="0000EE"/>
              </w:rPr>
            </w:pPr>
            <w:hyperlink r:id="rId81">
              <w:r>
                <w:rPr>
                  <w:rFonts w:ascii="Arial" w:cs="Arial" w:eastAsia="Arial" w:hAnsi="Arial"/>
                  <w:sz w:val="14"/>
                  <w:szCs w:val="14"/>
                  <w:color w:val="0000EE"/>
                </w:rPr>
                <w:t>Amended and Restated Certificate of Incorporation</w:t>
              </w:r>
            </w:hyperlink>
          </w:p>
        </w:tc>
        <w:tc>
          <w:tcPr>
            <w:tcW w:w="860" w:type="dxa"/>
            <w:vAlign w:val="bottom"/>
          </w:tcPr>
          <w:p>
            <w:pPr>
              <w:jc w:val="center"/>
              <w:ind w:left="51"/>
              <w:spacing w:after="0" w:line="147" w:lineRule="exact"/>
              <w:rPr>
                <w:sz w:val="20"/>
                <w:szCs w:val="20"/>
                <w:color w:val="auto"/>
              </w:rPr>
            </w:pPr>
            <w:r>
              <w:rPr>
                <w:rFonts w:ascii="Arial" w:cs="Arial" w:eastAsia="Arial" w:hAnsi="Arial"/>
                <w:sz w:val="14"/>
                <w:szCs w:val="14"/>
                <w:color w:val="auto"/>
              </w:rPr>
              <w:t>8-K</w:t>
            </w:r>
          </w:p>
        </w:tc>
        <w:tc>
          <w:tcPr>
            <w:tcW w:w="1920" w:type="dxa"/>
            <w:vAlign w:val="bottom"/>
          </w:tcPr>
          <w:p>
            <w:pPr>
              <w:jc w:val="center"/>
              <w:ind w:right="71"/>
              <w:spacing w:after="0" w:line="147" w:lineRule="exact"/>
              <w:rPr>
                <w:sz w:val="20"/>
                <w:szCs w:val="20"/>
                <w:color w:val="auto"/>
              </w:rPr>
            </w:pPr>
            <w:r>
              <w:rPr>
                <w:rFonts w:ascii="Arial" w:cs="Arial" w:eastAsia="Arial" w:hAnsi="Arial"/>
                <w:sz w:val="14"/>
                <w:szCs w:val="14"/>
                <w:color w:val="auto"/>
                <w:w w:val="91"/>
              </w:rPr>
              <w:t>2/5/2014</w:t>
            </w:r>
          </w:p>
        </w:tc>
        <w:tc>
          <w:tcPr>
            <w:tcW w:w="920" w:type="dxa"/>
            <w:vAlign w:val="bottom"/>
          </w:tcPr>
          <w:p>
            <w:pPr>
              <w:jc w:val="center"/>
              <w:ind w:right="151"/>
              <w:spacing w:after="0" w:line="147" w:lineRule="exact"/>
              <w:rPr>
                <w:sz w:val="20"/>
                <w:szCs w:val="20"/>
                <w:color w:val="auto"/>
              </w:rPr>
            </w:pPr>
            <w:r>
              <w:rPr>
                <w:rFonts w:ascii="Arial" w:cs="Arial" w:eastAsia="Arial" w:hAnsi="Arial"/>
                <w:sz w:val="14"/>
                <w:szCs w:val="14"/>
                <w:color w:val="auto"/>
                <w:w w:val="92"/>
              </w:rPr>
              <w:t>3.1</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color w:val="auto"/>
              </w:rPr>
              <w:t>3.2</w:t>
            </w:r>
          </w:p>
        </w:tc>
        <w:tc>
          <w:tcPr>
            <w:tcW w:w="1740" w:type="dxa"/>
            <w:vAlign w:val="bottom"/>
            <w:tcBorders>
              <w:top w:val="single" w:sz="8" w:color="0000EE"/>
              <w:bottom w:val="single" w:sz="8" w:color="0000EE"/>
            </w:tcBorders>
            <w:gridSpan w:val="2"/>
          </w:tcPr>
          <w:p>
            <w:pPr>
              <w:spacing w:after="0" w:line="153" w:lineRule="exact"/>
              <w:rPr>
                <w:rFonts w:ascii="Arial" w:cs="Arial" w:eastAsia="Arial" w:hAnsi="Arial"/>
                <w:sz w:val="14"/>
                <w:szCs w:val="14"/>
                <w:color w:val="0000EE"/>
                <w:w w:val="88"/>
              </w:rPr>
            </w:pPr>
            <w:hyperlink r:id="rId82">
              <w:r>
                <w:rPr>
                  <w:rFonts w:ascii="Arial" w:cs="Arial" w:eastAsia="Arial" w:hAnsi="Arial"/>
                  <w:sz w:val="14"/>
                  <w:szCs w:val="14"/>
                  <w:color w:val="0000EE"/>
                  <w:w w:val="88"/>
                </w:rPr>
                <w:t>Amended and Restated Bylaws</w:t>
              </w:r>
            </w:hyperlink>
          </w:p>
        </w:tc>
        <w:tc>
          <w:tcPr>
            <w:tcW w:w="1100" w:type="dxa"/>
            <w:vAlign w:val="bottom"/>
            <w:tcBorders>
              <w:top w:val="single" w:sz="8" w:color="0000EE"/>
            </w:tcBorders>
            <w:gridSpan w:val="3"/>
          </w:tcPr>
          <w:p>
            <w:pPr>
              <w:spacing w:after="0"/>
              <w:rPr>
                <w:sz w:val="13"/>
                <w:szCs w:val="13"/>
                <w:color w:val="auto"/>
              </w:rPr>
            </w:pPr>
          </w:p>
        </w:tc>
        <w:tc>
          <w:tcPr>
            <w:tcW w:w="1520" w:type="dxa"/>
            <w:vAlign w:val="bottom"/>
            <w:gridSpan w:val="10"/>
          </w:tcPr>
          <w:p>
            <w:pPr>
              <w:spacing w:after="0"/>
              <w:rPr>
                <w:sz w:val="13"/>
                <w:szCs w:val="13"/>
                <w:color w:val="auto"/>
              </w:rPr>
            </w:pPr>
          </w:p>
        </w:tc>
        <w:tc>
          <w:tcPr>
            <w:tcW w:w="860" w:type="dxa"/>
            <w:vAlign w:val="bottom"/>
          </w:tcPr>
          <w:p>
            <w:pPr>
              <w:jc w:val="center"/>
              <w:ind w:left="51"/>
              <w:spacing w:after="0" w:line="153" w:lineRule="exact"/>
              <w:rPr>
                <w:sz w:val="20"/>
                <w:szCs w:val="20"/>
                <w:color w:val="auto"/>
              </w:rPr>
            </w:pPr>
            <w:r>
              <w:rPr>
                <w:rFonts w:ascii="Arial" w:cs="Arial" w:eastAsia="Arial" w:hAnsi="Arial"/>
                <w:sz w:val="14"/>
                <w:szCs w:val="14"/>
                <w:color w:val="auto"/>
              </w:rPr>
              <w:t>8-K</w:t>
            </w:r>
          </w:p>
        </w:tc>
        <w:tc>
          <w:tcPr>
            <w:tcW w:w="1920" w:type="dxa"/>
            <w:vAlign w:val="bottom"/>
          </w:tcPr>
          <w:p>
            <w:pPr>
              <w:jc w:val="center"/>
              <w:ind w:right="71"/>
              <w:spacing w:after="0" w:line="153" w:lineRule="exact"/>
              <w:rPr>
                <w:sz w:val="20"/>
                <w:szCs w:val="20"/>
                <w:color w:val="auto"/>
              </w:rPr>
            </w:pPr>
            <w:r>
              <w:rPr>
                <w:rFonts w:ascii="Arial" w:cs="Arial" w:eastAsia="Arial" w:hAnsi="Arial"/>
                <w:sz w:val="14"/>
                <w:szCs w:val="14"/>
                <w:color w:val="auto"/>
                <w:w w:val="91"/>
              </w:rPr>
              <w:t>2/5/2014</w:t>
            </w:r>
          </w:p>
        </w:tc>
        <w:tc>
          <w:tcPr>
            <w:tcW w:w="920" w:type="dxa"/>
            <w:vAlign w:val="bottom"/>
          </w:tcPr>
          <w:p>
            <w:pPr>
              <w:jc w:val="center"/>
              <w:ind w:right="151"/>
              <w:spacing w:after="0" w:line="153" w:lineRule="exact"/>
              <w:rPr>
                <w:sz w:val="20"/>
                <w:szCs w:val="20"/>
                <w:color w:val="auto"/>
              </w:rPr>
            </w:pPr>
            <w:r>
              <w:rPr>
                <w:rFonts w:ascii="Arial" w:cs="Arial" w:eastAsia="Arial" w:hAnsi="Arial"/>
                <w:sz w:val="14"/>
                <w:szCs w:val="14"/>
                <w:color w:val="auto"/>
                <w:w w:val="92"/>
              </w:rPr>
              <w:t>3.2</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line="133" w:lineRule="exact"/>
              <w:rPr>
                <w:sz w:val="20"/>
                <w:szCs w:val="20"/>
                <w:color w:val="auto"/>
              </w:rPr>
            </w:pPr>
            <w:r>
              <w:rPr>
                <w:rFonts w:ascii="Arial" w:cs="Arial" w:eastAsia="Arial" w:hAnsi="Arial"/>
                <w:sz w:val="14"/>
                <w:szCs w:val="14"/>
                <w:color w:val="auto"/>
              </w:rPr>
              <w:t>10.1</w:t>
            </w:r>
            <w:r>
              <w:rPr>
                <w:rFonts w:ascii="Arial" w:cs="Arial" w:eastAsia="Arial" w:hAnsi="Arial"/>
                <w:sz w:val="15"/>
                <w:szCs w:val="15"/>
                <w:color w:val="auto"/>
              </w:rPr>
              <w:t>§</w:t>
            </w:r>
          </w:p>
        </w:tc>
        <w:tc>
          <w:tcPr>
            <w:tcW w:w="4020" w:type="dxa"/>
            <w:vAlign w:val="bottom"/>
            <w:tcBorders>
              <w:bottom w:val="single" w:sz="8" w:color="0000EE"/>
            </w:tcBorders>
            <w:gridSpan w:val="14"/>
          </w:tcPr>
          <w:p>
            <w:pPr>
              <w:spacing w:after="0" w:line="141" w:lineRule="exact"/>
              <w:rPr>
                <w:rFonts w:ascii="Arial" w:cs="Arial" w:eastAsia="Arial" w:hAnsi="Arial"/>
                <w:sz w:val="14"/>
                <w:szCs w:val="14"/>
                <w:color w:val="0000EE"/>
                <w:w w:val="89"/>
              </w:rPr>
            </w:pPr>
            <w:hyperlink w:anchor="page62">
              <w:r>
                <w:rPr>
                  <w:rFonts w:ascii="Arial" w:cs="Arial" w:eastAsia="Arial" w:hAnsi="Arial"/>
                  <w:sz w:val="14"/>
                  <w:szCs w:val="14"/>
                  <w:color w:val="0000EE"/>
                  <w:w w:val="89"/>
                </w:rPr>
                <w:t>Amendment No. 5 to Collaboration and License Agreement, effective as</w:t>
              </w:r>
            </w:hyperlink>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jc w:val="center"/>
              <w:ind w:left="251"/>
              <w:spacing w:after="0" w:line="141"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3960" w:type="dxa"/>
            <w:vAlign w:val="bottom"/>
            <w:tcBorders>
              <w:bottom w:val="single" w:sz="8" w:color="0000EE"/>
            </w:tcBorders>
            <w:gridSpan w:val="13"/>
          </w:tcPr>
          <w:p>
            <w:pPr>
              <w:spacing w:after="0" w:line="153" w:lineRule="exact"/>
              <w:rPr>
                <w:rFonts w:ascii="Arial" w:cs="Arial" w:eastAsia="Arial" w:hAnsi="Arial"/>
                <w:sz w:val="14"/>
                <w:szCs w:val="14"/>
                <w:color w:val="0000EE"/>
                <w:w w:val="90"/>
              </w:rPr>
            </w:pPr>
            <w:hyperlink w:anchor="page62">
              <w:r>
                <w:rPr>
                  <w:rFonts w:ascii="Arial" w:cs="Arial" w:eastAsia="Arial" w:hAnsi="Arial"/>
                  <w:sz w:val="14"/>
                  <w:szCs w:val="14"/>
                  <w:color w:val="0000EE"/>
                  <w:w w:val="90"/>
                </w:rPr>
                <w:t>of April 30, 2018, between Ultragenyx Pharmaceutical Inc. and Kyowa</w:t>
              </w:r>
            </w:hyperlink>
          </w:p>
        </w:tc>
        <w:tc>
          <w:tcPr>
            <w:tcW w:w="4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4360" w:type="dxa"/>
            <w:vAlign w:val="bottom"/>
            <w:gridSpan w:val="15"/>
          </w:tcPr>
          <w:p>
            <w:pPr>
              <w:spacing w:after="0" w:line="153" w:lineRule="exact"/>
              <w:rPr>
                <w:rFonts w:ascii="Arial" w:cs="Arial" w:eastAsia="Arial" w:hAnsi="Arial"/>
                <w:sz w:val="14"/>
                <w:szCs w:val="14"/>
                <w:color w:val="0000EE"/>
              </w:rPr>
            </w:pPr>
            <w:hyperlink w:anchor="page62">
              <w:r>
                <w:rPr>
                  <w:rFonts w:ascii="Arial" w:cs="Arial" w:eastAsia="Arial" w:hAnsi="Arial"/>
                  <w:sz w:val="14"/>
                  <w:szCs w:val="14"/>
                  <w:color w:val="0000EE"/>
                </w:rPr>
                <w:t>Hakko Kirin Co., Ltd.</w:t>
              </w:r>
            </w:hyperlink>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color w:val="auto"/>
              </w:rPr>
              <w:t>10.2</w:t>
            </w:r>
          </w:p>
        </w:tc>
        <w:tc>
          <w:tcPr>
            <w:tcW w:w="4360" w:type="dxa"/>
            <w:vAlign w:val="bottom"/>
            <w:gridSpan w:val="15"/>
          </w:tcPr>
          <w:p>
            <w:pPr>
              <w:spacing w:after="0" w:line="153" w:lineRule="exact"/>
              <w:rPr>
                <w:rFonts w:ascii="Arial" w:cs="Arial" w:eastAsia="Arial" w:hAnsi="Arial"/>
                <w:sz w:val="14"/>
                <w:szCs w:val="14"/>
                <w:color w:val="0000EE"/>
              </w:rPr>
            </w:pPr>
            <w:hyperlink w:anchor="page66">
              <w:r>
                <w:rPr>
                  <w:rFonts w:ascii="Arial" w:cs="Arial" w:eastAsia="Arial" w:hAnsi="Arial"/>
                  <w:sz w:val="14"/>
                  <w:szCs w:val="14"/>
                  <w:color w:val="0000EE"/>
                </w:rPr>
                <w:t>Addendum 4 to Standard Lease, effective April 1, 2018, between</w:t>
              </w:r>
            </w:hyperlink>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jc w:val="center"/>
              <w:ind w:left="251"/>
              <w:spacing w:after="0" w:line="153"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3500" w:type="dxa"/>
            <w:vAlign w:val="bottom"/>
            <w:tcBorders>
              <w:top w:val="single" w:sz="8" w:color="0000EE"/>
              <w:bottom w:val="single" w:sz="8" w:color="0000EE"/>
            </w:tcBorders>
            <w:gridSpan w:val="6"/>
          </w:tcPr>
          <w:p>
            <w:pPr>
              <w:spacing w:after="0" w:line="153" w:lineRule="exact"/>
              <w:rPr>
                <w:rFonts w:ascii="Arial" w:cs="Arial" w:eastAsia="Arial" w:hAnsi="Arial"/>
                <w:sz w:val="14"/>
                <w:szCs w:val="14"/>
                <w:color w:val="0000EE"/>
                <w:w w:val="90"/>
              </w:rPr>
            </w:pPr>
            <w:hyperlink w:anchor="page66">
              <w:r>
                <w:rPr>
                  <w:rFonts w:ascii="Arial" w:cs="Arial" w:eastAsia="Arial" w:hAnsi="Arial"/>
                  <w:sz w:val="14"/>
                  <w:szCs w:val="14"/>
                  <w:color w:val="0000EE"/>
                  <w:w w:val="90"/>
                </w:rPr>
                <w:t>Ultragenyx Pharmaceutical Inc. and Condiotti Enterprises, Inc.</w:t>
              </w:r>
            </w:hyperlink>
          </w:p>
        </w:tc>
        <w:tc>
          <w:tcPr>
            <w:tcW w:w="100" w:type="dxa"/>
            <w:vAlign w:val="bottom"/>
            <w:tcBorders>
              <w:top w:val="single" w:sz="8" w:color="0000EE"/>
            </w:tcBorders>
            <w:gridSpan w:val="2"/>
          </w:tcPr>
          <w:p>
            <w:pPr>
              <w:spacing w:after="0"/>
              <w:rPr>
                <w:sz w:val="13"/>
                <w:szCs w:val="13"/>
                <w:color w:val="auto"/>
              </w:rPr>
            </w:pPr>
          </w:p>
        </w:tc>
        <w:tc>
          <w:tcPr>
            <w:tcW w:w="760" w:type="dxa"/>
            <w:vAlign w:val="bottom"/>
            <w:gridSpan w:val="7"/>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color w:val="auto"/>
              </w:rPr>
              <w:t>10.3</w:t>
            </w:r>
          </w:p>
        </w:tc>
        <w:tc>
          <w:tcPr>
            <w:tcW w:w="3900" w:type="dxa"/>
            <w:vAlign w:val="bottom"/>
            <w:tcBorders>
              <w:bottom w:val="single" w:sz="8" w:color="0000EE"/>
            </w:tcBorders>
            <w:gridSpan w:val="12"/>
          </w:tcPr>
          <w:p>
            <w:pPr>
              <w:spacing w:after="0" w:line="153" w:lineRule="exact"/>
              <w:rPr>
                <w:rFonts w:ascii="Arial" w:cs="Arial" w:eastAsia="Arial" w:hAnsi="Arial"/>
                <w:sz w:val="14"/>
                <w:szCs w:val="14"/>
                <w:color w:val="0000EE"/>
                <w:w w:val="88"/>
              </w:rPr>
            </w:pPr>
            <w:hyperlink w:anchor="page68">
              <w:r>
                <w:rPr>
                  <w:rFonts w:ascii="Arial" w:cs="Arial" w:eastAsia="Arial" w:hAnsi="Arial"/>
                  <w:sz w:val="14"/>
                  <w:szCs w:val="14"/>
                  <w:color w:val="0000EE"/>
                  <w:w w:val="88"/>
                </w:rPr>
                <w:t>Second Amendment to Lease Agreement, made July 1, 2018, between</w:t>
              </w:r>
            </w:hyperlink>
          </w:p>
        </w:tc>
        <w:tc>
          <w:tcPr>
            <w:tcW w:w="4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jc w:val="center"/>
              <w:ind w:left="251"/>
              <w:spacing w:after="0" w:line="153"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3760" w:type="dxa"/>
            <w:vAlign w:val="bottom"/>
            <w:tcBorders>
              <w:bottom w:val="single" w:sz="8" w:color="0000EE"/>
            </w:tcBorders>
            <w:gridSpan w:val="10"/>
          </w:tcPr>
          <w:p>
            <w:pPr>
              <w:spacing w:after="0" w:line="153" w:lineRule="exact"/>
              <w:rPr>
                <w:rFonts w:ascii="Arial" w:cs="Arial" w:eastAsia="Arial" w:hAnsi="Arial"/>
                <w:sz w:val="14"/>
                <w:szCs w:val="14"/>
                <w:color w:val="0000EE"/>
                <w:w w:val="92"/>
              </w:rPr>
            </w:pPr>
            <w:hyperlink w:anchor="page68">
              <w:r>
                <w:rPr>
                  <w:rFonts w:ascii="Arial" w:cs="Arial" w:eastAsia="Arial" w:hAnsi="Arial"/>
                  <w:sz w:val="14"/>
                  <w:szCs w:val="14"/>
                  <w:color w:val="0000EE"/>
                  <w:w w:val="92"/>
                </w:rPr>
                <w:t>Ultragenyx Pharmaceutical Inc. and ARE-MA Region No. 20, LLC</w:t>
              </w:r>
            </w:hyperlink>
          </w:p>
        </w:tc>
        <w:tc>
          <w:tcPr>
            <w:tcW w:w="60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color w:val="auto"/>
              </w:rPr>
              <w:t>31.1</w:t>
            </w:r>
          </w:p>
        </w:tc>
        <w:tc>
          <w:tcPr>
            <w:tcW w:w="4360" w:type="dxa"/>
            <w:vAlign w:val="bottom"/>
            <w:gridSpan w:val="15"/>
          </w:tcPr>
          <w:p>
            <w:pPr>
              <w:spacing w:after="0" w:line="153" w:lineRule="exact"/>
              <w:rPr>
                <w:rFonts w:ascii="Arial" w:cs="Arial" w:eastAsia="Arial" w:hAnsi="Arial"/>
                <w:sz w:val="14"/>
                <w:szCs w:val="14"/>
                <w:color w:val="0000EE"/>
              </w:rPr>
            </w:pPr>
            <w:hyperlink w:anchor="page74">
              <w:r>
                <w:rPr>
                  <w:rFonts w:ascii="Arial" w:cs="Arial" w:eastAsia="Arial" w:hAnsi="Arial"/>
                  <w:sz w:val="14"/>
                  <w:szCs w:val="14"/>
                  <w:color w:val="0000EE"/>
                </w:rPr>
                <w:t>Certification of Principal Executive Officer Required Under Rule 13a-</w:t>
              </w:r>
            </w:hyperlink>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jc w:val="center"/>
              <w:ind w:left="251"/>
              <w:spacing w:after="0" w:line="153"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2500" w:type="dxa"/>
            <w:vAlign w:val="bottom"/>
            <w:tcBorders>
              <w:top w:val="single" w:sz="8" w:color="0000EE"/>
              <w:bottom w:val="single" w:sz="8" w:color="0000EE"/>
            </w:tcBorders>
            <w:gridSpan w:val="4"/>
          </w:tcPr>
          <w:p>
            <w:pPr>
              <w:spacing w:after="0" w:line="153" w:lineRule="exact"/>
              <w:rPr>
                <w:rFonts w:ascii="Arial" w:cs="Arial" w:eastAsia="Arial" w:hAnsi="Arial"/>
                <w:sz w:val="14"/>
                <w:szCs w:val="14"/>
                <w:color w:val="0000EE"/>
                <w:w w:val="90"/>
              </w:rPr>
            </w:pPr>
            <w:hyperlink w:anchor="page74">
              <w:r>
                <w:rPr>
                  <w:rFonts w:ascii="Arial" w:cs="Arial" w:eastAsia="Arial" w:hAnsi="Arial"/>
                  <w:sz w:val="14"/>
                  <w:szCs w:val="14"/>
                  <w:color w:val="0000EE"/>
                  <w:w w:val="90"/>
                </w:rPr>
                <w:t>14(a) or Rule 15d-14(a) of the Exchange Act</w:t>
              </w:r>
            </w:hyperlink>
          </w:p>
        </w:tc>
        <w:tc>
          <w:tcPr>
            <w:tcW w:w="1400" w:type="dxa"/>
            <w:vAlign w:val="bottom"/>
            <w:tcBorders>
              <w:top w:val="single" w:sz="8" w:color="0000EE"/>
            </w:tcBorders>
            <w:gridSpan w:val="8"/>
          </w:tcPr>
          <w:p>
            <w:pPr>
              <w:spacing w:after="0"/>
              <w:rPr>
                <w:sz w:val="13"/>
                <w:szCs w:val="13"/>
                <w:color w:val="auto"/>
              </w:rPr>
            </w:pPr>
          </w:p>
        </w:tc>
        <w:tc>
          <w:tcPr>
            <w:tcW w:w="4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color w:val="auto"/>
              </w:rPr>
              <w:t>31.2</w:t>
            </w:r>
          </w:p>
        </w:tc>
        <w:tc>
          <w:tcPr>
            <w:tcW w:w="4360" w:type="dxa"/>
            <w:vAlign w:val="bottom"/>
            <w:gridSpan w:val="15"/>
          </w:tcPr>
          <w:p>
            <w:pPr>
              <w:spacing w:after="0" w:line="153" w:lineRule="exact"/>
              <w:rPr>
                <w:rFonts w:ascii="Arial" w:cs="Arial" w:eastAsia="Arial" w:hAnsi="Arial"/>
                <w:sz w:val="14"/>
                <w:szCs w:val="14"/>
                <w:color w:val="0000EE"/>
              </w:rPr>
            </w:pPr>
            <w:hyperlink w:anchor="page75">
              <w:r>
                <w:rPr>
                  <w:rFonts w:ascii="Arial" w:cs="Arial" w:eastAsia="Arial" w:hAnsi="Arial"/>
                  <w:sz w:val="14"/>
                  <w:szCs w:val="14"/>
                  <w:color w:val="0000EE"/>
                </w:rPr>
                <w:t>Certification of Principal Financial Officer Required Under Rule 13a-</w:t>
              </w:r>
            </w:hyperlink>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jc w:val="center"/>
              <w:ind w:left="251"/>
              <w:spacing w:after="0" w:line="153"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2500" w:type="dxa"/>
            <w:vAlign w:val="bottom"/>
            <w:tcBorders>
              <w:top w:val="single" w:sz="8" w:color="0000EE"/>
              <w:bottom w:val="single" w:sz="8" w:color="0000EE"/>
            </w:tcBorders>
            <w:gridSpan w:val="4"/>
          </w:tcPr>
          <w:p>
            <w:pPr>
              <w:spacing w:after="0" w:line="153" w:lineRule="exact"/>
              <w:rPr>
                <w:rFonts w:ascii="Arial" w:cs="Arial" w:eastAsia="Arial" w:hAnsi="Arial"/>
                <w:sz w:val="14"/>
                <w:szCs w:val="14"/>
                <w:color w:val="0000EE"/>
                <w:w w:val="90"/>
              </w:rPr>
            </w:pPr>
            <w:hyperlink w:anchor="page75">
              <w:r>
                <w:rPr>
                  <w:rFonts w:ascii="Arial" w:cs="Arial" w:eastAsia="Arial" w:hAnsi="Arial"/>
                  <w:sz w:val="14"/>
                  <w:szCs w:val="14"/>
                  <w:color w:val="0000EE"/>
                  <w:w w:val="90"/>
                </w:rPr>
                <w:t>14(a) or Rule 15d-14(a) of the Exchange Act</w:t>
              </w:r>
            </w:hyperlink>
          </w:p>
        </w:tc>
        <w:tc>
          <w:tcPr>
            <w:tcW w:w="1360" w:type="dxa"/>
            <w:vAlign w:val="bottom"/>
            <w:tcBorders>
              <w:top w:val="single" w:sz="8" w:color="0000EE"/>
            </w:tcBorders>
            <w:gridSpan w:val="7"/>
          </w:tcPr>
          <w:p>
            <w:pPr>
              <w:spacing w:after="0"/>
              <w:rPr>
                <w:sz w:val="13"/>
                <w:szCs w:val="13"/>
                <w:color w:val="auto"/>
              </w:rPr>
            </w:pPr>
          </w:p>
        </w:tc>
        <w:tc>
          <w:tcPr>
            <w:tcW w:w="5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line="153" w:lineRule="exact"/>
              <w:rPr>
                <w:sz w:val="20"/>
                <w:szCs w:val="20"/>
                <w:color w:val="auto"/>
              </w:rPr>
            </w:pPr>
            <w:r>
              <w:rPr>
                <w:rFonts w:ascii="Arial" w:cs="Arial" w:eastAsia="Arial" w:hAnsi="Arial"/>
                <w:sz w:val="14"/>
                <w:szCs w:val="14"/>
                <w:color w:val="auto"/>
              </w:rPr>
              <w:t>32.1*</w:t>
            </w:r>
          </w:p>
        </w:tc>
        <w:tc>
          <w:tcPr>
            <w:tcW w:w="4360" w:type="dxa"/>
            <w:vAlign w:val="bottom"/>
            <w:gridSpan w:val="15"/>
          </w:tcPr>
          <w:p>
            <w:pPr>
              <w:spacing w:after="0" w:line="153" w:lineRule="exact"/>
              <w:rPr>
                <w:rFonts w:ascii="Arial" w:cs="Arial" w:eastAsia="Arial" w:hAnsi="Arial"/>
                <w:sz w:val="14"/>
                <w:szCs w:val="14"/>
                <w:color w:val="0000EE"/>
              </w:rPr>
            </w:pPr>
            <w:hyperlink w:anchor="page76">
              <w:r>
                <w:rPr>
                  <w:rFonts w:ascii="Arial" w:cs="Arial" w:eastAsia="Arial" w:hAnsi="Arial"/>
                  <w:sz w:val="14"/>
                  <w:szCs w:val="14"/>
                  <w:color w:val="0000EE"/>
                </w:rPr>
                <w:t>Certification of Principal Executive Officer and Principal Financial</w:t>
              </w:r>
            </w:hyperlink>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jc w:val="center"/>
              <w:ind w:left="251"/>
              <w:spacing w:after="0" w:line="153"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3720" w:type="dxa"/>
            <w:vAlign w:val="bottom"/>
            <w:tcBorders>
              <w:top w:val="single" w:sz="8" w:color="0000EE"/>
            </w:tcBorders>
            <w:gridSpan w:val="9"/>
          </w:tcPr>
          <w:p>
            <w:pPr>
              <w:spacing w:after="0" w:line="153" w:lineRule="exact"/>
              <w:rPr>
                <w:rFonts w:ascii="Arial" w:cs="Arial" w:eastAsia="Arial" w:hAnsi="Arial"/>
                <w:sz w:val="14"/>
                <w:szCs w:val="14"/>
                <w:color w:val="0000EE"/>
                <w:w w:val="93"/>
              </w:rPr>
            </w:pPr>
            <w:hyperlink w:anchor="page76">
              <w:r>
                <w:rPr>
                  <w:rFonts w:ascii="Arial" w:cs="Arial" w:eastAsia="Arial" w:hAnsi="Arial"/>
                  <w:sz w:val="14"/>
                  <w:szCs w:val="14"/>
                  <w:color w:val="0000EE"/>
                  <w:w w:val="93"/>
                </w:rPr>
                <w:t>Officer Required Under Rule 13a-14(b) or Rule 15d-14(b) of the</w:t>
              </w:r>
            </w:hyperlink>
          </w:p>
        </w:tc>
        <w:tc>
          <w:tcPr>
            <w:tcW w:w="64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920" w:type="dxa"/>
            <w:vAlign w:val="bottom"/>
            <w:tcBorders>
              <w:top w:val="single" w:sz="8" w:color="0000EE"/>
              <w:bottom w:val="single" w:sz="8" w:color="0000EE"/>
            </w:tcBorders>
            <w:gridSpan w:val="3"/>
          </w:tcPr>
          <w:p>
            <w:pPr>
              <w:spacing w:after="0" w:line="153" w:lineRule="exact"/>
              <w:rPr>
                <w:rFonts w:ascii="Arial" w:cs="Arial" w:eastAsia="Arial" w:hAnsi="Arial"/>
                <w:sz w:val="14"/>
                <w:szCs w:val="14"/>
                <w:color w:val="0000EE"/>
                <w:w w:val="89"/>
              </w:rPr>
            </w:pPr>
            <w:hyperlink w:anchor="page76">
              <w:r>
                <w:rPr>
                  <w:rFonts w:ascii="Arial" w:cs="Arial" w:eastAsia="Arial" w:hAnsi="Arial"/>
                  <w:sz w:val="14"/>
                  <w:szCs w:val="14"/>
                  <w:color w:val="0000EE"/>
                  <w:w w:val="89"/>
                </w:rPr>
                <w:t>Exchange Act and 18 U.S.C. 1350</w:t>
              </w:r>
            </w:hyperlink>
          </w:p>
        </w:tc>
        <w:tc>
          <w:tcPr>
            <w:tcW w:w="1660" w:type="dxa"/>
            <w:vAlign w:val="bottom"/>
            <w:tcBorders>
              <w:top w:val="single" w:sz="8" w:color="0000EE"/>
            </w:tcBorders>
            <w:gridSpan w:val="4"/>
          </w:tcPr>
          <w:p>
            <w:pPr>
              <w:spacing w:after="0"/>
              <w:rPr>
                <w:sz w:val="13"/>
                <w:szCs w:val="13"/>
                <w:color w:val="auto"/>
              </w:rPr>
            </w:pPr>
          </w:p>
        </w:tc>
        <w:tc>
          <w:tcPr>
            <w:tcW w:w="78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880" w:type="dxa"/>
            <w:vAlign w:val="bottom"/>
          </w:tcPr>
          <w:p>
            <w:pPr>
              <w:spacing w:after="0"/>
              <w:rPr>
                <w:sz w:val="20"/>
                <w:szCs w:val="20"/>
                <w:color w:val="auto"/>
              </w:rPr>
            </w:pPr>
            <w:r>
              <w:rPr>
                <w:rFonts w:ascii="Arial" w:cs="Arial" w:eastAsia="Arial" w:hAnsi="Arial"/>
                <w:sz w:val="14"/>
                <w:szCs w:val="14"/>
                <w:color w:val="auto"/>
              </w:rPr>
              <w:t>101.INS</w:t>
            </w:r>
          </w:p>
        </w:tc>
        <w:tc>
          <w:tcPr>
            <w:tcW w:w="4360" w:type="dxa"/>
            <w:vAlign w:val="bottom"/>
            <w:gridSpan w:val="15"/>
          </w:tcPr>
          <w:p>
            <w:pPr>
              <w:spacing w:after="0"/>
              <w:rPr>
                <w:sz w:val="20"/>
                <w:szCs w:val="20"/>
                <w:color w:val="auto"/>
              </w:rPr>
            </w:pPr>
            <w:r>
              <w:rPr>
                <w:rFonts w:ascii="Arial" w:cs="Arial" w:eastAsia="Arial" w:hAnsi="Arial"/>
                <w:sz w:val="14"/>
                <w:szCs w:val="14"/>
                <w:color w:val="auto"/>
              </w:rPr>
              <w:t>XBRL Instance Document</w:t>
            </w:r>
          </w:p>
        </w:tc>
        <w:tc>
          <w:tcPr>
            <w:tcW w:w="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5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20"/>
                <w:szCs w:val="20"/>
                <w:color w:val="auto"/>
              </w:rPr>
            </w:pPr>
            <w:r>
              <w:rPr>
                <w:rFonts w:ascii="Arial" w:cs="Arial" w:eastAsia="Arial" w:hAnsi="Arial"/>
                <w:sz w:val="14"/>
                <w:szCs w:val="14"/>
                <w:color w:val="auto"/>
              </w:rPr>
              <w:t>101.SCH</w:t>
            </w:r>
          </w:p>
        </w:tc>
        <w:tc>
          <w:tcPr>
            <w:tcW w:w="4360" w:type="dxa"/>
            <w:vAlign w:val="bottom"/>
            <w:gridSpan w:val="15"/>
          </w:tcPr>
          <w:p>
            <w:pPr>
              <w:spacing w:after="0"/>
              <w:rPr>
                <w:sz w:val="20"/>
                <w:szCs w:val="20"/>
                <w:color w:val="auto"/>
              </w:rPr>
            </w:pPr>
            <w:r>
              <w:rPr>
                <w:rFonts w:ascii="Arial" w:cs="Arial" w:eastAsia="Arial" w:hAnsi="Arial"/>
                <w:sz w:val="14"/>
                <w:szCs w:val="14"/>
                <w:color w:val="auto"/>
              </w:rPr>
              <w:t>XBRL Taxonomy Extension Schema Document</w:t>
            </w:r>
          </w:p>
        </w:tc>
        <w:tc>
          <w:tcPr>
            <w:tcW w:w="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5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20"/>
                <w:szCs w:val="20"/>
                <w:color w:val="auto"/>
              </w:rPr>
            </w:pPr>
            <w:r>
              <w:rPr>
                <w:rFonts w:ascii="Arial" w:cs="Arial" w:eastAsia="Arial" w:hAnsi="Arial"/>
                <w:sz w:val="14"/>
                <w:szCs w:val="14"/>
                <w:color w:val="auto"/>
              </w:rPr>
              <w:t>101.CAL</w:t>
            </w:r>
          </w:p>
        </w:tc>
        <w:tc>
          <w:tcPr>
            <w:tcW w:w="4360" w:type="dxa"/>
            <w:vAlign w:val="bottom"/>
            <w:gridSpan w:val="15"/>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5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20"/>
                <w:szCs w:val="20"/>
                <w:color w:val="auto"/>
              </w:rPr>
            </w:pPr>
            <w:r>
              <w:rPr>
                <w:rFonts w:ascii="Arial" w:cs="Arial" w:eastAsia="Arial" w:hAnsi="Arial"/>
                <w:sz w:val="14"/>
                <w:szCs w:val="14"/>
                <w:color w:val="auto"/>
              </w:rPr>
              <w:t>101.DEF</w:t>
            </w:r>
          </w:p>
        </w:tc>
        <w:tc>
          <w:tcPr>
            <w:tcW w:w="4360" w:type="dxa"/>
            <w:vAlign w:val="bottom"/>
            <w:gridSpan w:val="15"/>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5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20"/>
                <w:szCs w:val="20"/>
                <w:color w:val="auto"/>
              </w:rPr>
            </w:pPr>
            <w:r>
              <w:rPr>
                <w:rFonts w:ascii="Arial" w:cs="Arial" w:eastAsia="Arial" w:hAnsi="Arial"/>
                <w:sz w:val="14"/>
                <w:szCs w:val="14"/>
                <w:color w:val="auto"/>
              </w:rPr>
              <w:t>101.LAB</w:t>
            </w:r>
          </w:p>
        </w:tc>
        <w:tc>
          <w:tcPr>
            <w:tcW w:w="4360" w:type="dxa"/>
            <w:vAlign w:val="bottom"/>
            <w:gridSpan w:val="15"/>
          </w:tcPr>
          <w:p>
            <w:pPr>
              <w:spacing w:after="0"/>
              <w:rPr>
                <w:sz w:val="20"/>
                <w:szCs w:val="20"/>
                <w:color w:val="auto"/>
              </w:rPr>
            </w:pPr>
            <w:r>
              <w:rPr>
                <w:rFonts w:ascii="Arial" w:cs="Arial" w:eastAsia="Arial" w:hAnsi="Arial"/>
                <w:sz w:val="14"/>
                <w:szCs w:val="14"/>
                <w:color w:val="auto"/>
              </w:rPr>
              <w:t>XBRL Taxonomy Extension Labels Linkbase Document</w:t>
            </w:r>
          </w:p>
        </w:tc>
        <w:tc>
          <w:tcPr>
            <w:tcW w:w="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5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20"/>
                <w:szCs w:val="20"/>
                <w:color w:val="auto"/>
              </w:rPr>
            </w:pPr>
            <w:r>
              <w:rPr>
                <w:rFonts w:ascii="Arial" w:cs="Arial" w:eastAsia="Arial" w:hAnsi="Arial"/>
                <w:sz w:val="14"/>
                <w:szCs w:val="14"/>
                <w:color w:val="auto"/>
              </w:rPr>
              <w:t>101.PRE</w:t>
            </w:r>
          </w:p>
        </w:tc>
        <w:tc>
          <w:tcPr>
            <w:tcW w:w="4360" w:type="dxa"/>
            <w:vAlign w:val="bottom"/>
            <w:gridSpan w:val="15"/>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tcPr>
          <w:p>
            <w:pPr>
              <w:jc w:val="center"/>
              <w:ind w:left="25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28" w:hanging="628"/>
        <w:spacing w:after="0"/>
        <w:tabs>
          <w:tab w:leader="none" w:pos="628" w:val="left"/>
        </w:tabs>
        <w:numPr>
          <w:ilvl w:val="0"/>
          <w:numId w:val="44"/>
        </w:numPr>
        <w:rPr>
          <w:rFonts w:ascii="Arial" w:cs="Arial" w:eastAsia="Arial" w:hAnsi="Arial"/>
          <w:sz w:val="15"/>
          <w:szCs w:val="15"/>
          <w:color w:val="auto"/>
        </w:rPr>
      </w:pPr>
      <w:r>
        <w:rPr>
          <w:rFonts w:ascii="Arial" w:cs="Arial" w:eastAsia="Arial" w:hAnsi="Arial"/>
          <w:sz w:val="15"/>
          <w:szCs w:val="15"/>
          <w:color w:val="auto"/>
        </w:rPr>
        <w:t>Portions of this exhibit (indicated by asterisks) are omitted pursuant to a request for confidential treatment. Omitted portions are filed separately with the SEC.</w:t>
      </w:r>
    </w:p>
    <w:p>
      <w:pPr>
        <w:spacing w:after="0" w:line="104" w:lineRule="exact"/>
        <w:rPr>
          <w:sz w:val="20"/>
          <w:szCs w:val="20"/>
          <w:color w:val="auto"/>
        </w:rPr>
      </w:pPr>
    </w:p>
    <w:p>
      <w:pPr>
        <w:ind w:left="8" w:hanging="8"/>
        <w:spacing w:after="0" w:line="247"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5"/>
          <w:szCs w:val="15"/>
          <w:color w:val="auto"/>
        </w:rPr>
        <w:t>The certification attached as Exhibit 32.1 that accompanies this Quarterly Report is furnished to, and not deemed filed with, the SEC and is not to be incorporated by reference into any filing of the Registrant under the Securities Act or the Exchange Act, whether made before or after the date of this Form 10-Q, irrespective of any general incorporation language contained in such filing.</w:t>
      </w:r>
    </w:p>
    <w:p>
      <w:pPr>
        <w:spacing w:after="0" w:line="35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63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08"/>
          </w:cols>
          <w:pgMar w:left="232" w:top="321"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5"/>
          <w:szCs w:val="15"/>
          <w:b w:val="1"/>
          <w:bCs w:val="1"/>
          <w:color w:val="auto"/>
        </w:rPr>
        <w:t>SIGNATURES</w:t>
      </w:r>
    </w:p>
    <w:p>
      <w:pPr>
        <w:spacing w:after="0" w:line="74" w:lineRule="exact"/>
        <w:rPr>
          <w:sz w:val="20"/>
          <w:szCs w:val="20"/>
          <w:color w:val="auto"/>
        </w:rPr>
      </w:pPr>
    </w:p>
    <w:p>
      <w:pPr>
        <w:ind w:right="420" w:firstLine="520"/>
        <w:spacing w:after="0" w:line="28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7960" w:type="dxa"/>
            <w:vAlign w:val="bottom"/>
            <w:gridSpan w:val="2"/>
          </w:tcPr>
          <w:p>
            <w:pPr>
              <w:ind w:left="3320"/>
              <w:spacing w:after="0"/>
              <w:rPr>
                <w:sz w:val="20"/>
                <w:szCs w:val="20"/>
                <w:color w:val="auto"/>
              </w:rPr>
            </w:pPr>
            <w:r>
              <w:rPr>
                <w:rFonts w:ascii="Arial" w:cs="Arial" w:eastAsia="Arial" w:hAnsi="Arial"/>
                <w:sz w:val="15"/>
                <w:szCs w:val="15"/>
                <w:color w:val="auto"/>
              </w:rPr>
              <w:t>ULTRAGENYX PHARMACEUTICAL INC.</w:t>
            </w:r>
          </w:p>
        </w:tc>
      </w:tr>
      <w:tr>
        <w:trPr>
          <w:trHeight w:val="392"/>
        </w:trPr>
        <w:tc>
          <w:tcPr>
            <w:tcW w:w="3480" w:type="dxa"/>
            <w:vAlign w:val="bottom"/>
          </w:tcPr>
          <w:p>
            <w:pPr>
              <w:spacing w:after="0"/>
              <w:rPr>
                <w:sz w:val="20"/>
                <w:szCs w:val="20"/>
                <w:color w:val="auto"/>
              </w:rPr>
            </w:pPr>
            <w:r>
              <w:rPr>
                <w:rFonts w:ascii="Arial" w:cs="Arial" w:eastAsia="Arial" w:hAnsi="Arial"/>
                <w:sz w:val="15"/>
                <w:szCs w:val="15"/>
                <w:color w:val="auto"/>
              </w:rPr>
              <w:t>Date: August 2, 2018</w:t>
            </w:r>
          </w:p>
        </w:tc>
        <w:tc>
          <w:tcPr>
            <w:tcW w:w="3640" w:type="dxa"/>
            <w:vAlign w:val="bottom"/>
          </w:tcPr>
          <w:p>
            <w:pPr>
              <w:ind w:left="332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Emil D. Kakkis</w:t>
            </w:r>
          </w:p>
        </w:tc>
      </w:tr>
      <w:tr>
        <w:trPr>
          <w:trHeight w:val="166"/>
        </w:trPr>
        <w:tc>
          <w:tcPr>
            <w:tcW w:w="3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320" w:type="dxa"/>
            <w:vAlign w:val="bottom"/>
          </w:tcPr>
          <w:p>
            <w:pPr>
              <w:jc w:val="center"/>
              <w:spacing w:after="0" w:line="166" w:lineRule="exact"/>
              <w:rPr>
                <w:sz w:val="20"/>
                <w:szCs w:val="20"/>
                <w:color w:val="auto"/>
              </w:rPr>
            </w:pPr>
            <w:r>
              <w:rPr>
                <w:rFonts w:ascii="Arial" w:cs="Arial" w:eastAsia="Arial" w:hAnsi="Arial"/>
                <w:sz w:val="15"/>
                <w:szCs w:val="15"/>
                <w:color w:val="auto"/>
                <w:w w:val="98"/>
              </w:rPr>
              <w:t>Emil D. Kakkis, M.D., Ph.D.</w:t>
            </w:r>
          </w:p>
        </w:tc>
      </w:tr>
      <w:tr>
        <w:trPr>
          <w:trHeight w:val="185"/>
        </w:trPr>
        <w:tc>
          <w:tcPr>
            <w:tcW w:w="3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auto"/>
                <w:w w:val="94"/>
              </w:rPr>
              <w:t>President and Chief Executive Officer</w:t>
            </w:r>
          </w:p>
        </w:tc>
      </w:tr>
      <w:tr>
        <w:trPr>
          <w:trHeight w:val="195"/>
        </w:trPr>
        <w:tc>
          <w:tcPr>
            <w:tcW w:w="3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auto"/>
                <w:w w:val="98"/>
              </w:rPr>
              <w:t>(Duly Authorized Officer)</w:t>
            </w:r>
          </w:p>
        </w:tc>
      </w:tr>
      <w:tr>
        <w:trPr>
          <w:trHeight w:val="392"/>
        </w:trPr>
        <w:tc>
          <w:tcPr>
            <w:tcW w:w="3480" w:type="dxa"/>
            <w:vAlign w:val="bottom"/>
          </w:tcPr>
          <w:p>
            <w:pPr>
              <w:spacing w:after="0"/>
              <w:rPr>
                <w:sz w:val="20"/>
                <w:szCs w:val="20"/>
                <w:color w:val="auto"/>
              </w:rPr>
            </w:pPr>
            <w:r>
              <w:rPr>
                <w:rFonts w:ascii="Arial" w:cs="Arial" w:eastAsia="Arial" w:hAnsi="Arial"/>
                <w:sz w:val="15"/>
                <w:szCs w:val="15"/>
                <w:color w:val="auto"/>
              </w:rPr>
              <w:t>Date: August 2, 2018</w:t>
            </w:r>
          </w:p>
        </w:tc>
        <w:tc>
          <w:tcPr>
            <w:tcW w:w="3640" w:type="dxa"/>
            <w:vAlign w:val="bottom"/>
          </w:tcPr>
          <w:p>
            <w:pPr>
              <w:ind w:left="332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1"/>
              </w:rPr>
              <w:t>/s/ Shalini Sharp</w:t>
            </w:r>
          </w:p>
        </w:tc>
      </w:tr>
      <w:tr>
        <w:trPr>
          <w:trHeight w:val="166"/>
        </w:trPr>
        <w:tc>
          <w:tcPr>
            <w:tcW w:w="3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320" w:type="dxa"/>
            <w:vAlign w:val="bottom"/>
          </w:tcPr>
          <w:p>
            <w:pPr>
              <w:jc w:val="center"/>
              <w:spacing w:after="0" w:line="166" w:lineRule="exact"/>
              <w:rPr>
                <w:sz w:val="20"/>
                <w:szCs w:val="20"/>
                <w:color w:val="auto"/>
              </w:rPr>
            </w:pPr>
            <w:r>
              <w:rPr>
                <w:rFonts w:ascii="Arial" w:cs="Arial" w:eastAsia="Arial" w:hAnsi="Arial"/>
                <w:sz w:val="15"/>
                <w:szCs w:val="15"/>
                <w:color w:val="auto"/>
                <w:w w:val="94"/>
              </w:rPr>
              <w:t>Shalini Sharp</w:t>
            </w:r>
          </w:p>
        </w:tc>
      </w:tr>
      <w:tr>
        <w:trPr>
          <w:trHeight w:val="185"/>
        </w:trPr>
        <w:tc>
          <w:tcPr>
            <w:tcW w:w="3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auto"/>
                <w:w w:val="94"/>
              </w:rPr>
              <w:t>Executive Vice President and Chief Financial Officer</w:t>
            </w:r>
          </w:p>
        </w:tc>
      </w:tr>
      <w:tr>
        <w:trPr>
          <w:trHeight w:val="195"/>
        </w:trPr>
        <w:tc>
          <w:tcPr>
            <w:tcW w:w="3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auto"/>
                <w:w w:val="97"/>
              </w:rPr>
              <w:t>(Principal Financial Officer)</w:t>
            </w:r>
          </w:p>
        </w:tc>
      </w:tr>
      <w:tr>
        <w:trPr>
          <w:trHeight w:val="392"/>
        </w:trPr>
        <w:tc>
          <w:tcPr>
            <w:tcW w:w="3480" w:type="dxa"/>
            <w:vAlign w:val="bottom"/>
          </w:tcPr>
          <w:p>
            <w:pPr>
              <w:spacing w:after="0"/>
              <w:rPr>
                <w:sz w:val="20"/>
                <w:szCs w:val="20"/>
                <w:color w:val="auto"/>
              </w:rPr>
            </w:pPr>
            <w:r>
              <w:rPr>
                <w:rFonts w:ascii="Arial" w:cs="Arial" w:eastAsia="Arial" w:hAnsi="Arial"/>
                <w:sz w:val="15"/>
                <w:szCs w:val="15"/>
                <w:color w:val="auto"/>
              </w:rPr>
              <w:t>Date: August 2, 2018</w:t>
            </w:r>
          </w:p>
        </w:tc>
        <w:tc>
          <w:tcPr>
            <w:tcW w:w="3640" w:type="dxa"/>
            <w:vAlign w:val="bottom"/>
          </w:tcPr>
          <w:p>
            <w:pPr>
              <w:ind w:left="3320"/>
              <w:spacing w:after="0"/>
              <w:rPr>
                <w:sz w:val="20"/>
                <w:szCs w:val="20"/>
                <w:color w:val="auto"/>
              </w:rPr>
            </w:pPr>
            <w:r>
              <w:rPr>
                <w:rFonts w:ascii="Arial" w:cs="Arial" w:eastAsia="Arial" w:hAnsi="Arial"/>
                <w:sz w:val="15"/>
                <w:szCs w:val="15"/>
                <w:color w:val="auto"/>
              </w:rPr>
              <w:t>By:</w:t>
            </w: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4"/>
              </w:rPr>
              <w:t>/s/ Theodore A. Huizenga</w:t>
            </w:r>
          </w:p>
        </w:tc>
      </w:tr>
      <w:tr>
        <w:trPr>
          <w:trHeight w:val="166"/>
        </w:trPr>
        <w:tc>
          <w:tcPr>
            <w:tcW w:w="3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320" w:type="dxa"/>
            <w:vAlign w:val="bottom"/>
          </w:tcPr>
          <w:p>
            <w:pPr>
              <w:jc w:val="center"/>
              <w:spacing w:after="0" w:line="166" w:lineRule="exact"/>
              <w:rPr>
                <w:sz w:val="20"/>
                <w:szCs w:val="20"/>
                <w:color w:val="auto"/>
              </w:rPr>
            </w:pPr>
            <w:r>
              <w:rPr>
                <w:rFonts w:ascii="Arial" w:cs="Arial" w:eastAsia="Arial" w:hAnsi="Arial"/>
                <w:sz w:val="15"/>
                <w:szCs w:val="15"/>
                <w:color w:val="auto"/>
                <w:w w:val="93"/>
              </w:rPr>
              <w:t>Theodore A. Huizenga</w:t>
            </w:r>
          </w:p>
        </w:tc>
      </w:tr>
      <w:tr>
        <w:trPr>
          <w:trHeight w:val="185"/>
        </w:trPr>
        <w:tc>
          <w:tcPr>
            <w:tcW w:w="3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auto"/>
                <w:w w:val="93"/>
              </w:rPr>
              <w:t>Vice President and Corporate Controller</w:t>
            </w:r>
          </w:p>
        </w:tc>
      </w:tr>
      <w:tr>
        <w:trPr>
          <w:trHeight w:val="195"/>
        </w:trPr>
        <w:tc>
          <w:tcPr>
            <w:tcW w:w="34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5"/>
                <w:szCs w:val="15"/>
                <w:color w:val="auto"/>
                <w:w w:val="96"/>
              </w:rPr>
              <w:t>(Principal Accounting Officer)</w:t>
            </w:r>
          </w:p>
        </w:tc>
      </w:tr>
      <w:tr>
        <w:trPr>
          <w:trHeight w:val="554"/>
        </w:trPr>
        <w:tc>
          <w:tcPr>
            <w:tcW w:w="3480" w:type="dxa"/>
            <w:vAlign w:val="bottom"/>
          </w:tcPr>
          <w:p>
            <w:pPr>
              <w:spacing w:after="0"/>
              <w:rPr>
                <w:sz w:val="24"/>
                <w:szCs w:val="24"/>
                <w:color w:val="auto"/>
              </w:rPr>
            </w:pPr>
          </w:p>
        </w:tc>
        <w:tc>
          <w:tcPr>
            <w:tcW w:w="3640" w:type="dxa"/>
            <w:vAlign w:val="bottom"/>
          </w:tcPr>
          <w:p>
            <w:pPr>
              <w:ind w:left="2160"/>
              <w:spacing w:after="0"/>
              <w:rPr>
                <w:sz w:val="20"/>
                <w:szCs w:val="20"/>
                <w:color w:val="auto"/>
              </w:rPr>
            </w:pPr>
            <w:r>
              <w:rPr>
                <w:rFonts w:ascii="Arial" w:cs="Arial" w:eastAsia="Arial" w:hAnsi="Arial"/>
                <w:sz w:val="15"/>
                <w:szCs w:val="15"/>
                <w:color w:val="auto"/>
              </w:rPr>
              <w:t>59</w:t>
            </w:r>
          </w:p>
        </w:tc>
        <w:tc>
          <w:tcPr>
            <w:tcW w:w="4320" w:type="dxa"/>
            <w:vAlign w:val="bottom"/>
          </w:tcPr>
          <w:p>
            <w:pPr>
              <w:spacing w:after="0"/>
              <w:rPr>
                <w:sz w:val="24"/>
                <w:szCs w:val="24"/>
                <w:color w:val="auto"/>
              </w:rPr>
            </w:pPr>
          </w:p>
        </w:tc>
      </w:tr>
    </w:tbl>
    <w:p>
      <w:pPr>
        <w:sectPr>
          <w:pgSz w:w="11900" w:h="16838" w:orient="portrait"/>
          <w:cols w:equalWidth="0" w:num="1">
            <w:col w:w="11440"/>
          </w:cols>
          <w:pgMar w:left="240" w:top="194" w:right="219" w:bottom="1440" w:gutter="0" w:footer="0" w:header="0"/>
        </w:sectPr>
      </w:pPr>
    </w:p>
    <w:bookmarkStart w:id="61" w:name="page62"/>
    <w:bookmarkEnd w:id="61"/>
    <w:p>
      <w:pPr>
        <w:ind w:left="10480"/>
        <w:spacing w:after="0"/>
        <w:rPr>
          <w:sz w:val="20"/>
          <w:szCs w:val="20"/>
          <w:color w:val="auto"/>
        </w:rPr>
      </w:pPr>
      <w:r>
        <w:rPr>
          <w:rFonts w:ascii="Arial" w:cs="Arial" w:eastAsia="Arial" w:hAnsi="Arial"/>
          <w:sz w:val="17"/>
          <w:szCs w:val="17"/>
          <w:b w:val="1"/>
          <w:bCs w:val="1"/>
          <w:color w:val="auto"/>
        </w:rPr>
        <w:t>Exhibit 10.1</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Certain information in this document has been omitted and filed separately with the Securities and Exchange Commission. Confidential treatment has been requested with respect to the omitted portions marked [***].</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5 TO COLLABORATION AND LICENSE AGREEMENT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Amendment No. 5 to the Collaboration and License Agreement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is made and entered into by and between Kyowa Hakko</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Kirin Co., Ltd., a company organized and existing under the laws of Japan, with an address at 1-9-2 Ohtemachi, Chiyoda-ku, Tokyo, 100-0004, Japan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KHK</w:t>
      </w:r>
      <w:r>
        <w:rPr>
          <w:rFonts w:ascii="Arial" w:cs="Arial" w:eastAsia="Arial" w:hAnsi="Arial"/>
          <w:sz w:val="17"/>
          <w:szCs w:val="17"/>
          <w:color w:val="auto"/>
        </w:rPr>
        <w:t>”) and Ultragenyx Pharmaceutical Inc., a company organized and existing under the laws of the State of Delaware, with an address at 60 Leveroni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Court, Novato, California 94949, USA (“</w:t>
      </w:r>
      <w:r>
        <w:rPr>
          <w:rFonts w:ascii="Arial" w:cs="Arial" w:eastAsia="Arial" w:hAnsi="Arial"/>
          <w:sz w:val="18"/>
          <w:szCs w:val="18"/>
          <w:b w:val="1"/>
          <w:bCs w:val="1"/>
          <w:i w:val="1"/>
          <w:iCs w:val="1"/>
          <w:color w:val="auto"/>
        </w:rPr>
        <w:t>UGNX</w:t>
      </w:r>
      <w:r>
        <w:rPr>
          <w:rFonts w:ascii="Arial" w:cs="Arial" w:eastAsia="Arial" w:hAnsi="Arial"/>
          <w:sz w:val="18"/>
          <w:szCs w:val="18"/>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112395</wp:posOffset>
            </wp:positionV>
            <wp:extent cx="292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9210" cy="7620"/>
                    </a:xfrm>
                    <a:prstGeom prst="rect">
                      <a:avLst/>
                    </a:prstGeom>
                    <a:noFill/>
                  </pic:spPr>
                </pic:pic>
              </a:graphicData>
            </a:graphic>
          </wp:anchor>
        </w:drawing>
      </w:r>
    </w:p>
    <w:p>
      <w:pPr>
        <w:spacing w:after="0" w:line="172" w:lineRule="exact"/>
        <w:rPr>
          <w:sz w:val="20"/>
          <w:szCs w:val="20"/>
          <w:color w:val="auto"/>
        </w:rPr>
      </w:pPr>
    </w:p>
    <w:p>
      <w:pPr>
        <w:ind w:left="860" w:right="80" w:hanging="429"/>
        <w:spacing w:after="0" w:line="292" w:lineRule="auto"/>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WHEREAS, KHK and UGNX entered into a Collaboration and License Agreement effective as of August 29, 2013, an Amendment No. 1 to Collaboration and License Agreement effective as of August 24, 2015, an Amendment No. 2 to Collaboration and License Agreement effective as of November 28, 2016, an Amendment No. 3 to Collaboration and License Agreement effective as of September 29, 2017, and an Amendment No. 4 to Collaboration and License Agreement effective as of January 29, 2018 (collectively, the “</w:t>
      </w:r>
      <w:r>
        <w:rPr>
          <w:rFonts w:ascii="Arial" w:cs="Arial" w:eastAsia="Arial" w:hAnsi="Arial"/>
          <w:sz w:val="16"/>
          <w:szCs w:val="16"/>
          <w:b w:val="1"/>
          <w:bCs w:val="1"/>
          <w:i w:val="1"/>
          <w:iCs w:val="1"/>
          <w:color w:val="auto"/>
        </w:rPr>
        <w:t>Collaboration Agreement</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860" w:hanging="429"/>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WHEREAS, both Parties wish to further amend the Collaboration Agreement as set forth below.</w:t>
      </w:r>
    </w:p>
    <w:p>
      <w:pPr>
        <w:spacing w:after="0" w:line="208" w:lineRule="exact"/>
        <w:rPr>
          <w:rFonts w:ascii="Arial" w:cs="Arial" w:eastAsia="Arial" w:hAnsi="Arial"/>
          <w:sz w:val="18"/>
          <w:szCs w:val="18"/>
          <w:color w:val="auto"/>
        </w:rPr>
      </w:pPr>
    </w:p>
    <w:p>
      <w:pPr>
        <w:ind w:left="860" w:hanging="429"/>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NOW, THEREFORE, in consideration of the mutual covenants and premises herein contained, the Parties agree as follows:</w:t>
      </w:r>
    </w:p>
    <w:p>
      <w:pPr>
        <w:spacing w:after="0" w:line="208" w:lineRule="exact"/>
        <w:rPr>
          <w:rFonts w:ascii="Arial" w:cs="Arial" w:eastAsia="Arial" w:hAnsi="Arial"/>
          <w:sz w:val="18"/>
          <w:szCs w:val="18"/>
          <w:color w:val="auto"/>
        </w:rPr>
      </w:pPr>
    </w:p>
    <w:p>
      <w:pPr>
        <w:ind w:left="1740" w:hanging="433"/>
        <w:spacing w:after="0"/>
        <w:tabs>
          <w:tab w:leader="none" w:pos="1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shall be effective as of April 30, 2018 (the “</w:t>
      </w:r>
      <w:r>
        <w:rPr>
          <w:rFonts w:ascii="Arial" w:cs="Arial" w:eastAsia="Arial" w:hAnsi="Arial"/>
          <w:sz w:val="18"/>
          <w:szCs w:val="18"/>
          <w:b w:val="1"/>
          <w:bCs w:val="1"/>
          <w:i w:val="1"/>
          <w:iCs w:val="1"/>
          <w:color w:val="auto"/>
        </w:rPr>
        <w:t>Amendment Effective Date</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1740" w:right="300" w:hanging="433"/>
        <w:spacing w:after="0" w:line="272" w:lineRule="auto"/>
        <w:tabs>
          <w:tab w:leader="none" w:pos="1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capitalized terms that are not defined in this Amendment will have their respective meanings set forth in the Collaboration Agreement.</w:t>
      </w:r>
    </w:p>
    <w:p>
      <w:pPr>
        <w:spacing w:after="0" w:line="153" w:lineRule="exact"/>
        <w:rPr>
          <w:rFonts w:ascii="Arial" w:cs="Arial" w:eastAsia="Arial" w:hAnsi="Arial"/>
          <w:sz w:val="18"/>
          <w:szCs w:val="18"/>
          <w:color w:val="auto"/>
        </w:rPr>
      </w:pPr>
    </w:p>
    <w:p>
      <w:pPr>
        <w:ind w:left="1740" w:right="80" w:hanging="433"/>
        <w:spacing w:after="0" w:line="272" w:lineRule="auto"/>
        <w:tabs>
          <w:tab w:leader="none" w:pos="17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definition of “GAAP” in Section 1.1.32 of the Collaboration Agreement is hereby deleted in its entirety and replaced with the following:</w:t>
      </w:r>
    </w:p>
    <w:p>
      <w:pPr>
        <w:spacing w:after="0" w:line="154" w:lineRule="exact"/>
        <w:rPr>
          <w:sz w:val="20"/>
          <w:szCs w:val="20"/>
          <w:color w:val="auto"/>
        </w:rPr>
      </w:pPr>
    </w:p>
    <w:p>
      <w:pPr>
        <w:ind w:left="2640" w:right="1020"/>
        <w:spacing w:after="0" w:line="251" w:lineRule="auto"/>
        <w:rPr>
          <w:sz w:val="20"/>
          <w:szCs w:val="20"/>
          <w:color w:val="auto"/>
        </w:rPr>
      </w:pPr>
      <w:r>
        <w:rPr>
          <w:rFonts w:ascii="Arial" w:cs="Arial" w:eastAsia="Arial" w:hAnsi="Arial"/>
          <w:sz w:val="18"/>
          <w:szCs w:val="18"/>
          <w:i w:val="1"/>
          <w:iCs w:val="1"/>
          <w:color w:val="auto"/>
        </w:rPr>
        <w:t xml:space="preserve">1.1.32 “GAAP” means generally accepted accounting principles applicable to a Party for reporting purposes for their respective countries (e.g. Japanese Accounting Standards, International Financial Reporting Standards, U.S. Generally Accepted Accounting Principles) as consistently applied throughout the applicable periods </w:t>
      </w:r>
      <w:r>
        <w:rPr>
          <w:rFonts w:ascii="Arial" w:cs="Arial" w:eastAsia="Arial" w:hAnsi="Arial"/>
          <w:sz w:val="17"/>
          <w:szCs w:val="17"/>
          <w:i w:val="1"/>
          <w:iCs w:val="1"/>
          <w:color w:val="auto"/>
        </w:rPr>
        <w:t>indicated herein by or on behalf of the relevant Party.</w:t>
      </w:r>
    </w:p>
    <w:p>
      <w:pPr>
        <w:spacing w:after="0" w:line="172" w:lineRule="exact"/>
        <w:rPr>
          <w:sz w:val="20"/>
          <w:szCs w:val="20"/>
          <w:color w:val="auto"/>
        </w:rPr>
      </w:pPr>
    </w:p>
    <w:p>
      <w:pPr>
        <w:ind w:left="1740" w:right="60" w:hanging="433"/>
        <w:spacing w:after="0" w:line="272" w:lineRule="auto"/>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definition of “Net Sales” in Section 1.1.54 of the Collaboration Agreement, the parenthetical words in the second line of the second paragraph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265430</wp:posOffset>
            </wp:positionV>
            <wp:extent cx="730631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62" w:name="page63"/>
    <w:bookmarkEnd w:id="62"/>
    <w:p>
      <w:pPr>
        <w:ind w:right="280"/>
        <w:spacing w:after="0" w:line="263" w:lineRule="auto"/>
        <w:rPr>
          <w:sz w:val="20"/>
          <w:szCs w:val="20"/>
          <w:color w:val="auto"/>
        </w:rPr>
      </w:pPr>
      <w:r>
        <w:rPr>
          <w:rFonts w:ascii="Arial" w:cs="Arial" w:eastAsia="Arial" w:hAnsi="Arial"/>
          <w:sz w:val="17"/>
          <w:szCs w:val="17"/>
          <w:color w:val="auto"/>
        </w:rPr>
        <w:t>Certain information in this document has been omitted and filed separately with the Securities and Exchange Commission. Confidential treatment has been requested with respect to the omitted portions marked [***].</w:t>
      </w:r>
    </w:p>
    <w:p>
      <w:pPr>
        <w:spacing w:after="0" w:line="10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in the country of sale)” is hereby deleted in its entirety and replaced with the following:</w:t>
      </w:r>
    </w:p>
    <w:p>
      <w:pPr>
        <w:spacing w:after="0" w:line="208" w:lineRule="exact"/>
        <w:rPr>
          <w:sz w:val="20"/>
          <w:szCs w:val="20"/>
          <w:color w:val="auto"/>
        </w:rPr>
      </w:pPr>
    </w:p>
    <w:p>
      <w:pPr>
        <w:ind w:left="1760" w:right="420"/>
        <w:spacing w:after="0" w:line="272" w:lineRule="auto"/>
        <w:rPr>
          <w:sz w:val="20"/>
          <w:szCs w:val="20"/>
          <w:color w:val="auto"/>
        </w:rPr>
      </w:pPr>
      <w:r>
        <w:rPr>
          <w:rFonts w:ascii="Arial" w:cs="Arial" w:eastAsia="Arial" w:hAnsi="Arial"/>
          <w:sz w:val="18"/>
          <w:szCs w:val="18"/>
          <w:i w:val="1"/>
          <w:iCs w:val="1"/>
          <w:color w:val="auto"/>
        </w:rPr>
        <w:t>(as applicable in each country in the Territory or European Territory where the Parties are required to report the Net Sales in accordance with Section 7.2.4)</w:t>
      </w:r>
    </w:p>
    <w:p>
      <w:pPr>
        <w:spacing w:after="0" w:line="154" w:lineRule="exact"/>
        <w:rPr>
          <w:sz w:val="20"/>
          <w:szCs w:val="20"/>
          <w:color w:val="auto"/>
        </w:rPr>
      </w:pPr>
    </w:p>
    <w:p>
      <w:pPr>
        <w:ind w:left="1740" w:right="180" w:hanging="433"/>
        <w:spacing w:after="0" w:line="256" w:lineRule="auto"/>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Notwithstanding anything in the Collaboration Agreement to the contrary, including without limitation, Section 7.2.4 thereof, the reporting and payment schedules related to Sections 4.9.4, 6.1.7(a), 6.1.7(b), 7.1.1, 7.1.2, 7.2.1, 7.2.2, and 7.2.3 shall be the reporting and payment schedules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68" w:lineRule="exact"/>
        <w:rPr>
          <w:rFonts w:ascii="Arial" w:cs="Arial" w:eastAsia="Arial" w:hAnsi="Arial"/>
          <w:sz w:val="18"/>
          <w:szCs w:val="18"/>
          <w:color w:val="auto"/>
        </w:rPr>
      </w:pPr>
    </w:p>
    <w:p>
      <w:pPr>
        <w:ind w:left="1740" w:right="160" w:hanging="433"/>
        <w:spacing w:after="0" w:line="246" w:lineRule="auto"/>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Licensed Products to be supplied to patients in the U.S. as part of a “free” drug program (i.e. supply program to patients prior to the Licensed Product being subject to pricing reimbursement for that patient), UGNX shall pay to KHK the prices set forth in the Side Letter between KHK and UGNX dated August 29, 2013. Additionally, for KRN23 [***] the price shall be [***]/vial. Such pricing shall remain fixed for a minimum of [***]. KHK may equitably adjust such pricing [***], commencing with [***], due to changes in KHK’s manufacturing costs, by providing UGNX with written notice (including an explanation of and supporting evidence for (if available) the applicable manufacturing cost changes) on or before [***] immediately preceding the calendar year subject to the price adjustment.</w:t>
      </w:r>
    </w:p>
    <w:p>
      <w:pPr>
        <w:spacing w:after="0" w:line="176" w:lineRule="exact"/>
        <w:rPr>
          <w:rFonts w:ascii="Arial" w:cs="Arial" w:eastAsia="Arial" w:hAnsi="Arial"/>
          <w:sz w:val="18"/>
          <w:szCs w:val="18"/>
          <w:color w:val="auto"/>
        </w:rPr>
      </w:pPr>
    </w:p>
    <w:p>
      <w:pPr>
        <w:ind w:left="1740" w:right="160" w:hanging="433"/>
        <w:spacing w:after="0" w:line="272" w:lineRule="auto"/>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expressly provided in this Amendment, all other terms, conditions and provisions of the Collaboration Agreement shall continue in full force and effect as provided therein.</w:t>
      </w:r>
    </w:p>
    <w:p>
      <w:pPr>
        <w:spacing w:after="0" w:line="153" w:lineRule="exact"/>
        <w:rPr>
          <w:rFonts w:ascii="Arial" w:cs="Arial" w:eastAsia="Arial" w:hAnsi="Arial"/>
          <w:sz w:val="18"/>
          <w:szCs w:val="18"/>
          <w:color w:val="auto"/>
        </w:rPr>
      </w:pPr>
    </w:p>
    <w:p>
      <w:pPr>
        <w:ind w:left="1740" w:right="200" w:hanging="433"/>
        <w:spacing w:after="0" w:line="278" w:lineRule="auto"/>
        <w:tabs>
          <w:tab w:leader="none" w:pos="1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This Amendment may be executed in identical duplicate copies exchanged by facsimile or e-mail (PDF form) transmission. The Parties agree to execute two identical original copies of this Amendment after exchanging signed facsimile versions. Each identical counterpart will be deemed an original, but all of which together will constitute one and the same instrument.</w:t>
      </w:r>
    </w:p>
    <w:p>
      <w:pPr>
        <w:spacing w:after="0" w:line="30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Amendment No. 5 to Collaboration and License Agreement to be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Effective Date.</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KYOWA HAKKO KIRIN CO., LTD.</w:t>
            </w:r>
          </w:p>
        </w:tc>
        <w:tc>
          <w:tcPr>
            <w:tcW w:w="6040" w:type="dxa"/>
            <w:vAlign w:val="bottom"/>
            <w:gridSpan w:val="2"/>
          </w:tcPr>
          <w:p>
            <w:pPr>
              <w:ind w:left="640"/>
              <w:spacing w:after="0"/>
              <w:rPr>
                <w:sz w:val="20"/>
                <w:szCs w:val="20"/>
                <w:color w:val="auto"/>
              </w:rPr>
            </w:pPr>
            <w:r>
              <w:rPr>
                <w:rFonts w:ascii="Arial" w:cs="Arial" w:eastAsia="Arial" w:hAnsi="Arial"/>
                <w:sz w:val="18"/>
                <w:szCs w:val="18"/>
                <w:b w:val="1"/>
                <w:bCs w:val="1"/>
                <w:color w:val="auto"/>
              </w:rPr>
              <w:t>ULTRAGENYX PHARMACEUTICAL INC.</w:t>
            </w:r>
          </w:p>
        </w:tc>
        <w:tc>
          <w:tcPr>
            <w:tcW w:w="20" w:type="dxa"/>
            <w:vAlign w:val="bottom"/>
          </w:tcPr>
          <w:p>
            <w:pPr>
              <w:spacing w:after="0"/>
              <w:rPr>
                <w:sz w:val="20"/>
                <w:szCs w:val="20"/>
                <w:color w:val="auto"/>
              </w:rPr>
            </w:pPr>
          </w:p>
        </w:tc>
      </w:tr>
      <w:tr>
        <w:trPr>
          <w:trHeight w:val="4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Yasuo Fujii</w:t>
            </w:r>
          </w:p>
        </w:tc>
        <w:tc>
          <w:tcPr>
            <w:tcW w:w="1140" w:type="dxa"/>
            <w:vAlign w:val="bottom"/>
          </w:tcPr>
          <w:p>
            <w:pPr>
              <w:ind w:left="6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Kassberg</w:t>
            </w:r>
          </w:p>
        </w:tc>
        <w:tc>
          <w:tcPr>
            <w:tcW w:w="20" w:type="dxa"/>
            <w:vAlign w:val="bottom"/>
          </w:tcPr>
          <w:p>
            <w:pPr>
              <w:spacing w:after="0"/>
              <w:rPr>
                <w:sz w:val="24"/>
                <w:szCs w:val="24"/>
                <w:color w:val="auto"/>
              </w:rPr>
            </w:pPr>
          </w:p>
        </w:tc>
      </w:tr>
      <w:tr>
        <w:trPr>
          <w:trHeight w:val="180"/>
        </w:trPr>
        <w:tc>
          <w:tcPr>
            <w:tcW w:w="480" w:type="dxa"/>
            <w:vAlign w:val="bottom"/>
          </w:tcPr>
          <w:p>
            <w:pPr>
              <w:spacing w:after="0" w:line="180" w:lineRule="exact"/>
              <w:rPr>
                <w:sz w:val="20"/>
                <w:szCs w:val="20"/>
                <w:color w:val="auto"/>
              </w:rPr>
            </w:pPr>
            <w:r>
              <w:rPr>
                <w:rFonts w:ascii="Arial" w:cs="Arial" w:eastAsia="Arial" w:hAnsi="Arial"/>
                <w:sz w:val="18"/>
                <w:szCs w:val="18"/>
                <w:color w:val="auto"/>
                <w:w w:val="86"/>
              </w:rPr>
              <w:t>Name:</w:t>
            </w:r>
          </w:p>
        </w:tc>
        <w:tc>
          <w:tcPr>
            <w:tcW w:w="4920" w:type="dxa"/>
            <w:vAlign w:val="bottom"/>
          </w:tcPr>
          <w:p>
            <w:pPr>
              <w:ind w:left="120"/>
              <w:spacing w:after="0" w:line="180" w:lineRule="exact"/>
              <w:rPr>
                <w:sz w:val="20"/>
                <w:szCs w:val="20"/>
                <w:color w:val="auto"/>
              </w:rPr>
            </w:pPr>
            <w:r>
              <w:rPr>
                <w:rFonts w:ascii="Arial" w:cs="Arial" w:eastAsia="Arial" w:hAnsi="Arial"/>
                <w:sz w:val="18"/>
                <w:szCs w:val="18"/>
                <w:color w:val="auto"/>
              </w:rPr>
              <w:t>Yasuo Fujii</w:t>
            </w:r>
          </w:p>
        </w:tc>
        <w:tc>
          <w:tcPr>
            <w:tcW w:w="1140" w:type="dxa"/>
            <w:vAlign w:val="bottom"/>
          </w:tcPr>
          <w:p>
            <w:pPr>
              <w:ind w:left="640"/>
              <w:spacing w:after="0" w:line="180" w:lineRule="exact"/>
              <w:rPr>
                <w:sz w:val="20"/>
                <w:szCs w:val="20"/>
                <w:color w:val="auto"/>
              </w:rPr>
            </w:pPr>
            <w:r>
              <w:rPr>
                <w:rFonts w:ascii="Arial" w:cs="Arial" w:eastAsia="Arial" w:hAnsi="Arial"/>
                <w:sz w:val="18"/>
                <w:szCs w:val="18"/>
                <w:color w:val="auto"/>
                <w:w w:val="90"/>
              </w:rPr>
              <w:t>Name:</w:t>
            </w:r>
          </w:p>
        </w:tc>
        <w:tc>
          <w:tcPr>
            <w:tcW w:w="4900" w:type="dxa"/>
            <w:vAlign w:val="bottom"/>
          </w:tcPr>
          <w:p>
            <w:pPr>
              <w:ind w:left="100"/>
              <w:spacing w:after="0" w:line="180" w:lineRule="exact"/>
              <w:rPr>
                <w:sz w:val="20"/>
                <w:szCs w:val="20"/>
                <w:color w:val="auto"/>
              </w:rPr>
            </w:pPr>
            <w:r>
              <w:rPr>
                <w:rFonts w:ascii="Arial" w:cs="Arial" w:eastAsia="Arial" w:hAnsi="Arial"/>
                <w:sz w:val="18"/>
                <w:szCs w:val="18"/>
                <w:color w:val="auto"/>
              </w:rPr>
              <w:t>Thomas Kassberg</w:t>
            </w:r>
          </w:p>
        </w:tc>
        <w:tc>
          <w:tcPr>
            <w:tcW w:w="2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ind w:left="120"/>
              <w:spacing w:after="0"/>
              <w:rPr>
                <w:sz w:val="20"/>
                <w:szCs w:val="20"/>
                <w:color w:val="auto"/>
              </w:rPr>
            </w:pPr>
            <w:r>
              <w:rPr>
                <w:rFonts w:ascii="Arial" w:cs="Arial" w:eastAsia="Arial" w:hAnsi="Arial"/>
                <w:sz w:val="18"/>
                <w:szCs w:val="18"/>
                <w:color w:val="auto"/>
              </w:rPr>
              <w:t>Director, Business Development Dept</w:t>
            </w:r>
          </w:p>
        </w:tc>
        <w:tc>
          <w:tcPr>
            <w:tcW w:w="1140" w:type="dxa"/>
            <w:vAlign w:val="bottom"/>
          </w:tcPr>
          <w:p>
            <w:pPr>
              <w:ind w:left="640"/>
              <w:spacing w:after="0"/>
              <w:rPr>
                <w:sz w:val="20"/>
                <w:szCs w:val="20"/>
                <w:color w:val="auto"/>
              </w:rPr>
            </w:pPr>
            <w:r>
              <w:rPr>
                <w:rFonts w:ascii="Arial" w:cs="Arial" w:eastAsia="Arial" w:hAnsi="Arial"/>
                <w:sz w:val="18"/>
                <w:szCs w:val="18"/>
                <w:color w:val="auto"/>
              </w:rPr>
              <w:t>Title:</w:t>
            </w:r>
          </w:p>
        </w:tc>
        <w:tc>
          <w:tcPr>
            <w:tcW w:w="4900" w:type="dxa"/>
            <w:vAlign w:val="bottom"/>
          </w:tcPr>
          <w:p>
            <w:pPr>
              <w:ind w:left="100"/>
              <w:spacing w:after="0"/>
              <w:rPr>
                <w:sz w:val="20"/>
                <w:szCs w:val="20"/>
                <w:color w:val="auto"/>
              </w:rPr>
            </w:pPr>
            <w:r>
              <w:rPr>
                <w:rFonts w:ascii="Arial" w:cs="Arial" w:eastAsia="Arial" w:hAnsi="Arial"/>
                <w:sz w:val="18"/>
                <w:szCs w:val="18"/>
                <w:color w:val="auto"/>
              </w:rPr>
              <w:t>Chief Business Officer</w:t>
            </w:r>
          </w:p>
        </w:tc>
        <w:tc>
          <w:tcPr>
            <w:tcW w:w="20" w:type="dxa"/>
            <w:vAlign w:val="bottom"/>
          </w:tcPr>
          <w:p>
            <w:pPr>
              <w:spacing w:after="0"/>
              <w:rPr>
                <w:sz w:val="20"/>
                <w:szCs w:val="20"/>
                <w:color w:val="auto"/>
              </w:rPr>
            </w:pPr>
          </w:p>
        </w:tc>
      </w:tr>
      <w:tr>
        <w:trPr>
          <w:trHeight w:val="377"/>
        </w:trPr>
        <w:tc>
          <w:tcPr>
            <w:tcW w:w="4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40" w:type="dxa"/>
            <w:vAlign w:val="bottom"/>
          </w:tcPr>
          <w:p>
            <w:pPr>
              <w:ind w:left="280"/>
              <w:spacing w:after="0"/>
              <w:rPr>
                <w:sz w:val="20"/>
                <w:szCs w:val="20"/>
                <w:color w:val="auto"/>
              </w:rPr>
            </w:pPr>
            <w:r>
              <w:rPr>
                <w:rFonts w:ascii="Arial" w:cs="Arial" w:eastAsia="Arial" w:hAnsi="Arial"/>
                <w:sz w:val="17"/>
                <w:szCs w:val="17"/>
                <w:color w:val="auto"/>
              </w:rPr>
              <w:t>2</w:t>
            </w:r>
          </w:p>
        </w:tc>
        <w:tc>
          <w:tcPr>
            <w:tcW w:w="4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9"/>
        </w:trPr>
        <w:tc>
          <w:tcPr>
            <w:tcW w:w="4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17"/>
          <w:szCs w:val="17"/>
          <w:color w:val="auto"/>
        </w:rPr>
        <w:t>Certain information in this document has been omitted and filed separately with the Securities and Exchange Commission. Confidential treatment has been requested with respect to the omitted portions marked [***].</w:t>
      </w:r>
    </w:p>
    <w:p>
      <w:pPr>
        <w:spacing w:after="0" w:line="200" w:lineRule="exact"/>
        <w:rPr>
          <w:sz w:val="20"/>
          <w:szCs w:val="20"/>
          <w:color w:val="auto"/>
        </w:rPr>
      </w:pP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282575</wp:posOffset>
            </wp:positionV>
            <wp:extent cx="730631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180"/>
          </w:cols>
          <w:pgMar w:left="240" w:top="126" w:right="479" w:bottom="1440" w:gutter="0" w:footer="0" w:header="0"/>
        </w:sectPr>
      </w:pPr>
    </w:p>
    <w:bookmarkStart w:id="64" w:name="page65"/>
    <w:bookmarkEnd w:id="64"/>
    <w:p>
      <w:pPr>
        <w:spacing w:after="0" w:line="263" w:lineRule="auto"/>
        <w:rPr>
          <w:sz w:val="20"/>
          <w:szCs w:val="20"/>
          <w:color w:val="auto"/>
        </w:rPr>
      </w:pPr>
      <w:r>
        <w:rPr>
          <w:rFonts w:ascii="Arial" w:cs="Arial" w:eastAsia="Arial" w:hAnsi="Arial"/>
          <w:sz w:val="17"/>
          <w:szCs w:val="17"/>
          <w:color w:val="auto"/>
        </w:rPr>
        <w:t>Certain information in this document has been omitted and filed separately with the Securities and Exchange Commission. Confidential treatment has been requested with respect to the omitted portions marked [***].</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117475</wp:posOffset>
            </wp:positionV>
            <wp:extent cx="4570730" cy="3289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4570730" cy="328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126" w:right="4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10.2</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Addendum 4 To The Lease Dated 12/17/15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 and Between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Ultragenyx Pharmaceutical Inc. As Lessee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Condiotti Enterprises, Inc. As Lessor</w:t>
      </w:r>
    </w:p>
    <w:p>
      <w:pPr>
        <w:spacing w:after="0" w:line="385" w:lineRule="exact"/>
        <w:rPr>
          <w:sz w:val="20"/>
          <w:szCs w:val="20"/>
          <w:color w:val="auto"/>
        </w:rPr>
      </w:pPr>
    </w:p>
    <w:p>
      <w:pPr>
        <w:jc w:val="both"/>
        <w:ind w:right="140"/>
        <w:spacing w:after="0" w:line="252" w:lineRule="auto"/>
        <w:rPr>
          <w:sz w:val="20"/>
          <w:szCs w:val="20"/>
          <w:color w:val="auto"/>
        </w:rPr>
      </w:pPr>
      <w:r>
        <w:rPr>
          <w:rFonts w:ascii="Arial" w:cs="Arial" w:eastAsia="Arial" w:hAnsi="Arial"/>
          <w:sz w:val="17"/>
          <w:szCs w:val="17"/>
          <w:color w:val="auto"/>
        </w:rPr>
        <w:t>On or about December 17, 2015 the above Parties entered into a Lease and Addendum 1 (the “Lease”) for the entire Premises of 81 Digital Drive, Novato, California, which included approximately 25,100 sf. On or about March 14, 2016 the Parties executed Addendum 2, which added approximately 4,388 sf of first and second floor office at 77 Digital, the Term for which has been extended to December 31, 2020.</w:t>
      </w:r>
    </w:p>
    <w:p>
      <w:pPr>
        <w:spacing w:after="0" w:line="9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On or about September 22, 2017 the Parties executed Addendum 3, which added approximately </w:t>
      </w:r>
      <w:r>
        <w:rPr>
          <w:rFonts w:ascii="Arial" w:cs="Arial" w:eastAsia="Arial" w:hAnsi="Arial"/>
          <w:sz w:val="16"/>
          <w:szCs w:val="16"/>
          <w:color w:val="auto"/>
        </w:rPr>
        <w:t>13,000 sf of Building at 77 Digital Drive, currently identified</w:t>
      </w:r>
      <w:r>
        <w:rPr>
          <w:rFonts w:ascii="Arial" w:cs="Arial" w:eastAsia="Arial" w:hAnsi="Arial"/>
          <w:sz w:val="18"/>
          <w:szCs w:val="18"/>
          <w:color w:val="auto"/>
        </w:rPr>
        <w:t xml:space="preserve"> </w:t>
      </w:r>
      <w:r>
        <w:rPr>
          <w:rFonts w:ascii="Arial" w:cs="Arial" w:eastAsia="Arial" w:hAnsi="Arial"/>
          <w:sz w:val="16"/>
          <w:szCs w:val="16"/>
          <w:color w:val="auto"/>
        </w:rPr>
        <w:t>as suites 100 and 150, and consisting of approximately 3,783 sf of office space and 9,217 sf of warehouse space</w:t>
      </w:r>
      <w:r>
        <w:rPr>
          <w:rFonts w:ascii="Arial" w:cs="Arial" w:eastAsia="Arial" w:hAnsi="Arial"/>
          <w:sz w:val="18"/>
          <w:szCs w:val="18"/>
          <w:color w:val="auto"/>
        </w:rPr>
        <w:t>, the Term for which has been extended to</w:t>
      </w:r>
      <w:r>
        <w:rPr>
          <w:rFonts w:ascii="Arial" w:cs="Arial" w:eastAsia="Arial" w:hAnsi="Arial"/>
          <w:sz w:val="16"/>
          <w:szCs w:val="16"/>
          <w:color w:val="auto"/>
        </w:rPr>
        <w:t xml:space="preserve"> </w:t>
      </w:r>
      <w:r>
        <w:rPr>
          <w:rFonts w:ascii="Arial" w:cs="Arial" w:eastAsia="Arial" w:hAnsi="Arial"/>
          <w:sz w:val="18"/>
          <w:szCs w:val="18"/>
          <w:color w:val="auto"/>
        </w:rPr>
        <w:t>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Parties now wish to incorporate the following provisions into that Lease:</w:t>
      </w:r>
    </w:p>
    <w:p>
      <w:pPr>
        <w:spacing w:after="0" w:line="116" w:lineRule="exact"/>
        <w:rPr>
          <w:sz w:val="20"/>
          <w:szCs w:val="20"/>
          <w:color w:val="auto"/>
        </w:rPr>
      </w:pPr>
    </w:p>
    <w:p>
      <w:pPr>
        <w:ind w:left="860" w:hanging="429"/>
        <w:spacing w:after="0"/>
        <w:tabs>
          <w:tab w:leader="none" w:pos="86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There shall be added to the Lease approximately 3,030 sf of office space at the 77 Digital Drive Building, currently identified as suite 210.</w:t>
      </w:r>
    </w:p>
    <w:p>
      <w:pPr>
        <w:spacing w:after="0" w:line="127" w:lineRule="exact"/>
        <w:rPr>
          <w:rFonts w:ascii="Arial" w:cs="Arial" w:eastAsia="Arial" w:hAnsi="Arial"/>
          <w:sz w:val="17"/>
          <w:szCs w:val="17"/>
          <w:b w:val="1"/>
          <w:bCs w:val="1"/>
          <w:color w:val="auto"/>
        </w:rPr>
      </w:pPr>
    </w:p>
    <w:p>
      <w:pPr>
        <w:ind w:left="860" w:hanging="429"/>
        <w:spacing w:after="0"/>
        <w:tabs>
          <w:tab w:leader="none" w:pos="86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Term for this additional space shall be from April 1, 2018 to December 31, 2020.</w:t>
      </w:r>
    </w:p>
    <w:p>
      <w:pPr>
        <w:spacing w:after="0" w:line="127" w:lineRule="exact"/>
        <w:rPr>
          <w:rFonts w:ascii="Arial" w:cs="Arial" w:eastAsia="Arial" w:hAnsi="Arial"/>
          <w:sz w:val="17"/>
          <w:szCs w:val="17"/>
          <w:b w:val="1"/>
          <w:bCs w:val="1"/>
          <w:color w:val="auto"/>
        </w:rPr>
      </w:pPr>
    </w:p>
    <w:p>
      <w:pPr>
        <w:ind w:left="860" w:hanging="429"/>
        <w:spacing w:after="0"/>
        <w:tabs>
          <w:tab w:leader="none" w:pos="86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The anniversary date for this additional space shall be January 1.</w:t>
      </w:r>
    </w:p>
    <w:p>
      <w:pPr>
        <w:spacing w:after="0" w:line="127" w:lineRule="exact"/>
        <w:rPr>
          <w:rFonts w:ascii="Arial" w:cs="Arial" w:eastAsia="Arial" w:hAnsi="Arial"/>
          <w:sz w:val="17"/>
          <w:szCs w:val="17"/>
          <w:b w:val="1"/>
          <w:bCs w:val="1"/>
          <w:color w:val="auto"/>
        </w:rPr>
      </w:pPr>
    </w:p>
    <w:p>
      <w:pPr>
        <w:ind w:left="860" w:right="140" w:hanging="429"/>
        <w:spacing w:after="0" w:line="252" w:lineRule="auto"/>
        <w:tabs>
          <w:tab w:leader="none" w:pos="86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Base Monthly Rent for this additional space shall be $3,878.40 NNN for the period April 1, 2018 to December 31, 2018. Thereafter, the Base Monthly Rent shall be adjusted per the Terms of the Lease. Lessee may have immediate occupancy of this additional space upon receipt by Lessor of this executed agreement and Lessee’s certificate of insurance adding the space per the terms of the Lease.</w:t>
      </w:r>
    </w:p>
    <w:p>
      <w:pPr>
        <w:spacing w:after="0" w:line="99" w:lineRule="exact"/>
        <w:rPr>
          <w:rFonts w:ascii="Arial" w:cs="Arial" w:eastAsia="Arial" w:hAnsi="Arial"/>
          <w:sz w:val="17"/>
          <w:szCs w:val="17"/>
          <w:b w:val="1"/>
          <w:bCs w:val="1"/>
          <w:color w:val="auto"/>
        </w:rPr>
      </w:pPr>
    </w:p>
    <w:p>
      <w:pPr>
        <w:ind w:left="860" w:right="100" w:hanging="429"/>
        <w:spacing w:after="0" w:line="264" w:lineRule="auto"/>
        <w:tabs>
          <w:tab w:leader="none" w:pos="86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No broker, agent or other entity has represented the parties to this Addendum and, therefore, each party shall bear the cost of any fee, commission, or other compensation due in relation to this Addendum</w:t>
      </w:r>
    </w:p>
    <w:p>
      <w:pPr>
        <w:spacing w:after="0" w:line="89" w:lineRule="exact"/>
        <w:rPr>
          <w:rFonts w:ascii="Arial" w:cs="Arial" w:eastAsia="Arial" w:hAnsi="Arial"/>
          <w:sz w:val="17"/>
          <w:szCs w:val="17"/>
          <w:b w:val="1"/>
          <w:bCs w:val="1"/>
          <w:color w:val="auto"/>
        </w:rPr>
      </w:pPr>
    </w:p>
    <w:p>
      <w:pPr>
        <w:ind w:left="860" w:hanging="429"/>
        <w:spacing w:after="0"/>
        <w:tabs>
          <w:tab w:leader="none" w:pos="860" w:val="left"/>
        </w:tabs>
        <w:numPr>
          <w:ilvl w:val="0"/>
          <w:numId w:val="49"/>
        </w:numPr>
        <w:rPr>
          <w:rFonts w:ascii="Arial" w:cs="Arial" w:eastAsia="Arial" w:hAnsi="Arial"/>
          <w:sz w:val="17"/>
          <w:szCs w:val="17"/>
          <w:b w:val="1"/>
          <w:bCs w:val="1"/>
          <w:color w:val="auto"/>
        </w:rPr>
      </w:pPr>
      <w:r>
        <w:rPr>
          <w:rFonts w:ascii="Arial" w:cs="Arial" w:eastAsia="Arial" w:hAnsi="Arial"/>
          <w:sz w:val="17"/>
          <w:szCs w:val="17"/>
          <w:color w:val="auto"/>
        </w:rPr>
        <w:t>In all other terms, conditions and obligations the Lease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260985</wp:posOffset>
            </wp:positionV>
            <wp:extent cx="73063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17"/>
          <w:szCs w:val="17"/>
          <w:color w:val="auto"/>
        </w:rPr>
        <w:t>IN WITNESS HEREOF, the Parties have duly executed this Addendum 4 or, as the case may be, have caused their duly authorized officers to execute this Addendum 4, on April 1</w:t>
      </w:r>
      <w:r>
        <w:rPr>
          <w:rFonts w:ascii="Arial" w:cs="Arial" w:eastAsia="Arial" w:hAnsi="Arial"/>
          <w:sz w:val="14"/>
          <w:szCs w:val="14"/>
          <w:color w:val="auto"/>
        </w:rPr>
        <w:t>st</w:t>
      </w:r>
      <w:r>
        <w:rPr>
          <w:rFonts w:ascii="Arial" w:cs="Arial" w:eastAsia="Arial" w:hAnsi="Arial"/>
          <w:sz w:val="17"/>
          <w:szCs w:val="17"/>
          <w:color w:val="auto"/>
        </w:rPr>
        <w:t>, 2018 the Addendum 4 Effective Date.</w:t>
      </w:r>
    </w:p>
    <w:p>
      <w:pPr>
        <w:spacing w:after="0" w:line="86" w:lineRule="exact"/>
        <w:rPr>
          <w:sz w:val="20"/>
          <w:szCs w:val="20"/>
          <w:color w:val="auto"/>
        </w:rPr>
      </w:pPr>
    </w:p>
    <w:p>
      <w:pPr>
        <w:spacing w:after="0"/>
        <w:tabs>
          <w:tab w:leader="none" w:pos="6020" w:val="left"/>
        </w:tabs>
        <w:rPr>
          <w:sz w:val="20"/>
          <w:szCs w:val="20"/>
          <w:color w:val="auto"/>
        </w:rPr>
      </w:pPr>
      <w:r>
        <w:rPr>
          <w:rFonts w:ascii="Arial" w:cs="Arial" w:eastAsia="Arial" w:hAnsi="Arial"/>
          <w:sz w:val="17"/>
          <w:szCs w:val="17"/>
          <w:b w:val="1"/>
          <w:bCs w:val="1"/>
          <w:color w:val="auto"/>
        </w:rPr>
        <w:t>U</w:t>
      </w:r>
      <w:r>
        <w:rPr>
          <w:rFonts w:ascii="Arial" w:cs="Arial" w:eastAsia="Arial" w:hAnsi="Arial"/>
          <w:sz w:val="11"/>
          <w:szCs w:val="11"/>
          <w:b w:val="1"/>
          <w:bCs w:val="1"/>
          <w:color w:val="auto"/>
        </w:rPr>
        <w:t>LTRAGENYX</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HARMACEUTICAL</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C</w:t>
      </w:r>
      <w:r>
        <w:rPr>
          <w:rFonts w:ascii="Arial" w:cs="Arial" w:eastAsia="Arial" w:hAnsi="Arial"/>
          <w:sz w:val="11"/>
          <w:szCs w:val="11"/>
          <w:b w:val="1"/>
          <w:bCs w:val="1"/>
          <w:color w:val="auto"/>
        </w:rPr>
        <w:t>ONDIOTTI</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NTERPRISES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p>
      <w:pPr>
        <w:sectPr>
          <w:pgSz w:w="11900" w:h="16838" w:orient="portrait"/>
          <w:cols w:equalWidth="0" w:num="1">
            <w:col w:w="11400"/>
          </w:cols>
          <w:pgMar w:left="240" w:top="125" w:right="259" w:bottom="1440" w:gutter="0" w:footer="0" w:header="0"/>
        </w:sectPr>
      </w:pPr>
    </w:p>
    <w:p>
      <w:pPr>
        <w:spacing w:after="0" w:line="201" w:lineRule="exact"/>
        <w:rPr>
          <w:sz w:val="20"/>
          <w:szCs w:val="20"/>
          <w:color w:val="auto"/>
        </w:rPr>
      </w:pPr>
    </w:p>
    <w:p>
      <w:pPr>
        <w:jc w:val="right"/>
        <w:ind w:right="1760"/>
        <w:spacing w:after="0"/>
        <w:rPr>
          <w:sz w:val="20"/>
          <w:szCs w:val="20"/>
          <w:color w:val="auto"/>
        </w:rPr>
      </w:pPr>
      <w:r>
        <w:rPr>
          <w:rFonts w:ascii="Arial" w:cs="Arial" w:eastAsia="Arial" w:hAnsi="Arial"/>
          <w:sz w:val="17"/>
          <w:szCs w:val="17"/>
          <w:color w:val="auto"/>
        </w:rPr>
        <w:t>/s/ Thomas Kassberg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64045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64045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By</w:t>
      </w:r>
    </w:p>
    <w:p>
      <w:pPr>
        <w:spacing w:after="0" w:line="8"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Thomas Kassberg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364045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64045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Printed Name</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7"/>
          <w:szCs w:val="17"/>
          <w:color w:val="auto"/>
        </w:rPr>
        <w:t>CBO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36404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64045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8"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04/23/18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364045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364045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2300"/>
        <w:spacing w:after="0"/>
        <w:rPr>
          <w:sz w:val="20"/>
          <w:szCs w:val="20"/>
          <w:color w:val="auto"/>
        </w:rPr>
      </w:pPr>
      <w:r>
        <w:rPr>
          <w:rFonts w:ascii="Arial" w:cs="Arial" w:eastAsia="Arial" w:hAnsi="Arial"/>
          <w:sz w:val="17"/>
          <w:szCs w:val="17"/>
          <w:color w:val="auto"/>
        </w:rPr>
        <w:t>/s/ J. Warz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9525</wp:posOffset>
            </wp:positionV>
            <wp:extent cx="342074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342074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By</w:t>
      </w:r>
    </w:p>
    <w:p>
      <w:pPr>
        <w:spacing w:after="0" w:line="8"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J. Warz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342074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42074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Printed Name</w:t>
      </w:r>
    </w:p>
    <w:p>
      <w:pPr>
        <w:spacing w:after="0" w:line="8"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342074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42074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Title</w:t>
      </w:r>
    </w:p>
    <w:p>
      <w:pPr>
        <w:spacing w:after="0" w:line="8"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4/26/18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342074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42074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Date</w:t>
      </w:r>
    </w:p>
    <w:p>
      <w:pPr>
        <w:sectPr>
          <w:pgSz w:w="11900" w:h="16838" w:orient="portrait"/>
          <w:cols w:equalWidth="0" w:num="2">
            <w:col w:w="5320" w:space="720"/>
            <w:col w:w="5360"/>
          </w:cols>
          <w:pgMar w:left="240" w:top="125" w:right="25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SECOND AMENDMENT TO LEASE AGREEMENT</w:t>
      </w:r>
    </w:p>
    <w:p>
      <w:pPr>
        <w:spacing w:after="0" w:line="185" w:lineRule="exact"/>
        <w:rPr>
          <w:sz w:val="20"/>
          <w:szCs w:val="20"/>
          <w:color w:val="auto"/>
        </w:rPr>
      </w:pPr>
    </w:p>
    <w:p>
      <w:pPr>
        <w:ind w:left="8" w:right="20" w:firstLine="880"/>
        <w:spacing w:after="0" w:line="283" w:lineRule="auto"/>
        <w:rPr>
          <w:sz w:val="20"/>
          <w:szCs w:val="20"/>
          <w:color w:val="auto"/>
        </w:rPr>
      </w:pPr>
      <w:r>
        <w:rPr>
          <w:rFonts w:ascii="Arial" w:cs="Arial" w:eastAsia="Arial" w:hAnsi="Arial"/>
          <w:sz w:val="15"/>
          <w:szCs w:val="15"/>
          <w:color w:val="auto"/>
        </w:rPr>
        <w:t>THIS SECOND AMENDMENT TO LEASE AGREEMENT (the “</w:t>
      </w:r>
      <w:r>
        <w:rPr>
          <w:rFonts w:ascii="Arial" w:cs="Arial" w:eastAsia="Arial" w:hAnsi="Arial"/>
          <w:sz w:val="15"/>
          <w:szCs w:val="15"/>
          <w:b w:val="1"/>
          <w:bCs w:val="1"/>
          <w:color w:val="auto"/>
        </w:rPr>
        <w:t>Second Amendment</w:t>
      </w:r>
      <w:r>
        <w:rPr>
          <w:rFonts w:ascii="Arial" w:cs="Arial" w:eastAsia="Arial" w:hAnsi="Arial"/>
          <w:sz w:val="15"/>
          <w:szCs w:val="15"/>
          <w:color w:val="auto"/>
        </w:rPr>
        <w:t>”) is made as of this 1</w:t>
      </w:r>
      <w:r>
        <w:rPr>
          <w:rFonts w:ascii="Arial" w:cs="Arial" w:eastAsia="Arial" w:hAnsi="Arial"/>
          <w:sz w:val="13"/>
          <w:szCs w:val="13"/>
          <w:color w:val="auto"/>
        </w:rPr>
        <w:t>st</w:t>
      </w:r>
      <w:r>
        <w:rPr>
          <w:rFonts w:ascii="Arial" w:cs="Arial" w:eastAsia="Arial" w:hAnsi="Arial"/>
          <w:sz w:val="15"/>
          <w:szCs w:val="15"/>
          <w:color w:val="auto"/>
        </w:rPr>
        <w:t xml:space="preserve"> day of July, 2018, between </w:t>
      </w:r>
      <w:r>
        <w:rPr>
          <w:rFonts w:ascii="Arial" w:cs="Arial" w:eastAsia="Arial" w:hAnsi="Arial"/>
          <w:sz w:val="15"/>
          <w:szCs w:val="15"/>
          <w:b w:val="1"/>
          <w:bCs w:val="1"/>
          <w:color w:val="auto"/>
        </w:rPr>
        <w:t>ARE-MA REGION</w:t>
      </w:r>
      <w:r>
        <w:rPr>
          <w:rFonts w:ascii="Arial" w:cs="Arial" w:eastAsia="Arial" w:hAnsi="Arial"/>
          <w:sz w:val="15"/>
          <w:szCs w:val="15"/>
          <w:color w:val="auto"/>
        </w:rPr>
        <w:t xml:space="preserve"> </w:t>
      </w:r>
      <w:r>
        <w:rPr>
          <w:rFonts w:ascii="Arial" w:cs="Arial" w:eastAsia="Arial" w:hAnsi="Arial"/>
          <w:sz w:val="15"/>
          <w:szCs w:val="15"/>
          <w:b w:val="1"/>
          <w:bCs w:val="1"/>
          <w:color w:val="auto"/>
        </w:rPr>
        <w:t>NO. 20, LLC</w:t>
      </w:r>
      <w:r>
        <w:rPr>
          <w:rFonts w:ascii="Arial" w:cs="Arial" w:eastAsia="Arial" w:hAnsi="Arial"/>
          <w:sz w:val="15"/>
          <w:szCs w:val="15"/>
          <w:color w:val="auto"/>
        </w:rPr>
        <w:t>, a Delaware limited liability company (“</w:t>
      </w:r>
      <w:r>
        <w:rPr>
          <w:rFonts w:ascii="Arial" w:cs="Arial" w:eastAsia="Arial" w:hAnsi="Arial"/>
          <w:sz w:val="15"/>
          <w:szCs w:val="15"/>
          <w:b w:val="1"/>
          <w:bCs w:val="1"/>
          <w:color w:val="auto"/>
        </w:rPr>
        <w:t>Landlord</w:t>
      </w:r>
      <w:r>
        <w:rPr>
          <w:rFonts w:ascii="Arial" w:cs="Arial" w:eastAsia="Arial" w:hAnsi="Arial"/>
          <w:sz w:val="15"/>
          <w:szCs w:val="15"/>
          <w:color w:val="auto"/>
        </w:rPr>
        <w:t>”), and</w:t>
      </w:r>
      <w:r>
        <w:rPr>
          <w:rFonts w:ascii="Arial" w:cs="Arial" w:eastAsia="Arial" w:hAnsi="Arial"/>
          <w:sz w:val="15"/>
          <w:szCs w:val="15"/>
          <w:b w:val="1"/>
          <w:bCs w:val="1"/>
          <w:color w:val="auto"/>
        </w:rPr>
        <w:t xml:space="preserve"> ULTRAGENYX PHARMACEUTICAL INC.</w:t>
      </w:r>
      <w:r>
        <w:rPr>
          <w:rFonts w:ascii="Arial" w:cs="Arial" w:eastAsia="Arial" w:hAnsi="Arial"/>
          <w:sz w:val="15"/>
          <w:szCs w:val="15"/>
          <w:color w:val="auto"/>
        </w:rPr>
        <w:t>, a Delaware corporation (“</w:t>
      </w:r>
      <w:r>
        <w:rPr>
          <w:rFonts w:ascii="Arial" w:cs="Arial" w:eastAsia="Arial" w:hAnsi="Arial"/>
          <w:sz w:val="15"/>
          <w:szCs w:val="15"/>
          <w:b w:val="1"/>
          <w:bCs w:val="1"/>
          <w:color w:val="auto"/>
        </w:rPr>
        <w:t>Tenant</w:t>
      </w:r>
      <w:r>
        <w:rPr>
          <w:rFonts w:ascii="Arial" w:cs="Arial" w:eastAsia="Arial" w:hAnsi="Arial"/>
          <w:sz w:val="15"/>
          <w:szCs w:val="15"/>
          <w:color w:val="auto"/>
        </w:rPr>
        <w:t>”).</w:t>
      </w:r>
    </w:p>
    <w:p>
      <w:pPr>
        <w:spacing w:after="0" w:line="12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u w:val="single" w:color="auto"/>
          <w:color w:val="auto"/>
        </w:rPr>
        <w:t>RECITALS</w:t>
      </w:r>
      <w:r>
        <w:rPr>
          <w:rFonts w:ascii="Arial" w:cs="Arial" w:eastAsia="Arial" w:hAnsi="Arial"/>
          <w:sz w:val="15"/>
          <w:szCs w:val="15"/>
          <w:b w:val="1"/>
          <w:bCs w:val="1"/>
          <w:color w:val="auto"/>
        </w:rPr>
        <w:t>:</w:t>
      </w:r>
    </w:p>
    <w:p>
      <w:pPr>
        <w:spacing w:after="0" w:line="203" w:lineRule="exact"/>
        <w:rPr>
          <w:sz w:val="20"/>
          <w:szCs w:val="20"/>
          <w:color w:val="auto"/>
        </w:rPr>
      </w:pPr>
    </w:p>
    <w:p>
      <w:pPr>
        <w:jc w:val="both"/>
        <w:ind w:left="8" w:firstLine="872"/>
        <w:spacing w:after="0" w:line="245" w:lineRule="auto"/>
        <w:tabs>
          <w:tab w:leader="none" w:pos="21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Tenant and Landlord are parties to that certain Lease Agreement dated as of October 30, 2015, as amended by that certain First Amendment to Lease Agreement dated as of March 20, 2018 (the “</w:t>
      </w:r>
      <w:r>
        <w:rPr>
          <w:rFonts w:ascii="Arial" w:cs="Arial" w:eastAsia="Arial" w:hAnsi="Arial"/>
          <w:sz w:val="15"/>
          <w:szCs w:val="15"/>
          <w:b w:val="1"/>
          <w:bCs w:val="1"/>
          <w:color w:val="auto"/>
        </w:rPr>
        <w:t>First Amendment</w:t>
      </w:r>
      <w:r>
        <w:rPr>
          <w:rFonts w:ascii="Arial" w:cs="Arial" w:eastAsia="Arial" w:hAnsi="Arial"/>
          <w:sz w:val="15"/>
          <w:szCs w:val="15"/>
          <w:color w:val="auto"/>
        </w:rPr>
        <w:t>”) (as amended, the “</w:t>
      </w:r>
      <w:r>
        <w:rPr>
          <w:rFonts w:ascii="Arial" w:cs="Arial" w:eastAsia="Arial" w:hAnsi="Arial"/>
          <w:sz w:val="15"/>
          <w:szCs w:val="15"/>
          <w:b w:val="1"/>
          <w:bCs w:val="1"/>
          <w:color w:val="auto"/>
        </w:rPr>
        <w:t>Lease</w:t>
      </w:r>
      <w:r>
        <w:rPr>
          <w:rFonts w:ascii="Arial" w:cs="Arial" w:eastAsia="Arial" w:hAnsi="Arial"/>
          <w:sz w:val="15"/>
          <w:szCs w:val="15"/>
          <w:color w:val="auto"/>
        </w:rPr>
        <w:t>”). Pursuant to the Lease, Tenant leases from Landlord certain premises consisting of approximately 17,583 rentable square feet (the “</w:t>
      </w:r>
      <w:r>
        <w:rPr>
          <w:rFonts w:ascii="Arial" w:cs="Arial" w:eastAsia="Arial" w:hAnsi="Arial"/>
          <w:sz w:val="15"/>
          <w:szCs w:val="15"/>
          <w:b w:val="1"/>
          <w:bCs w:val="1"/>
          <w:color w:val="auto"/>
        </w:rPr>
        <w:t>Original Premises</w:t>
      </w:r>
      <w:r>
        <w:rPr>
          <w:rFonts w:ascii="Arial" w:cs="Arial" w:eastAsia="Arial" w:hAnsi="Arial"/>
          <w:sz w:val="15"/>
          <w:szCs w:val="15"/>
          <w:color w:val="auto"/>
        </w:rPr>
        <w:t>”) in that certain building located at 19 Presidential Way, Woburn, Massachusetts (the “</w:t>
      </w:r>
      <w:r>
        <w:rPr>
          <w:rFonts w:ascii="Arial" w:cs="Arial" w:eastAsia="Arial" w:hAnsi="Arial"/>
          <w:sz w:val="15"/>
          <w:szCs w:val="15"/>
          <w:b w:val="1"/>
          <w:bCs w:val="1"/>
          <w:color w:val="auto"/>
        </w:rPr>
        <w:t>Building</w:t>
      </w:r>
      <w:r>
        <w:rPr>
          <w:rFonts w:ascii="Arial" w:cs="Arial" w:eastAsia="Arial" w:hAnsi="Arial"/>
          <w:sz w:val="15"/>
          <w:szCs w:val="15"/>
          <w:color w:val="auto"/>
        </w:rPr>
        <w:t>”), as more particularly described in the Lease. Capitalized terms used herein without definition shall have the meanings defined for such terms in the Lease.</w:t>
      </w:r>
    </w:p>
    <w:p>
      <w:pPr>
        <w:spacing w:after="0" w:line="169" w:lineRule="exact"/>
        <w:rPr>
          <w:rFonts w:ascii="Arial" w:cs="Arial" w:eastAsia="Arial" w:hAnsi="Arial"/>
          <w:sz w:val="15"/>
          <w:szCs w:val="15"/>
          <w:color w:val="auto"/>
        </w:rPr>
      </w:pPr>
    </w:p>
    <w:p>
      <w:pPr>
        <w:jc w:val="both"/>
        <w:ind w:left="8" w:firstLine="872"/>
        <w:spacing w:after="0" w:line="249" w:lineRule="auto"/>
        <w:tabs>
          <w:tab w:leader="none" w:pos="21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Landlord and Tenant desire, subject to the terms and conditions set forth below, to amend the Lease to, among other things, expand the size of the Original Premises by adding that portion of the Building commonly known as Suite 303, containing approximately 6,455 rentable square feet, as shown on </w:t>
      </w:r>
      <w:r>
        <w:rPr>
          <w:rFonts w:ascii="Arial" w:cs="Arial" w:eastAsia="Arial" w:hAnsi="Arial"/>
          <w:sz w:val="15"/>
          <w:szCs w:val="15"/>
          <w:b w:val="1"/>
          <w:bCs w:val="1"/>
          <w:color w:val="auto"/>
        </w:rPr>
        <w:t xml:space="preserve">Exhibit A </w:t>
      </w:r>
      <w:r>
        <w:rPr>
          <w:rFonts w:ascii="Arial" w:cs="Arial" w:eastAsia="Arial" w:hAnsi="Arial"/>
          <w:sz w:val="15"/>
          <w:szCs w:val="15"/>
          <w:color w:val="auto"/>
        </w:rPr>
        <w:t>attached to this First Amendment (the “</w:t>
      </w:r>
      <w:r>
        <w:rPr>
          <w:rFonts w:ascii="Arial" w:cs="Arial" w:eastAsia="Arial" w:hAnsi="Arial"/>
          <w:sz w:val="15"/>
          <w:szCs w:val="15"/>
          <w:b w:val="1"/>
          <w:bCs w:val="1"/>
          <w:color w:val="auto"/>
        </w:rPr>
        <w:t>Expansion Premises</w:t>
      </w:r>
      <w:r>
        <w:rPr>
          <w:rFonts w:ascii="Arial" w:cs="Arial" w:eastAsia="Arial" w:hAnsi="Arial"/>
          <w:sz w:val="15"/>
          <w:szCs w:val="15"/>
          <w:color w:val="auto"/>
        </w:rPr>
        <w:t>”)</w:t>
      </w:r>
    </w:p>
    <w:p>
      <w:pPr>
        <w:spacing w:after="0" w:line="167" w:lineRule="exact"/>
        <w:rPr>
          <w:sz w:val="20"/>
          <w:szCs w:val="20"/>
          <w:color w:val="auto"/>
        </w:rPr>
      </w:pPr>
    </w:p>
    <w:p>
      <w:pPr>
        <w:ind w:left="8" w:firstLine="880"/>
        <w:spacing w:after="0" w:line="258" w:lineRule="auto"/>
        <w:rPr>
          <w:sz w:val="20"/>
          <w:szCs w:val="20"/>
          <w:color w:val="auto"/>
        </w:rPr>
      </w:pPr>
      <w:r>
        <w:rPr>
          <w:rFonts w:ascii="Arial" w:cs="Arial" w:eastAsia="Arial" w:hAnsi="Arial"/>
          <w:sz w:val="15"/>
          <w:szCs w:val="15"/>
          <w:color w:val="auto"/>
        </w:rPr>
        <w:t>NOW, THEREFORE, in consideration of the mutual covenants herein expressed and for other good and valuable consideration, the receipt and sufficiency of which are hereby acknowledged, Tenant and Landlord agree as follows:</w:t>
      </w:r>
    </w:p>
    <w:p>
      <w:pPr>
        <w:spacing w:after="0" w:line="142" w:lineRule="exact"/>
        <w:rPr>
          <w:sz w:val="20"/>
          <w:szCs w:val="20"/>
          <w:color w:val="auto"/>
        </w:rPr>
      </w:pPr>
    </w:p>
    <w:p>
      <w:pPr>
        <w:ind w:left="8" w:right="20" w:hanging="8"/>
        <w:spacing w:after="0" w:line="283" w:lineRule="auto"/>
        <w:tabs>
          <w:tab w:leader="none" w:pos="690" w:val="left"/>
        </w:tabs>
        <w:numPr>
          <w:ilvl w:val="0"/>
          <w:numId w:val="51"/>
        </w:numPr>
        <w:rPr>
          <w:rFonts w:ascii="Arial" w:cs="Arial" w:eastAsia="Arial" w:hAnsi="Arial"/>
          <w:sz w:val="15"/>
          <w:szCs w:val="15"/>
          <w:color w:val="auto"/>
        </w:rPr>
      </w:pPr>
      <w:r>
        <w:rPr>
          <w:rFonts w:ascii="Arial" w:cs="Arial" w:eastAsia="Arial" w:hAnsi="Arial"/>
          <w:sz w:val="15"/>
          <w:szCs w:val="15"/>
          <w:b w:val="1"/>
          <w:bCs w:val="1"/>
          <w:u w:val="single" w:color="auto"/>
          <w:color w:val="auto"/>
        </w:rPr>
        <w:t>Expansion Premises</w:t>
      </w:r>
      <w:r>
        <w:rPr>
          <w:rFonts w:ascii="Arial" w:cs="Arial" w:eastAsia="Arial" w:hAnsi="Arial"/>
          <w:sz w:val="15"/>
          <w:szCs w:val="15"/>
          <w:color w:val="auto"/>
        </w:rPr>
        <w:t>. In addition to the Original Premises, commencing on the Expansion Premises Commencement Date (as defined below),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leases to Tenant, and Tenant leases from Landlord, the Expansion Premises.</w:t>
      </w:r>
    </w:p>
    <w:p>
      <w:pPr>
        <w:spacing w:after="0" w:line="123" w:lineRule="exact"/>
        <w:rPr>
          <w:rFonts w:ascii="Arial" w:cs="Arial" w:eastAsia="Arial" w:hAnsi="Arial"/>
          <w:sz w:val="15"/>
          <w:szCs w:val="15"/>
          <w:color w:val="auto"/>
        </w:rPr>
      </w:pPr>
    </w:p>
    <w:p>
      <w:pPr>
        <w:ind w:left="8" w:right="20" w:hanging="8"/>
        <w:spacing w:after="0" w:line="283" w:lineRule="auto"/>
        <w:tabs>
          <w:tab w:leader="none" w:pos="690" w:val="left"/>
        </w:tabs>
        <w:numPr>
          <w:ilvl w:val="0"/>
          <w:numId w:val="51"/>
        </w:numPr>
        <w:rPr>
          <w:rFonts w:ascii="Arial" w:cs="Arial" w:eastAsia="Arial" w:hAnsi="Arial"/>
          <w:sz w:val="15"/>
          <w:szCs w:val="15"/>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color w:val="auto"/>
        </w:rPr>
        <w:t>. The “</w:t>
      </w:r>
      <w:r>
        <w:rPr>
          <w:rFonts w:ascii="Arial" w:cs="Arial" w:eastAsia="Arial" w:hAnsi="Arial"/>
          <w:sz w:val="15"/>
          <w:szCs w:val="15"/>
          <w:b w:val="1"/>
          <w:bCs w:val="1"/>
          <w:color w:val="auto"/>
        </w:rPr>
        <w:t>Expansion Premises Commencement Date</w:t>
      </w:r>
      <w:r>
        <w:rPr>
          <w:rFonts w:ascii="Arial" w:cs="Arial" w:eastAsia="Arial" w:hAnsi="Arial"/>
          <w:sz w:val="15"/>
          <w:szCs w:val="15"/>
          <w:color w:val="auto"/>
        </w:rPr>
        <w:t>” shall be July 1, 2018. Landlord shall deliver the Expansion Premises to Tenant on the</w:t>
      </w:r>
      <w:r>
        <w:rPr>
          <w:rFonts w:ascii="Arial" w:cs="Arial" w:eastAsia="Arial" w:hAnsi="Arial"/>
          <w:sz w:val="15"/>
          <w:szCs w:val="15"/>
          <w:b w:val="1"/>
          <w:bCs w:val="1"/>
          <w:color w:val="auto"/>
        </w:rPr>
        <w:t xml:space="preserve"> </w:t>
      </w:r>
      <w:r>
        <w:rPr>
          <w:rFonts w:ascii="Arial" w:cs="Arial" w:eastAsia="Arial" w:hAnsi="Arial"/>
          <w:sz w:val="15"/>
          <w:szCs w:val="15"/>
          <w:color w:val="auto"/>
        </w:rPr>
        <w:t>Expansion Premises Commencement Date.</w:t>
      </w:r>
    </w:p>
    <w:p>
      <w:pPr>
        <w:spacing w:after="0" w:line="142" w:lineRule="exact"/>
        <w:rPr>
          <w:sz w:val="20"/>
          <w:szCs w:val="20"/>
          <w:color w:val="auto"/>
        </w:rPr>
      </w:pPr>
    </w:p>
    <w:p>
      <w:pPr>
        <w:jc w:val="both"/>
        <w:ind w:left="8" w:firstLine="880"/>
        <w:spacing w:after="0" w:line="249" w:lineRule="auto"/>
        <w:rPr>
          <w:sz w:val="20"/>
          <w:szCs w:val="20"/>
          <w:color w:val="auto"/>
        </w:rPr>
      </w:pPr>
      <w:r>
        <w:rPr>
          <w:rFonts w:ascii="Arial" w:cs="Arial" w:eastAsia="Arial" w:hAnsi="Arial"/>
          <w:sz w:val="15"/>
          <w:szCs w:val="15"/>
          <w:color w:val="auto"/>
        </w:rPr>
        <w:t xml:space="preserve">Upon the request of Landlord, Tenant shall execute and deliver a written acknowledgment of the Expansion Premises Commencement Date in substantially the form of the “Acknowledgement of Commencement Date” attached to the Lease as </w:t>
      </w:r>
      <w:r>
        <w:rPr>
          <w:rFonts w:ascii="Arial" w:cs="Arial" w:eastAsia="Arial" w:hAnsi="Arial"/>
          <w:sz w:val="15"/>
          <w:szCs w:val="15"/>
          <w:b w:val="1"/>
          <w:bCs w:val="1"/>
          <w:color w:val="auto"/>
        </w:rPr>
        <w:t>Exhibit 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Tenant’s failure to execute and deliver such acknowledgment shall not affect Landlord’s rights hereunder.</w:t>
      </w:r>
    </w:p>
    <w:p>
      <w:pPr>
        <w:spacing w:after="0" w:line="167" w:lineRule="exact"/>
        <w:rPr>
          <w:sz w:val="20"/>
          <w:szCs w:val="20"/>
          <w:color w:val="auto"/>
        </w:rPr>
      </w:pPr>
    </w:p>
    <w:p>
      <w:pPr>
        <w:ind w:left="888"/>
        <w:spacing w:after="0"/>
        <w:rPr>
          <w:sz w:val="20"/>
          <w:szCs w:val="20"/>
          <w:color w:val="auto"/>
        </w:rPr>
      </w:pPr>
      <w:r>
        <w:rPr>
          <w:rFonts w:ascii="Arial" w:cs="Arial" w:eastAsia="Arial" w:hAnsi="Arial"/>
          <w:sz w:val="15"/>
          <w:szCs w:val="15"/>
          <w:color w:val="auto"/>
        </w:rPr>
        <w:t>Except as otherwise expressly set forth in the Lease or this Second Amendment and subject to the completion of Landlord’s Work (as defined below) by</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color w:val="auto"/>
        </w:rPr>
        <w:t>Landlord: (i) Tenant shall accept the Expansion Premises in their condition as of the Expansion Premises Commencement Date; (ii) Landlord shall have no obligation for</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color w:val="auto"/>
        </w:rPr>
        <w:t>any defects in the Expansion Premises; and (iii) Tenant’s taking possession of the Expansion Premises shall be conclusive evidence that Tenant accepts the Expansion</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color w:val="auto"/>
        </w:rPr>
        <w:t>Premises and that the Expansion Premises were in good condition at the time possession was taken.</w:t>
      </w:r>
    </w:p>
    <w:p>
      <w:pPr>
        <w:spacing w:after="0" w:line="185" w:lineRule="exact"/>
        <w:rPr>
          <w:sz w:val="20"/>
          <w:szCs w:val="20"/>
          <w:color w:val="auto"/>
        </w:rPr>
      </w:pPr>
    </w:p>
    <w:p>
      <w:pPr>
        <w:jc w:val="both"/>
        <w:ind w:left="8" w:firstLine="880"/>
        <w:spacing w:after="0" w:line="243" w:lineRule="auto"/>
        <w:rPr>
          <w:sz w:val="20"/>
          <w:szCs w:val="20"/>
          <w:color w:val="auto"/>
        </w:rPr>
      </w:pPr>
      <w:r>
        <w:rPr>
          <w:rFonts w:ascii="Arial" w:cs="Arial" w:eastAsia="Arial" w:hAnsi="Arial"/>
          <w:sz w:val="15"/>
          <w:szCs w:val="15"/>
          <w:color w:val="auto"/>
        </w:rPr>
        <w:t>Tenant acknowledges and agrees that, following the Expansion Premises Commencement Date, Landlord shall require access to the Expansion Premises in order to complete Landlord’s Work. Landlord and its contractors and agents shall have the right to enter the Expansion Premises to perform Landlord’s Work and Tenant shall cooperate with Landlord in connection with the same. Landlord and Tenant shall work together in a cooperative manner to coordinate Landlord’s Work and the Expansion Premises Improvements and to achieve the substantial completion of all such work in as prompt and efficient manner as reasonably practicable. Tenant acknowledges that Landlord’s performance of Landlord’s Work may adversely affect Tenant’s use and occupancy of the Expansion Premises. Tenant waives all claims for rent abatement in connection with Landlord’s Work. As used herein, “</w:t>
      </w:r>
      <w:r>
        <w:rPr>
          <w:rFonts w:ascii="Arial" w:cs="Arial" w:eastAsia="Arial" w:hAnsi="Arial"/>
          <w:sz w:val="15"/>
          <w:szCs w:val="15"/>
          <w:b w:val="1"/>
          <w:bCs w:val="1"/>
          <w:color w:val="auto"/>
        </w:rPr>
        <w:t>Landlord’s Work</w:t>
      </w:r>
      <w:r>
        <w:rPr>
          <w:rFonts w:ascii="Arial" w:cs="Arial" w:eastAsia="Arial" w:hAnsi="Arial"/>
          <w:sz w:val="15"/>
          <w:szCs w:val="15"/>
          <w:color w:val="auto"/>
        </w:rPr>
        <w:t>” shall mean (i) the installation of glass doors in the entry way to the Expansion Premises and installation of wooden doors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110490</wp:posOffset>
            </wp:positionV>
            <wp:extent cx="2065655" cy="4394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065655"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92"/>
        <w:spacing w:after="0"/>
        <w:rPr>
          <w:sz w:val="20"/>
          <w:szCs w:val="20"/>
          <w:color w:val="auto"/>
        </w:rPr>
      </w:pPr>
      <w:r>
        <w:rPr>
          <w:rFonts w:ascii="Arial" w:cs="Arial" w:eastAsia="Arial" w:hAnsi="Arial"/>
          <w:sz w:val="15"/>
          <w:szCs w:val="15"/>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3063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8"/>
          </w:cols>
          <w:pgMar w:left="232" w:top="116" w:right="219" w:bottom="1440" w:gutter="0" w:footer="0" w:header="0"/>
        </w:sectPr>
      </w:pPr>
    </w:p>
    <w:bookmarkStart w:id="68" w:name="page69"/>
    <w:bookmarkEnd w:id="68"/>
    <w:p>
      <w:pPr>
        <w:jc w:val="both"/>
        <w:ind w:left="8"/>
        <w:spacing w:after="0" w:line="244" w:lineRule="auto"/>
        <w:rPr>
          <w:sz w:val="20"/>
          <w:szCs w:val="20"/>
          <w:color w:val="auto"/>
        </w:rPr>
      </w:pPr>
      <w:r>
        <w:rPr>
          <w:rFonts w:ascii="Arial" w:cs="Arial" w:eastAsia="Arial" w:hAnsi="Arial"/>
          <w:sz w:val="15"/>
          <w:szCs w:val="15"/>
          <w:color w:val="auto"/>
        </w:rPr>
        <w:t>the entrance to the existing laboratory area of the Expansion Premises, (ii) the installation of the ceiling (including the ceiling grid and ceiling tiles) in the existing laboratory and office areas of the Expansion Premises, (iii) the installation of flooring in the existing laboratory area of the Expansion Premises, (iv) the installation of 2 six-foot chemical fume hoods in the existing laboratory area of the Expansion Premises in the locations described on Landlord’s existing plans, and (v) the installation of 3 sinks with sink bases in the existing laboratory area of the Expansion Premises in the locations described on Landlord’s existing plans. Landlord’s Work shall be performed at Landlord’s sole cost and expense, and the Improvements Allowance shall not be used for Landlord’s Work.</w:t>
      </w:r>
    </w:p>
    <w:p>
      <w:pPr>
        <w:spacing w:after="0" w:line="172" w:lineRule="exact"/>
        <w:rPr>
          <w:sz w:val="20"/>
          <w:szCs w:val="20"/>
          <w:color w:val="auto"/>
        </w:rPr>
      </w:pPr>
    </w:p>
    <w:p>
      <w:pPr>
        <w:jc w:val="both"/>
        <w:ind w:left="8" w:firstLine="880"/>
        <w:spacing w:after="0" w:line="245" w:lineRule="auto"/>
        <w:rPr>
          <w:sz w:val="20"/>
          <w:szCs w:val="20"/>
          <w:color w:val="auto"/>
        </w:rPr>
      </w:pPr>
      <w:r>
        <w:rPr>
          <w:rFonts w:ascii="Arial" w:cs="Arial" w:eastAsia="Arial" w:hAnsi="Arial"/>
          <w:sz w:val="15"/>
          <w:szCs w:val="15"/>
          <w:color w:val="auto"/>
        </w:rPr>
        <w:t>For the period of 60 consecutive days after the earlier of (i) substantial completion of the Expansion Premises Improvements, or (ii) the date that Tenant commences doing business in all or any portion of the Expansion Premises, Landlord shall, at its sole cost and expense (which shall not constitute an Operating Expense), be responsible for any repairs that are required to be made to the Building Systems serving only the Expansion Premises, unless Tenant or any Tenant Party was responsible for the cause of such repair, in which case Tenant shall pay the cost. Tenant shall be entitled to receive the benefit of all construction warranties and manufacturer's equipment warranties relating to equipment installed in the Expansion Premises by Landlord prior to the Expansion Premises Commencement Date.</w:t>
      </w:r>
    </w:p>
    <w:p>
      <w:pPr>
        <w:spacing w:after="0" w:line="169" w:lineRule="exact"/>
        <w:rPr>
          <w:sz w:val="20"/>
          <w:szCs w:val="20"/>
          <w:color w:val="auto"/>
        </w:rPr>
      </w:pPr>
    </w:p>
    <w:p>
      <w:pPr>
        <w:jc w:val="both"/>
        <w:ind w:left="8" w:firstLine="880"/>
        <w:spacing w:after="0" w:line="249" w:lineRule="auto"/>
        <w:rPr>
          <w:sz w:val="20"/>
          <w:szCs w:val="20"/>
          <w:color w:val="auto"/>
        </w:rPr>
      </w:pPr>
      <w:r>
        <w:rPr>
          <w:rFonts w:ascii="Arial" w:cs="Arial" w:eastAsia="Arial" w:hAnsi="Arial"/>
          <w:sz w:val="15"/>
          <w:szCs w:val="15"/>
          <w:color w:val="auto"/>
        </w:rPr>
        <w:t>Tenant agrees and acknowledges that neither Landlord nor any agent of Landlord has made any representation or warranty with respect to the condition of all or any portion of the Expansion Premises, and/or the suitability of the Expansion Premises for the conduct of Tenant’s business, and Tenant waives any implied warranty that the Expansion Premises are suitable for the Permitted Use.</w:t>
      </w:r>
    </w:p>
    <w:p>
      <w:pPr>
        <w:spacing w:after="0" w:line="149" w:lineRule="exact"/>
        <w:rPr>
          <w:sz w:val="20"/>
          <w:szCs w:val="20"/>
          <w:color w:val="auto"/>
        </w:rPr>
      </w:pPr>
    </w:p>
    <w:p>
      <w:pPr>
        <w:ind w:left="8" w:hanging="8"/>
        <w:spacing w:after="0" w:line="283" w:lineRule="auto"/>
        <w:tabs>
          <w:tab w:leader="none" w:pos="690" w:val="left"/>
        </w:tabs>
        <w:numPr>
          <w:ilvl w:val="0"/>
          <w:numId w:val="52"/>
        </w:numPr>
        <w:rPr>
          <w:rFonts w:ascii="Arial" w:cs="Arial" w:eastAsia="Arial" w:hAnsi="Arial"/>
          <w:sz w:val="15"/>
          <w:szCs w:val="15"/>
          <w:color w:val="auto"/>
        </w:rPr>
      </w:pPr>
      <w:r>
        <w:rPr>
          <w:rFonts w:ascii="Arial" w:cs="Arial" w:eastAsia="Arial" w:hAnsi="Arial"/>
          <w:sz w:val="15"/>
          <w:szCs w:val="15"/>
          <w:b w:val="1"/>
          <w:bCs w:val="1"/>
          <w:u w:val="single" w:color="auto"/>
          <w:color w:val="auto"/>
        </w:rPr>
        <w:t>Premises and Rentable Area of Premises</w:t>
      </w:r>
      <w:r>
        <w:rPr>
          <w:rFonts w:ascii="Arial" w:cs="Arial" w:eastAsia="Arial" w:hAnsi="Arial"/>
          <w:sz w:val="15"/>
          <w:szCs w:val="15"/>
          <w:color w:val="auto"/>
        </w:rPr>
        <w:t>. Commencing on the Expansion Premises Commencement Date, the defined terms “</w:t>
      </w:r>
      <w:r>
        <w:rPr>
          <w:rFonts w:ascii="Arial" w:cs="Arial" w:eastAsia="Arial" w:hAnsi="Arial"/>
          <w:sz w:val="15"/>
          <w:szCs w:val="15"/>
          <w:b w:val="1"/>
          <w:bCs w:val="1"/>
          <w:color w:val="auto"/>
        </w:rPr>
        <w:t>Premises</w:t>
      </w:r>
      <w:r>
        <w:rPr>
          <w:rFonts w:ascii="Arial" w:cs="Arial" w:eastAsia="Arial" w:hAnsi="Arial"/>
          <w:sz w:val="15"/>
          <w:szCs w:val="15"/>
          <w:color w:val="auto"/>
        </w:rPr>
        <w:t>” and “</w:t>
      </w:r>
      <w:r>
        <w:rPr>
          <w:rFonts w:ascii="Arial" w:cs="Arial" w:eastAsia="Arial" w:hAnsi="Arial"/>
          <w:sz w:val="15"/>
          <w:szCs w:val="15"/>
          <w:b w:val="1"/>
          <w:bCs w:val="1"/>
          <w:color w:val="auto"/>
        </w:rPr>
        <w:t>Rentable Area of Premises</w:t>
      </w:r>
      <w:r>
        <w:rPr>
          <w:rFonts w:ascii="Arial" w:cs="Arial" w:eastAsia="Arial" w:hAnsi="Arial"/>
          <w:sz w:val="15"/>
          <w:szCs w:val="15"/>
          <w:color w:val="auto"/>
        </w:rPr>
        <w:t>” on page 1 of the Lease shall be deleted in their entirety and replaced with the following:</w:t>
      </w:r>
    </w:p>
    <w:p>
      <w:pPr>
        <w:spacing w:after="0" w:line="124" w:lineRule="exact"/>
        <w:rPr>
          <w:sz w:val="20"/>
          <w:szCs w:val="20"/>
          <w:color w:val="auto"/>
        </w:rPr>
      </w:pPr>
    </w:p>
    <w:p>
      <w:pPr>
        <w:jc w:val="both"/>
        <w:ind w:left="1768"/>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Premises:</w:t>
      </w:r>
      <w:r>
        <w:rPr>
          <w:rFonts w:ascii="Arial" w:cs="Arial" w:eastAsia="Arial" w:hAnsi="Arial"/>
          <w:sz w:val="15"/>
          <w:szCs w:val="15"/>
          <w:color w:val="auto"/>
        </w:rPr>
        <w:t xml:space="preserve"> That portion of the Building, consisting of (i) approximately 17,475 rentable square feet of laboratory/office space on the second floor of the Building (the “</w:t>
      </w:r>
      <w:r>
        <w:rPr>
          <w:rFonts w:ascii="Arial" w:cs="Arial" w:eastAsia="Arial" w:hAnsi="Arial"/>
          <w:sz w:val="15"/>
          <w:szCs w:val="15"/>
          <w:b w:val="1"/>
          <w:bCs w:val="1"/>
          <w:color w:val="auto"/>
        </w:rPr>
        <w:t>Original Premises</w:t>
      </w:r>
      <w:r>
        <w:rPr>
          <w:rFonts w:ascii="Arial" w:cs="Arial" w:eastAsia="Arial" w:hAnsi="Arial"/>
          <w:sz w:val="15"/>
          <w:szCs w:val="15"/>
          <w:color w:val="auto"/>
        </w:rPr>
        <w:t>”), (ii) approximately 108 rentable square feet of storage space on the first floor of the Building (the “</w:t>
      </w:r>
      <w:r>
        <w:rPr>
          <w:rFonts w:ascii="Arial" w:cs="Arial" w:eastAsia="Arial" w:hAnsi="Arial"/>
          <w:sz w:val="15"/>
          <w:szCs w:val="15"/>
          <w:b w:val="1"/>
          <w:bCs w:val="1"/>
          <w:color w:val="auto"/>
        </w:rPr>
        <w:t>Storage Premises</w:t>
      </w:r>
      <w:r>
        <w:rPr>
          <w:rFonts w:ascii="Arial" w:cs="Arial" w:eastAsia="Arial" w:hAnsi="Arial"/>
          <w:sz w:val="15"/>
          <w:szCs w:val="15"/>
          <w:color w:val="auto"/>
        </w:rPr>
        <w:t>”), and (iii) approximately 6,455 rentable square feet of laboratory/office space on the third floor of the Building (the “</w:t>
      </w:r>
      <w:r>
        <w:rPr>
          <w:rFonts w:ascii="Arial" w:cs="Arial" w:eastAsia="Arial" w:hAnsi="Arial"/>
          <w:sz w:val="15"/>
          <w:szCs w:val="15"/>
          <w:b w:val="1"/>
          <w:bCs w:val="1"/>
          <w:color w:val="auto"/>
        </w:rPr>
        <w:t>Expansion Premises</w:t>
      </w:r>
      <w:r>
        <w:rPr>
          <w:rFonts w:ascii="Arial" w:cs="Arial" w:eastAsia="Arial" w:hAnsi="Arial"/>
          <w:sz w:val="15"/>
          <w:szCs w:val="15"/>
          <w:color w:val="auto"/>
        </w:rPr>
        <w:t xml:space="preserve">”), all as determined by Landlord, as shown on </w:t>
      </w:r>
      <w:r>
        <w:rPr>
          <w:rFonts w:ascii="Arial" w:cs="Arial" w:eastAsia="Arial" w:hAnsi="Arial"/>
          <w:sz w:val="15"/>
          <w:szCs w:val="15"/>
          <w:b w:val="1"/>
          <w:bCs w:val="1"/>
          <w:color w:val="auto"/>
        </w:rPr>
        <w:t>Exhibit A</w:t>
      </w:r>
      <w:r>
        <w:rPr>
          <w:rFonts w:ascii="Arial" w:cs="Arial" w:eastAsia="Arial" w:hAnsi="Arial"/>
          <w:sz w:val="15"/>
          <w:szCs w:val="15"/>
          <w:color w:val="auto"/>
        </w:rPr>
        <w:t>.”</w:t>
      </w:r>
    </w:p>
    <w:p>
      <w:pPr>
        <w:spacing w:after="0" w:line="147" w:lineRule="exact"/>
        <w:rPr>
          <w:sz w:val="20"/>
          <w:szCs w:val="20"/>
          <w:color w:val="auto"/>
        </w:rPr>
      </w:pPr>
    </w:p>
    <w:p>
      <w:pPr>
        <w:ind w:left="176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Rentable Area of Premises:</w:t>
      </w:r>
      <w:r>
        <w:rPr>
          <w:rFonts w:ascii="Arial" w:cs="Arial" w:eastAsia="Arial" w:hAnsi="Arial"/>
          <w:sz w:val="15"/>
          <w:szCs w:val="15"/>
          <w:color w:val="auto"/>
        </w:rPr>
        <w:t xml:space="preserve"> 24,038 sq. ft.”</w:t>
      </w:r>
    </w:p>
    <w:p>
      <w:pPr>
        <w:spacing w:after="0" w:line="185" w:lineRule="exact"/>
        <w:rPr>
          <w:sz w:val="20"/>
          <w:szCs w:val="20"/>
          <w:color w:val="auto"/>
        </w:rPr>
      </w:pPr>
    </w:p>
    <w:p>
      <w:pPr>
        <w:ind w:left="8" w:firstLine="880"/>
        <w:spacing w:after="0" w:line="283" w:lineRule="auto"/>
        <w:rPr>
          <w:sz w:val="20"/>
          <w:szCs w:val="20"/>
          <w:color w:val="auto"/>
        </w:rPr>
      </w:pPr>
      <w:r>
        <w:rPr>
          <w:rFonts w:ascii="Arial" w:cs="Arial" w:eastAsia="Arial" w:hAnsi="Arial"/>
          <w:sz w:val="15"/>
          <w:szCs w:val="15"/>
          <w:color w:val="auto"/>
        </w:rPr>
        <w:t xml:space="preserve">As of the Expansion Premises Commencement Date,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to the Lease shall be amended to include the Expansion Premises as shown on </w:t>
      </w:r>
      <w:r>
        <w:rPr>
          <w:rFonts w:ascii="Arial" w:cs="Arial" w:eastAsia="Arial" w:hAnsi="Arial"/>
          <w:sz w:val="15"/>
          <w:szCs w:val="15"/>
          <w:b w:val="1"/>
          <w:bCs w:val="1"/>
          <w:color w:val="auto"/>
        </w:rPr>
        <w:t>Exhibit A</w:t>
      </w:r>
      <w:r>
        <w:rPr>
          <w:rFonts w:ascii="Arial" w:cs="Arial" w:eastAsia="Arial" w:hAnsi="Arial"/>
          <w:sz w:val="15"/>
          <w:szCs w:val="15"/>
          <w:color w:val="auto"/>
        </w:rPr>
        <w:t xml:space="preserve"> attached to this Second Amendment.</w:t>
      </w:r>
    </w:p>
    <w:p>
      <w:pPr>
        <w:spacing w:after="0" w:line="124" w:lineRule="exact"/>
        <w:rPr>
          <w:sz w:val="20"/>
          <w:szCs w:val="20"/>
          <w:color w:val="auto"/>
        </w:rPr>
      </w:pPr>
    </w:p>
    <w:p>
      <w:pPr>
        <w:ind w:left="688" w:hanging="688"/>
        <w:spacing w:after="0"/>
        <w:tabs>
          <w:tab w:leader="none" w:pos="688" w:val="left"/>
        </w:tabs>
        <w:numPr>
          <w:ilvl w:val="0"/>
          <w:numId w:val="53"/>
        </w:numPr>
        <w:rPr>
          <w:rFonts w:ascii="Arial" w:cs="Arial" w:eastAsia="Arial" w:hAnsi="Arial"/>
          <w:sz w:val="15"/>
          <w:szCs w:val="15"/>
          <w:color w:val="auto"/>
        </w:rPr>
      </w:pPr>
      <w:r>
        <w:rPr>
          <w:rFonts w:ascii="Arial" w:cs="Arial" w:eastAsia="Arial" w:hAnsi="Arial"/>
          <w:sz w:val="15"/>
          <w:szCs w:val="15"/>
          <w:b w:val="1"/>
          <w:bCs w:val="1"/>
          <w:u w:val="single" w:color="auto"/>
          <w:color w:val="auto"/>
        </w:rPr>
        <w:t>Base Rent</w:t>
      </w:r>
      <w:r>
        <w:rPr>
          <w:rFonts w:ascii="Arial" w:cs="Arial" w:eastAsia="Arial" w:hAnsi="Arial"/>
          <w:sz w:val="15"/>
          <w:szCs w:val="15"/>
          <w:color w:val="auto"/>
        </w:rPr>
        <w:t>.</w:t>
      </w:r>
    </w:p>
    <w:p>
      <w:pPr>
        <w:spacing w:after="0" w:line="185" w:lineRule="exact"/>
        <w:rPr>
          <w:rFonts w:ascii="Arial" w:cs="Arial" w:eastAsia="Arial" w:hAnsi="Arial"/>
          <w:sz w:val="15"/>
          <w:szCs w:val="15"/>
          <w:color w:val="auto"/>
        </w:rPr>
      </w:pPr>
    </w:p>
    <w:p>
      <w:pPr>
        <w:ind w:left="888" w:right="20" w:hanging="8"/>
        <w:spacing w:after="0" w:line="283" w:lineRule="auto"/>
        <w:tabs>
          <w:tab w:leader="none" w:pos="2262" w:val="left"/>
        </w:tabs>
        <w:numPr>
          <w:ilvl w:val="1"/>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Original Premises</w:t>
      </w:r>
      <w:r>
        <w:rPr>
          <w:rFonts w:ascii="Arial" w:cs="Arial" w:eastAsia="Arial" w:hAnsi="Arial"/>
          <w:sz w:val="15"/>
          <w:szCs w:val="15"/>
          <w:color w:val="auto"/>
        </w:rPr>
        <w:t>. Tenant shall continue to pay Base Rent with respect to the Original Premises as provided for under the Lease</w:t>
      </w:r>
      <w:r>
        <w:rPr>
          <w:rFonts w:ascii="Arial" w:cs="Arial" w:eastAsia="Arial" w:hAnsi="Arial"/>
          <w:sz w:val="15"/>
          <w:szCs w:val="15"/>
          <w:b w:val="1"/>
          <w:bCs w:val="1"/>
          <w:color w:val="auto"/>
        </w:rPr>
        <w:t xml:space="preserve"> </w:t>
      </w:r>
      <w:r>
        <w:rPr>
          <w:rFonts w:ascii="Arial" w:cs="Arial" w:eastAsia="Arial" w:hAnsi="Arial"/>
          <w:sz w:val="15"/>
          <w:szCs w:val="15"/>
          <w:color w:val="auto"/>
        </w:rPr>
        <w:t>through the Expiration Date (as defined below).</w:t>
      </w:r>
    </w:p>
    <w:p>
      <w:pPr>
        <w:spacing w:after="0" w:line="123" w:lineRule="exact"/>
        <w:rPr>
          <w:rFonts w:ascii="Arial" w:cs="Arial" w:eastAsia="Arial" w:hAnsi="Arial"/>
          <w:sz w:val="15"/>
          <w:szCs w:val="15"/>
          <w:b w:val="1"/>
          <w:bCs w:val="1"/>
          <w:color w:val="auto"/>
        </w:rPr>
      </w:pPr>
    </w:p>
    <w:p>
      <w:pPr>
        <w:jc w:val="both"/>
        <w:ind w:left="888" w:hanging="8"/>
        <w:spacing w:after="0" w:line="251" w:lineRule="auto"/>
        <w:tabs>
          <w:tab w:leader="none" w:pos="2270" w:val="left"/>
        </w:tabs>
        <w:numPr>
          <w:ilvl w:val="1"/>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Expansion Premises</w:t>
      </w:r>
      <w:r>
        <w:rPr>
          <w:rFonts w:ascii="Arial" w:cs="Arial" w:eastAsia="Arial" w:hAnsi="Arial"/>
          <w:sz w:val="15"/>
          <w:szCs w:val="15"/>
          <w:color w:val="auto"/>
        </w:rPr>
        <w:t>. Commencing on the Expansion Premises Commencement, Date Tenant shall pay Base Rent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the Expansion Premises in the amount of $36.00 per rentable square foot of the Expansion Premises per year. Base Rent payable with respect to the Expansion Premises shall be increased on each annual anniversary of the Expansion Premises Commencement Date (each, an “</w:t>
      </w:r>
      <w:r>
        <w:rPr>
          <w:rFonts w:ascii="Arial" w:cs="Arial" w:eastAsia="Arial" w:hAnsi="Arial"/>
          <w:sz w:val="15"/>
          <w:szCs w:val="15"/>
          <w:b w:val="1"/>
          <w:bCs w:val="1"/>
          <w:color w:val="auto"/>
        </w:rPr>
        <w:t>Expansion Premises</w:t>
      </w:r>
      <w:r>
        <w:rPr>
          <w:rFonts w:ascii="Arial" w:cs="Arial" w:eastAsia="Arial" w:hAnsi="Arial"/>
          <w:sz w:val="15"/>
          <w:szCs w:val="15"/>
          <w:color w:val="auto"/>
        </w:rPr>
        <w:t xml:space="preserve"> </w:t>
      </w:r>
      <w:r>
        <w:rPr>
          <w:rFonts w:ascii="Arial" w:cs="Arial" w:eastAsia="Arial" w:hAnsi="Arial"/>
          <w:sz w:val="15"/>
          <w:szCs w:val="15"/>
          <w:b w:val="1"/>
          <w:bCs w:val="1"/>
          <w:color w:val="auto"/>
        </w:rPr>
        <w:t>Adjustment Date</w:t>
      </w:r>
      <w:r>
        <w:rPr>
          <w:rFonts w:ascii="Arial" w:cs="Arial" w:eastAsia="Arial" w:hAnsi="Arial"/>
          <w:sz w:val="15"/>
          <w:szCs w:val="15"/>
          <w:color w:val="auto"/>
        </w:rPr>
        <w:t>”) by adding the Rent Adjustment Amount to the per rentable square foot Base Rent payable for the Expansion Premises per annum</w:t>
      </w:r>
      <w:r>
        <w:rPr>
          <w:rFonts w:ascii="Arial" w:cs="Arial" w:eastAsia="Arial" w:hAnsi="Arial"/>
          <w:sz w:val="15"/>
          <w:szCs w:val="15"/>
          <w:b w:val="1"/>
          <w:bCs w:val="1"/>
          <w:color w:val="auto"/>
        </w:rPr>
        <w:t xml:space="preserve"> </w:t>
      </w:r>
      <w:r>
        <w:rPr>
          <w:rFonts w:ascii="Arial" w:cs="Arial" w:eastAsia="Arial" w:hAnsi="Arial"/>
          <w:sz w:val="15"/>
          <w:szCs w:val="15"/>
          <w:color w:val="auto"/>
        </w:rPr>
        <w:t>immediately before such Expansion Premises Adjustment Date.</w:t>
      </w:r>
    </w:p>
    <w:p>
      <w:pPr>
        <w:spacing w:after="0" w:line="147" w:lineRule="exact"/>
        <w:rPr>
          <w:rFonts w:ascii="Arial" w:cs="Arial" w:eastAsia="Arial" w:hAnsi="Arial"/>
          <w:sz w:val="15"/>
          <w:szCs w:val="15"/>
          <w:b w:val="1"/>
          <w:bCs w:val="1"/>
          <w:color w:val="auto"/>
        </w:rPr>
      </w:pPr>
    </w:p>
    <w:p>
      <w:pPr>
        <w:ind w:left="8" w:right="20" w:hanging="8"/>
        <w:spacing w:after="0" w:line="283" w:lineRule="auto"/>
        <w:tabs>
          <w:tab w:leader="none" w:pos="690" w:val="left"/>
        </w:tabs>
        <w:numPr>
          <w:ilvl w:val="0"/>
          <w:numId w:val="53"/>
        </w:numPr>
        <w:rPr>
          <w:rFonts w:ascii="Arial" w:cs="Arial" w:eastAsia="Arial" w:hAnsi="Arial"/>
          <w:sz w:val="15"/>
          <w:szCs w:val="15"/>
          <w:color w:val="auto"/>
        </w:rPr>
      </w:pPr>
      <w:r>
        <w:rPr>
          <w:rFonts w:ascii="Arial" w:cs="Arial" w:eastAsia="Arial" w:hAnsi="Arial"/>
          <w:sz w:val="15"/>
          <w:szCs w:val="15"/>
          <w:b w:val="1"/>
          <w:bCs w:val="1"/>
          <w:u w:val="single" w:color="auto"/>
          <w:color w:val="auto"/>
        </w:rPr>
        <w:t>Base Term</w:t>
      </w:r>
      <w:r>
        <w:rPr>
          <w:rFonts w:ascii="Arial" w:cs="Arial" w:eastAsia="Arial" w:hAnsi="Arial"/>
          <w:sz w:val="15"/>
          <w:szCs w:val="15"/>
          <w:color w:val="auto"/>
        </w:rPr>
        <w:t>. Commencing on the date of this Second Amendment, the defined term “</w:t>
      </w:r>
      <w:r>
        <w:rPr>
          <w:rFonts w:ascii="Arial" w:cs="Arial" w:eastAsia="Arial" w:hAnsi="Arial"/>
          <w:sz w:val="15"/>
          <w:szCs w:val="15"/>
          <w:b w:val="1"/>
          <w:bCs w:val="1"/>
          <w:color w:val="auto"/>
        </w:rPr>
        <w:t>Base Term</w:t>
      </w:r>
      <w:r>
        <w:rPr>
          <w:rFonts w:ascii="Arial" w:cs="Arial" w:eastAsia="Arial" w:hAnsi="Arial"/>
          <w:sz w:val="15"/>
          <w:szCs w:val="15"/>
          <w:color w:val="auto"/>
        </w:rPr>
        <w:t>” on page 1 of the Lease shall be deleted in its entirety and</w:t>
      </w:r>
      <w:r>
        <w:rPr>
          <w:rFonts w:ascii="Arial" w:cs="Arial" w:eastAsia="Arial" w:hAnsi="Arial"/>
          <w:sz w:val="15"/>
          <w:szCs w:val="15"/>
          <w:b w:val="1"/>
          <w:bCs w:val="1"/>
          <w:color w:val="auto"/>
        </w:rPr>
        <w:t xml:space="preserve"> </w:t>
      </w:r>
      <w:r>
        <w:rPr>
          <w:rFonts w:ascii="Arial" w:cs="Arial" w:eastAsia="Arial" w:hAnsi="Arial"/>
          <w:sz w:val="15"/>
          <w:szCs w:val="15"/>
          <w:color w:val="auto"/>
        </w:rPr>
        <w:t>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90805</wp:posOffset>
            </wp:positionV>
            <wp:extent cx="2065655" cy="439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065655"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92"/>
        <w:spacing w:after="0"/>
        <w:rPr>
          <w:sz w:val="20"/>
          <w:szCs w:val="20"/>
          <w:color w:val="auto"/>
        </w:rPr>
      </w:pPr>
      <w:r>
        <w:rPr>
          <w:rFonts w:ascii="Arial" w:cs="Arial" w:eastAsia="Arial" w:hAnsi="Arial"/>
          <w:sz w:val="15"/>
          <w:szCs w:val="15"/>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30631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8"/>
          </w:cols>
          <w:pgMar w:left="232" w:top="140" w:right="219" w:bottom="1440" w:gutter="0" w:footer="0" w:header="0"/>
        </w:sectPr>
      </w:pPr>
    </w:p>
    <w:bookmarkStart w:id="69" w:name="page70"/>
    <w:bookmarkEnd w:id="69"/>
    <w:p>
      <w:pPr>
        <w:jc w:val="both"/>
        <w:ind w:left="888"/>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Base Term:</w:t>
      </w:r>
      <w:r>
        <w:rPr>
          <w:rFonts w:ascii="Arial" w:cs="Arial" w:eastAsia="Arial" w:hAnsi="Arial"/>
          <w:sz w:val="15"/>
          <w:szCs w:val="15"/>
          <w:color w:val="auto"/>
        </w:rPr>
        <w:t xml:space="preserve"> Commencing (i) with respect to Original Premises and the </w:t>
      </w:r>
      <w:r>
        <w:rPr>
          <w:rFonts w:ascii="Arial" w:cs="Arial" w:eastAsia="Arial" w:hAnsi="Arial"/>
          <w:sz w:val="15"/>
          <w:szCs w:val="15"/>
          <w:b w:val="1"/>
          <w:bCs w:val="1"/>
          <w:color w:val="auto"/>
        </w:rPr>
        <w:t>Storage Premises</w:t>
      </w:r>
      <w:r>
        <w:rPr>
          <w:rFonts w:ascii="Arial" w:cs="Arial" w:eastAsia="Arial" w:hAnsi="Arial"/>
          <w:sz w:val="15"/>
          <w:szCs w:val="15"/>
          <w:color w:val="auto"/>
        </w:rPr>
        <w:t xml:space="preserve"> Expansion Premises on the Expansion Premises Commencement Date, and ending with “</w:t>
      </w:r>
      <w:r>
        <w:rPr>
          <w:rFonts w:ascii="Arial" w:cs="Arial" w:eastAsia="Arial" w:hAnsi="Arial"/>
          <w:sz w:val="15"/>
          <w:szCs w:val="15"/>
          <w:b w:val="1"/>
          <w:bCs w:val="1"/>
          <w:color w:val="auto"/>
        </w:rPr>
        <w:t>Expiration Date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ind w:firstLine="39"/>
        <w:spacing w:after="0" w:line="257" w:lineRule="auto"/>
        <w:rPr>
          <w:sz w:val="20"/>
          <w:szCs w:val="20"/>
          <w:color w:val="auto"/>
        </w:rPr>
      </w:pPr>
      <w:r>
        <w:rPr>
          <w:rFonts w:ascii="Arial" w:cs="Arial" w:eastAsia="Arial" w:hAnsi="Arial"/>
          <w:sz w:val="15"/>
          <w:szCs w:val="15"/>
          <w:color w:val="auto"/>
        </w:rPr>
        <w:t>on the Commencement Date, and (ii) with respect to the respect to the entire Premises on March 31, 2021 (the</w:t>
      </w:r>
    </w:p>
    <w:p>
      <w:pPr>
        <w:spacing w:after="0" w:line="315" w:lineRule="exact"/>
        <w:rPr>
          <w:sz w:val="20"/>
          <w:szCs w:val="20"/>
          <w:color w:val="auto"/>
        </w:rPr>
      </w:pPr>
    </w:p>
    <w:p>
      <w:pPr>
        <w:sectPr>
          <w:pgSz w:w="11900" w:h="16838" w:orient="portrait"/>
          <w:cols w:equalWidth="0" w:num="2">
            <w:col w:w="7368" w:space="20"/>
            <w:col w:w="4060"/>
          </w:cols>
          <w:pgMar w:left="232" w:top="120" w:right="219" w:bottom="1440" w:gutter="0" w:footer="0" w:header="0"/>
        </w:sectPr>
      </w:pPr>
    </w:p>
    <w:p>
      <w:pPr>
        <w:ind w:left="8" w:right="20" w:hanging="8"/>
        <w:spacing w:after="0" w:line="283" w:lineRule="auto"/>
        <w:tabs>
          <w:tab w:leader="none" w:pos="690" w:val="left"/>
        </w:tabs>
        <w:numPr>
          <w:ilvl w:val="0"/>
          <w:numId w:val="54"/>
        </w:numPr>
        <w:rPr>
          <w:rFonts w:ascii="Arial" w:cs="Arial" w:eastAsia="Arial" w:hAnsi="Arial"/>
          <w:sz w:val="15"/>
          <w:szCs w:val="15"/>
          <w:color w:val="auto"/>
        </w:rPr>
      </w:pPr>
      <w:r>
        <w:rPr>
          <w:rFonts w:ascii="Arial" w:cs="Arial" w:eastAsia="Arial" w:hAnsi="Arial"/>
          <w:sz w:val="15"/>
          <w:szCs w:val="15"/>
          <w:b w:val="1"/>
          <w:bCs w:val="1"/>
          <w:u w:val="single" w:color="auto"/>
          <w:color w:val="auto"/>
        </w:rPr>
        <w:t>Tenant’s Share</w:t>
      </w:r>
      <w:r>
        <w:rPr>
          <w:rFonts w:ascii="Arial" w:cs="Arial" w:eastAsia="Arial" w:hAnsi="Arial"/>
          <w:sz w:val="15"/>
          <w:szCs w:val="15"/>
          <w:color w:val="auto"/>
        </w:rPr>
        <w:t>. Commencing on the Expansion Premises Commencement Date, the defined term “</w:t>
      </w: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on page 1 of</w:t>
      </w:r>
      <w:r>
        <w:rPr>
          <w:rFonts w:ascii="Arial" w:cs="Arial" w:eastAsia="Arial" w:hAnsi="Arial"/>
          <w:sz w:val="15"/>
          <w:szCs w:val="15"/>
          <w:b w:val="1"/>
          <w:bCs w:val="1"/>
          <w:color w:val="auto"/>
        </w:rPr>
        <w:t xml:space="preserve"> </w:t>
      </w:r>
      <w:r>
        <w:rPr>
          <w:rFonts w:ascii="Arial" w:cs="Arial" w:eastAsia="Arial" w:hAnsi="Arial"/>
          <w:sz w:val="15"/>
          <w:szCs w:val="15"/>
          <w:color w:val="auto"/>
        </w:rPr>
        <w:t>the Lease shall be deleted in its entirety and replaced with the following:</w:t>
      </w:r>
    </w:p>
    <w:p>
      <w:pPr>
        <w:spacing w:after="0" w:line="124" w:lineRule="exact"/>
        <w:rPr>
          <w:sz w:val="20"/>
          <w:szCs w:val="20"/>
          <w:color w:val="auto"/>
        </w:rPr>
      </w:pPr>
    </w:p>
    <w:p>
      <w:pPr>
        <w:ind w:left="88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xml:space="preserve"> 16.59%”</w:t>
      </w:r>
    </w:p>
    <w:p>
      <w:pPr>
        <w:spacing w:after="0" w:line="185" w:lineRule="exact"/>
        <w:rPr>
          <w:sz w:val="20"/>
          <w:szCs w:val="20"/>
          <w:color w:val="auto"/>
        </w:rPr>
      </w:pPr>
    </w:p>
    <w:p>
      <w:pPr>
        <w:jc w:val="both"/>
        <w:ind w:left="8" w:hanging="8"/>
        <w:spacing w:after="0" w:line="244" w:lineRule="auto"/>
        <w:tabs>
          <w:tab w:leader="none" w:pos="690" w:val="left"/>
        </w:tabs>
        <w:numPr>
          <w:ilvl w:val="0"/>
          <w:numId w:val="55"/>
        </w:numPr>
        <w:rPr>
          <w:rFonts w:ascii="Arial" w:cs="Arial" w:eastAsia="Arial" w:hAnsi="Arial"/>
          <w:sz w:val="15"/>
          <w:szCs w:val="15"/>
          <w:color w:val="auto"/>
        </w:rPr>
      </w:pPr>
      <w:r>
        <w:rPr>
          <w:rFonts w:ascii="Arial" w:cs="Arial" w:eastAsia="Arial" w:hAnsi="Arial"/>
          <w:sz w:val="15"/>
          <w:szCs w:val="15"/>
          <w:b w:val="1"/>
          <w:bCs w:val="1"/>
          <w:u w:val="single" w:color="auto"/>
          <w:color w:val="auto"/>
        </w:rPr>
        <w:t>Expansion Premises Improvements</w:t>
      </w:r>
      <w:r>
        <w:rPr>
          <w:rFonts w:ascii="Arial" w:cs="Arial" w:eastAsia="Arial" w:hAnsi="Arial"/>
          <w:sz w:val="15"/>
          <w:szCs w:val="15"/>
          <w:color w:val="auto"/>
        </w:rPr>
        <w:t>. As of the Expansion Premises Commencement Date, Landlord shall make available to Tenant a tenant improvement</w:t>
      </w:r>
      <w:r>
        <w:rPr>
          <w:rFonts w:ascii="Arial" w:cs="Arial" w:eastAsia="Arial" w:hAnsi="Arial"/>
          <w:sz w:val="15"/>
          <w:szCs w:val="15"/>
          <w:b w:val="1"/>
          <w:bCs w:val="1"/>
          <w:color w:val="auto"/>
        </w:rPr>
        <w:t xml:space="preserve"> </w:t>
      </w:r>
      <w:r>
        <w:rPr>
          <w:rFonts w:ascii="Arial" w:cs="Arial" w:eastAsia="Arial" w:hAnsi="Arial"/>
          <w:sz w:val="15"/>
          <w:szCs w:val="15"/>
          <w:color w:val="auto"/>
        </w:rPr>
        <w:t>allowance in the amount of $10.00 per rentable square foot of the Expansion Premises, or $64,550.00 in the aggregate (the “</w:t>
      </w:r>
      <w:r>
        <w:rPr>
          <w:rFonts w:ascii="Arial" w:cs="Arial" w:eastAsia="Arial" w:hAnsi="Arial"/>
          <w:sz w:val="15"/>
          <w:szCs w:val="15"/>
          <w:b w:val="1"/>
          <w:bCs w:val="1"/>
          <w:color w:val="auto"/>
        </w:rPr>
        <w:t>Improvement Allowance</w:t>
      </w:r>
      <w:r>
        <w:rPr>
          <w:rFonts w:ascii="Arial" w:cs="Arial" w:eastAsia="Arial" w:hAnsi="Arial"/>
          <w:sz w:val="15"/>
          <w:szCs w:val="15"/>
          <w:color w:val="auto"/>
        </w:rPr>
        <w:t>”) for the design and construction of fixed and permanent improvements desired by and performed by Tenant and reasonably acceptable to Landlord in the Expansion Premises (the “</w:t>
      </w:r>
      <w:r>
        <w:rPr>
          <w:rFonts w:ascii="Arial" w:cs="Arial" w:eastAsia="Arial" w:hAnsi="Arial"/>
          <w:sz w:val="15"/>
          <w:szCs w:val="15"/>
          <w:b w:val="1"/>
          <w:bCs w:val="1"/>
          <w:color w:val="auto"/>
        </w:rPr>
        <w:t>Expansion Premises Improvements</w:t>
      </w:r>
      <w:r>
        <w:rPr>
          <w:rFonts w:ascii="Arial" w:cs="Arial" w:eastAsia="Arial" w:hAnsi="Arial"/>
          <w:sz w:val="15"/>
          <w:szCs w:val="15"/>
          <w:color w:val="auto"/>
        </w:rPr>
        <w:t xml:space="preserve">”), which Expansion Premises Improvements shall be constructed pursuant to a scope of work reasonably acceptable to Landlord and Tenant. The Improvement Allowance shall be available only for the design and construction of the Expansion Premises Improvements. Tenant acknowledges that upon the expiration or earlier termination of the Term of the Lease with respect to the Expansion Premises, the Expansion Premises Improvements shall become the property of Landlord and may not be removed by Tenant. Except for the Improvement Allowance, Tenant shall be solely responsible for all of the costs of the Expansion Premises Improvements. The Expansion Premises Improvements shall be treated as Alterations and shall be undertaken pursuant to </w:t>
      </w:r>
      <w:r>
        <w:rPr>
          <w:rFonts w:ascii="Arial" w:cs="Arial" w:eastAsia="Arial" w:hAnsi="Arial"/>
          <w:sz w:val="15"/>
          <w:szCs w:val="15"/>
          <w:u w:val="single" w:color="auto"/>
          <w:color w:val="auto"/>
        </w:rPr>
        <w:t>Section 12</w:t>
      </w:r>
      <w:r>
        <w:rPr>
          <w:rFonts w:ascii="Arial" w:cs="Arial" w:eastAsia="Arial" w:hAnsi="Arial"/>
          <w:sz w:val="15"/>
          <w:szCs w:val="15"/>
          <w:color w:val="auto"/>
        </w:rPr>
        <w:t xml:space="preserve"> of the Lease. The contractor for the Expansion Premises Improvements shall be The Richmond Group and the architect for the Expansion Premises Improvements shall be R.E. Dinneen. Prior to the commencement of the Expansion Premises Improvements, Tenant shall deliver to Landlord a copy of any contract with Tenant’s contractors, and certificates of insurance from any contractor performing any part of the Expansion Premises Improvements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72" w:lineRule="exact"/>
        <w:rPr>
          <w:sz w:val="20"/>
          <w:szCs w:val="20"/>
          <w:color w:val="auto"/>
        </w:rPr>
      </w:pPr>
    </w:p>
    <w:p>
      <w:pPr>
        <w:jc w:val="both"/>
        <w:ind w:left="8" w:firstLine="880"/>
        <w:spacing w:after="0" w:line="243" w:lineRule="auto"/>
        <w:rPr>
          <w:sz w:val="20"/>
          <w:szCs w:val="20"/>
          <w:color w:val="auto"/>
        </w:rPr>
      </w:pPr>
      <w:r>
        <w:rPr>
          <w:rFonts w:ascii="Arial" w:cs="Arial" w:eastAsia="Arial" w:hAnsi="Arial"/>
          <w:sz w:val="15"/>
          <w:szCs w:val="15"/>
          <w:color w:val="auto"/>
        </w:rPr>
        <w:t>Upon completion of the Expansion Premises Improvements (and prior to any final disbursement of the Improvement Allowance) Tenant shall deliver to Landlord the following items: (i) sworn statements setting forth the names of all contractors and subcontractors who did work on the Expansion Premises Improvements and final lien waivers from all such contractors and subcontractors; and (ii) “as built” plans, if available, for the Expansion Premises Improvements. Notwithstanding the foregoing, if the cost of the Expansion Premises Improvements exceeds the Improvement Allowance, Tenant shall be required to pay such excess in full prior to Landlord having any obligation to fund any remaining portion of the Improvement Allowance. The Improvement Allowance shall only be available for use by Tenant for the construction of the Expansion Premises Improvements from the date of this Second Amendment through December 31, 2018 (the “</w:t>
      </w:r>
      <w:r>
        <w:rPr>
          <w:rFonts w:ascii="Arial" w:cs="Arial" w:eastAsia="Arial" w:hAnsi="Arial"/>
          <w:sz w:val="15"/>
          <w:szCs w:val="15"/>
          <w:b w:val="1"/>
          <w:bCs w:val="1"/>
          <w:color w:val="auto"/>
        </w:rPr>
        <w:t>Outside Improvement</w:t>
      </w:r>
      <w:r>
        <w:rPr>
          <w:rFonts w:ascii="Arial" w:cs="Arial" w:eastAsia="Arial" w:hAnsi="Arial"/>
          <w:sz w:val="15"/>
          <w:szCs w:val="15"/>
          <w:color w:val="auto"/>
        </w:rPr>
        <w:t xml:space="preserve"> </w:t>
      </w:r>
      <w:r>
        <w:rPr>
          <w:rFonts w:ascii="Arial" w:cs="Arial" w:eastAsia="Arial" w:hAnsi="Arial"/>
          <w:sz w:val="15"/>
          <w:szCs w:val="15"/>
          <w:b w:val="1"/>
          <w:bCs w:val="1"/>
          <w:color w:val="auto"/>
        </w:rPr>
        <w:t>Allowance Date</w:t>
      </w:r>
      <w:r>
        <w:rPr>
          <w:rFonts w:ascii="Arial" w:cs="Arial" w:eastAsia="Arial" w:hAnsi="Arial"/>
          <w:sz w:val="15"/>
          <w:szCs w:val="15"/>
          <w:color w:val="auto"/>
        </w:rPr>
        <w:t>”). Any portion of the Improvement Allowance which has not been properly requested by Tenant from Landlord on or before the Outside Improvement</w:t>
      </w:r>
      <w:r>
        <w:rPr>
          <w:rFonts w:ascii="Arial" w:cs="Arial" w:eastAsia="Arial" w:hAnsi="Arial"/>
          <w:sz w:val="15"/>
          <w:szCs w:val="15"/>
          <w:b w:val="1"/>
          <w:bCs w:val="1"/>
          <w:color w:val="auto"/>
        </w:rPr>
        <w:t xml:space="preserve"> </w:t>
      </w:r>
      <w:r>
        <w:rPr>
          <w:rFonts w:ascii="Arial" w:cs="Arial" w:eastAsia="Arial" w:hAnsi="Arial"/>
          <w:sz w:val="15"/>
          <w:szCs w:val="15"/>
          <w:color w:val="auto"/>
        </w:rPr>
        <w:t>Allowance Date shall be forfeited and shall not be available for use by Tenant.</w:t>
      </w:r>
    </w:p>
    <w:p>
      <w:pPr>
        <w:spacing w:after="0" w:line="154" w:lineRule="exact"/>
        <w:rPr>
          <w:sz w:val="20"/>
          <w:szCs w:val="20"/>
          <w:color w:val="auto"/>
        </w:rPr>
      </w:pPr>
    </w:p>
    <w:p>
      <w:pPr>
        <w:jc w:val="both"/>
        <w:ind w:left="8" w:hanging="8"/>
        <w:spacing w:after="0" w:line="249" w:lineRule="auto"/>
        <w:tabs>
          <w:tab w:leader="none" w:pos="690" w:val="left"/>
        </w:tabs>
        <w:numPr>
          <w:ilvl w:val="0"/>
          <w:numId w:val="56"/>
        </w:numPr>
        <w:rPr>
          <w:rFonts w:ascii="Arial" w:cs="Arial" w:eastAsia="Arial" w:hAnsi="Arial"/>
          <w:sz w:val="15"/>
          <w:szCs w:val="15"/>
          <w:color w:val="auto"/>
        </w:rPr>
      </w:pPr>
      <w:r>
        <w:rPr>
          <w:rFonts w:ascii="Arial" w:cs="Arial" w:eastAsia="Arial" w:hAnsi="Arial"/>
          <w:sz w:val="15"/>
          <w:szCs w:val="15"/>
          <w:b w:val="1"/>
          <w:bCs w:val="1"/>
          <w:u w:val="single" w:color="auto"/>
          <w:color w:val="auto"/>
        </w:rPr>
        <w:t>Restoration of the Expansion Premises</w:t>
      </w:r>
      <w:r>
        <w:rPr>
          <w:rFonts w:ascii="Arial" w:cs="Arial" w:eastAsia="Arial" w:hAnsi="Arial"/>
          <w:sz w:val="15"/>
          <w:szCs w:val="15"/>
          <w:color w:val="auto"/>
        </w:rPr>
        <w:t>. Tenant acknowledges and agrees that, if Tenant does not exercise its Extension Right (with respect to the entire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Premises) pursuant to </w:t>
      </w:r>
      <w:r>
        <w:rPr>
          <w:rFonts w:ascii="Arial" w:cs="Arial" w:eastAsia="Arial" w:hAnsi="Arial"/>
          <w:sz w:val="15"/>
          <w:szCs w:val="15"/>
          <w:u w:val="single" w:color="auto"/>
          <w:color w:val="auto"/>
        </w:rPr>
        <w:t>Section 39</w:t>
      </w:r>
      <w:r>
        <w:rPr>
          <w:rFonts w:ascii="Arial" w:cs="Arial" w:eastAsia="Arial" w:hAnsi="Arial"/>
          <w:sz w:val="15"/>
          <w:szCs w:val="15"/>
          <w:color w:val="auto"/>
        </w:rPr>
        <w:t xml:space="preserve"> of the Lease or otherwise extend the Base Term of the Lease pursuant to terms mutually acceptable to Landlord and Tenant, each in their sole and absolute discretion, subject to the terms of this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Tenant shall pay to Landlord an amount equal to the then-current cost to restore the Expansion Premises to the condition reflected on </w:t>
      </w:r>
      <w:r>
        <w:rPr>
          <w:rFonts w:ascii="Arial" w:cs="Arial" w:eastAsia="Arial" w:hAnsi="Arial"/>
          <w:sz w:val="15"/>
          <w:szCs w:val="15"/>
          <w:b w:val="1"/>
          <w:bCs w:val="1"/>
          <w:color w:val="auto"/>
        </w:rPr>
        <w:t>Exhibit B</w:t>
      </w:r>
      <w:r>
        <w:rPr>
          <w:rFonts w:ascii="Arial" w:cs="Arial" w:eastAsia="Arial" w:hAnsi="Arial"/>
          <w:sz w:val="15"/>
          <w:szCs w:val="15"/>
          <w:color w:val="auto"/>
        </w:rPr>
        <w:t xml:space="preserve"> attached to this Second Amendment following the Termination Date (as defined below), as determined by a general contractor reasonably acceptable to Landlord and Tenant (the “</w:t>
      </w:r>
      <w:r>
        <w:rPr>
          <w:rFonts w:ascii="Arial" w:cs="Arial" w:eastAsia="Arial" w:hAnsi="Arial"/>
          <w:sz w:val="15"/>
          <w:szCs w:val="15"/>
          <w:b w:val="1"/>
          <w:bCs w:val="1"/>
          <w:color w:val="auto"/>
        </w:rPr>
        <w:t>Restoration Amount</w:t>
      </w:r>
      <w:r>
        <w:rPr>
          <w:rFonts w:ascii="Arial" w:cs="Arial" w:eastAsia="Arial" w:hAnsi="Arial"/>
          <w:sz w:val="15"/>
          <w:szCs w:val="15"/>
          <w:color w:val="auto"/>
        </w:rPr>
        <w:t xml:space="preserve">”). If the Term of the Lease has not been extended as contemplated by the first sentence of this </w:t>
      </w:r>
      <w:r>
        <w:rPr>
          <w:rFonts w:ascii="Arial" w:cs="Arial" w:eastAsia="Arial" w:hAnsi="Arial"/>
          <w:sz w:val="15"/>
          <w:szCs w:val="15"/>
          <w:u w:val="single" w:color="auto"/>
          <w:color w:val="auto"/>
        </w:rPr>
        <w:t>Section 8</w:t>
      </w:r>
      <w:r>
        <w:rPr>
          <w:rFonts w:ascii="Arial" w:cs="Arial" w:eastAsia="Arial" w:hAnsi="Arial"/>
          <w:sz w:val="15"/>
          <w:szCs w:val="15"/>
          <w:color w:val="auto"/>
        </w:rPr>
        <w:t>, then Tenant shall deliver the Restoration Amount to Landlord on or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106680</wp:posOffset>
            </wp:positionV>
            <wp:extent cx="2065655" cy="439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065655"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092"/>
        <w:spacing w:after="0"/>
        <w:rPr>
          <w:sz w:val="20"/>
          <w:szCs w:val="20"/>
          <w:color w:val="auto"/>
        </w:rPr>
      </w:pPr>
      <w:r>
        <w:rPr>
          <w:rFonts w:ascii="Arial" w:cs="Arial" w:eastAsia="Arial" w:hAnsi="Arial"/>
          <w:sz w:val="15"/>
          <w:szCs w:val="15"/>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30631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8"/>
          </w:cols>
          <w:pgMar w:left="232" w:top="120" w:right="219" w:bottom="1440" w:gutter="0" w:footer="0" w:header="0"/>
          <w:type w:val="continuous"/>
        </w:sectPr>
      </w:pPr>
    </w:p>
    <w:bookmarkStart w:id="70" w:name="page71"/>
    <w:bookmarkEnd w:id="70"/>
    <w:p>
      <w:pPr>
        <w:jc w:val="both"/>
        <w:ind w:left="8"/>
        <w:spacing w:after="0" w:line="251" w:lineRule="auto"/>
        <w:rPr>
          <w:sz w:val="20"/>
          <w:szCs w:val="20"/>
          <w:color w:val="auto"/>
        </w:rPr>
      </w:pPr>
      <w:r>
        <w:rPr>
          <w:rFonts w:ascii="Arial" w:cs="Arial" w:eastAsia="Arial" w:hAnsi="Arial"/>
          <w:sz w:val="15"/>
          <w:szCs w:val="15"/>
          <w:color w:val="auto"/>
        </w:rPr>
        <w:t>date that is 30 days prior to the expiration or earlier termination of the Term (the “</w:t>
      </w:r>
      <w:r>
        <w:rPr>
          <w:rFonts w:ascii="Arial" w:cs="Arial" w:eastAsia="Arial" w:hAnsi="Arial"/>
          <w:sz w:val="15"/>
          <w:szCs w:val="15"/>
          <w:b w:val="1"/>
          <w:bCs w:val="1"/>
          <w:color w:val="auto"/>
        </w:rPr>
        <w:t>Termination Date</w:t>
      </w:r>
      <w:r>
        <w:rPr>
          <w:rFonts w:ascii="Arial" w:cs="Arial" w:eastAsia="Arial" w:hAnsi="Arial"/>
          <w:sz w:val="15"/>
          <w:szCs w:val="15"/>
          <w:color w:val="auto"/>
        </w:rPr>
        <w:t>”). Notwithstanding the foregoing, in the event that Landlord leases the Expansion Premises to a third party on or before the date that is 90 days after the Termination Date and such third party agrees to accept the Expansion Premises in its then current configuration as 100% laboratory space, then Landlord shall refund the full Restoration Amount to Tenant on or before the date that is 120 days after the Termination Date. Landlord shall have no liability whatsoever to Tenant relating to or arising from the failure of Landlord to (i) enter into a lease within 90 days after the Termination Date, or (ii) enter into a lease with a third party that accepts the Expansion Premises in its then-current configuration.</w:t>
      </w:r>
    </w:p>
    <w:p>
      <w:pPr>
        <w:spacing w:after="0" w:line="167" w:lineRule="exact"/>
        <w:rPr>
          <w:sz w:val="20"/>
          <w:szCs w:val="20"/>
          <w:color w:val="auto"/>
        </w:rPr>
      </w:pPr>
    </w:p>
    <w:p>
      <w:pPr>
        <w:ind w:left="888"/>
        <w:spacing w:after="0"/>
        <w:rPr>
          <w:sz w:val="20"/>
          <w:szCs w:val="20"/>
          <w:color w:val="auto"/>
        </w:rPr>
      </w:pPr>
      <w:r>
        <w:rPr>
          <w:rFonts w:ascii="Arial" w:cs="Arial" w:eastAsia="Arial" w:hAnsi="Arial"/>
          <w:sz w:val="15"/>
          <w:szCs w:val="15"/>
          <w:color w:val="auto"/>
        </w:rPr>
        <w:t xml:space="preserve">For the avoidance of any doubt, if Tenant exercises its Extension Right pursuant to </w:t>
      </w:r>
      <w:r>
        <w:rPr>
          <w:rFonts w:ascii="Arial" w:cs="Arial" w:eastAsia="Arial" w:hAnsi="Arial"/>
          <w:sz w:val="15"/>
          <w:szCs w:val="15"/>
          <w:u w:val="single" w:color="auto"/>
          <w:color w:val="auto"/>
        </w:rPr>
        <w:t>Section 39</w:t>
      </w:r>
      <w:r>
        <w:rPr>
          <w:rFonts w:ascii="Arial" w:cs="Arial" w:eastAsia="Arial" w:hAnsi="Arial"/>
          <w:sz w:val="15"/>
          <w:szCs w:val="15"/>
          <w:color w:val="auto"/>
        </w:rPr>
        <w:t>, Tenant shall be required to extend with respect to the entire</w:t>
      </w:r>
    </w:p>
    <w:p>
      <w:pPr>
        <w:spacing w:after="0" w:line="1" w:lineRule="exact"/>
        <w:rPr>
          <w:sz w:val="20"/>
          <w:szCs w:val="20"/>
          <w:color w:val="auto"/>
        </w:rPr>
      </w:pPr>
    </w:p>
    <w:p>
      <w:pPr>
        <w:ind w:left="8"/>
        <w:spacing w:after="0"/>
        <w:rPr>
          <w:sz w:val="20"/>
          <w:szCs w:val="20"/>
          <w:color w:val="auto"/>
        </w:rPr>
      </w:pPr>
      <w:r>
        <w:rPr>
          <w:rFonts w:ascii="Arial" w:cs="Arial" w:eastAsia="Arial" w:hAnsi="Arial"/>
          <w:sz w:val="15"/>
          <w:szCs w:val="15"/>
          <w:color w:val="auto"/>
        </w:rPr>
        <w:t>Premises.</w:t>
      </w:r>
    </w:p>
    <w:p>
      <w:pPr>
        <w:spacing w:after="0" w:line="167" w:lineRule="exact"/>
        <w:rPr>
          <w:sz w:val="20"/>
          <w:szCs w:val="20"/>
          <w:color w:val="auto"/>
        </w:rPr>
      </w:pPr>
    </w:p>
    <w:p>
      <w:pPr>
        <w:ind w:left="688" w:hanging="688"/>
        <w:spacing w:after="0"/>
        <w:tabs>
          <w:tab w:leader="none" w:pos="688" w:val="left"/>
        </w:tabs>
        <w:numPr>
          <w:ilvl w:val="0"/>
          <w:numId w:val="57"/>
        </w:numPr>
        <w:rPr>
          <w:rFonts w:ascii="Arial" w:cs="Arial" w:eastAsia="Arial" w:hAnsi="Arial"/>
          <w:sz w:val="15"/>
          <w:szCs w:val="15"/>
          <w:color w:val="auto"/>
        </w:rPr>
      </w:pPr>
      <w:r>
        <w:rPr>
          <w:rFonts w:ascii="Arial" w:cs="Arial" w:eastAsia="Arial" w:hAnsi="Arial"/>
          <w:sz w:val="15"/>
          <w:szCs w:val="15"/>
          <w:b w:val="1"/>
          <w:bCs w:val="1"/>
          <w:u w:val="single" w:color="auto"/>
          <w:color w:val="auto"/>
        </w:rPr>
        <w:t>Storage Area</w:t>
      </w:r>
      <w:r>
        <w:rPr>
          <w:rFonts w:ascii="Arial" w:cs="Arial" w:eastAsia="Arial" w:hAnsi="Arial"/>
          <w:sz w:val="15"/>
          <w:szCs w:val="15"/>
          <w:color w:val="auto"/>
        </w:rPr>
        <w:t>. For the avoidance of doubt, the terms of the First Amendment shall continue to apply with respect to the Storage Area.</w:t>
      </w:r>
    </w:p>
    <w:p>
      <w:pPr>
        <w:spacing w:after="0" w:line="185" w:lineRule="exact"/>
        <w:rPr>
          <w:rFonts w:ascii="Arial" w:cs="Arial" w:eastAsia="Arial" w:hAnsi="Arial"/>
          <w:sz w:val="15"/>
          <w:szCs w:val="15"/>
          <w:color w:val="auto"/>
        </w:rPr>
      </w:pPr>
    </w:p>
    <w:p>
      <w:pPr>
        <w:jc w:val="both"/>
        <w:ind w:left="8" w:hanging="8"/>
        <w:spacing w:after="0" w:line="249" w:lineRule="auto"/>
        <w:tabs>
          <w:tab w:leader="none" w:pos="775" w:val="left"/>
        </w:tabs>
        <w:numPr>
          <w:ilvl w:val="0"/>
          <w:numId w:val="57"/>
        </w:numPr>
        <w:rPr>
          <w:rFonts w:ascii="Arial" w:cs="Arial" w:eastAsia="Arial" w:hAnsi="Arial"/>
          <w:sz w:val="15"/>
          <w:szCs w:val="15"/>
          <w:color w:val="auto"/>
        </w:rPr>
      </w:pPr>
      <w:r>
        <w:rPr>
          <w:rFonts w:ascii="Arial" w:cs="Arial" w:eastAsia="Arial" w:hAnsi="Arial"/>
          <w:sz w:val="15"/>
          <w:szCs w:val="15"/>
          <w:b w:val="1"/>
          <w:bCs w:val="1"/>
          <w:u w:val="single" w:color="auto"/>
          <w:color w:val="auto"/>
        </w:rPr>
        <w:t>OFAC</w:t>
      </w:r>
      <w:r>
        <w:rPr>
          <w:rFonts w:ascii="Arial" w:cs="Arial" w:eastAsia="Arial" w:hAnsi="Arial"/>
          <w:sz w:val="15"/>
          <w:szCs w:val="15"/>
          <w:color w:val="auto"/>
        </w:rPr>
        <w:t>. Tenant and all beneficial owners of Tenant are currently (a) in compliance with and shall at all times during the Term of the Lease remain in</w:t>
      </w:r>
      <w:r>
        <w:rPr>
          <w:rFonts w:ascii="Arial" w:cs="Arial" w:eastAsia="Arial" w:hAnsi="Arial"/>
          <w:sz w:val="15"/>
          <w:szCs w:val="15"/>
          <w:b w:val="1"/>
          <w:bCs w:val="1"/>
          <w:color w:val="auto"/>
        </w:rPr>
        <w:t xml:space="preserve"> </w:t>
      </w:r>
      <w:r>
        <w:rPr>
          <w:rFonts w:ascii="Arial" w:cs="Arial" w:eastAsia="Arial" w:hAnsi="Arial"/>
          <w:sz w:val="15"/>
          <w:szCs w:val="15"/>
          <w:color w:val="auto"/>
        </w:rPr>
        <w:t>compliance with the regulations of the Office of Foreign Assets Control (“</w:t>
      </w:r>
      <w:r>
        <w:rPr>
          <w:rFonts w:ascii="Arial" w:cs="Arial" w:eastAsia="Arial" w:hAnsi="Arial"/>
          <w:sz w:val="15"/>
          <w:szCs w:val="15"/>
          <w:b w:val="1"/>
          <w:bCs w:val="1"/>
          <w:color w:val="auto"/>
        </w:rPr>
        <w:t>OFAC</w:t>
      </w:r>
      <w:r>
        <w:rPr>
          <w:rFonts w:ascii="Arial" w:cs="Arial" w:eastAsia="Arial" w:hAnsi="Arial"/>
          <w:sz w:val="15"/>
          <w:szCs w:val="15"/>
          <w:color w:val="auto"/>
        </w:rPr>
        <w:t>”) of the U.S. Department of Treasury and any statute, executive order, or regulation relating thereto (collectively, the “</w:t>
      </w:r>
      <w:r>
        <w:rPr>
          <w:rFonts w:ascii="Arial" w:cs="Arial" w:eastAsia="Arial" w:hAnsi="Arial"/>
          <w:sz w:val="15"/>
          <w:szCs w:val="15"/>
          <w:b w:val="1"/>
          <w:bCs w:val="1"/>
          <w:color w:val="auto"/>
        </w:rPr>
        <w:t>OFAC Rules</w:t>
      </w:r>
      <w:r>
        <w:rPr>
          <w:rFonts w:ascii="Arial" w:cs="Arial" w:eastAsia="Arial" w:hAnsi="Arial"/>
          <w:sz w:val="15"/>
          <w:szCs w:val="15"/>
          <w:color w:val="auto"/>
        </w:rPr>
        <w:t>”), (b) not listed on, and shall not during Term of the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49" w:lineRule="exact"/>
        <w:rPr>
          <w:rFonts w:ascii="Arial" w:cs="Arial" w:eastAsia="Arial" w:hAnsi="Arial"/>
          <w:sz w:val="15"/>
          <w:szCs w:val="15"/>
          <w:color w:val="auto"/>
        </w:rPr>
      </w:pPr>
    </w:p>
    <w:p>
      <w:pPr>
        <w:jc w:val="both"/>
        <w:ind w:left="8" w:hanging="8"/>
        <w:spacing w:after="0" w:line="252" w:lineRule="auto"/>
        <w:tabs>
          <w:tab w:leader="none" w:pos="775" w:val="left"/>
        </w:tabs>
        <w:numPr>
          <w:ilvl w:val="0"/>
          <w:numId w:val="57"/>
        </w:numPr>
        <w:rPr>
          <w:rFonts w:ascii="Arial" w:cs="Arial" w:eastAsia="Arial" w:hAnsi="Arial"/>
          <w:sz w:val="15"/>
          <w:szCs w:val="15"/>
          <w:color w:val="auto"/>
        </w:rPr>
      </w:pPr>
      <w:r>
        <w:rPr>
          <w:rFonts w:ascii="Arial" w:cs="Arial" w:eastAsia="Arial" w:hAnsi="Arial"/>
          <w:sz w:val="15"/>
          <w:szCs w:val="15"/>
          <w:b w:val="1"/>
          <w:bCs w:val="1"/>
          <w:u w:val="single" w:color="auto"/>
          <w:color w:val="auto"/>
        </w:rPr>
        <w:t>Brokers</w:t>
      </w:r>
      <w:r>
        <w:rPr>
          <w:rFonts w:ascii="Arial" w:cs="Arial" w:eastAsia="Arial" w:hAnsi="Arial"/>
          <w:sz w:val="15"/>
          <w:szCs w:val="15"/>
          <w:color w:val="auto"/>
        </w:rPr>
        <w:t>. Landlord and Tenant each represents and warrants that it has not dealt with any broker, agent or other person (collectively, “</w:t>
      </w:r>
      <w:r>
        <w:rPr>
          <w:rFonts w:ascii="Arial" w:cs="Arial" w:eastAsia="Arial" w:hAnsi="Arial"/>
          <w:sz w:val="15"/>
          <w:szCs w:val="15"/>
          <w:b w:val="1"/>
          <w:bCs w:val="1"/>
          <w:color w:val="auto"/>
        </w:rPr>
        <w:t>Broker</w:t>
      </w:r>
      <w:r>
        <w:rPr>
          <w:rFonts w:ascii="Arial" w:cs="Arial" w:eastAsia="Arial" w:hAnsi="Arial"/>
          <w:sz w:val="15"/>
          <w:szCs w:val="15"/>
          <w:color w:val="auto"/>
        </w:rPr>
        <w:t>”) in connection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transaction reflected in this Second Amendment and that no Broker brought about this transaction, other than Colliers International and CB Richard Ellis. Landlord and Tenant each hereby agree to indemnify and hold the other harmless from and against any claims by any Broker, other than the brokers, if any, named in this Second Amendment, claiming a commission or other form of compensation by virtue of having dealt with Landlord or Tenant, as applicable, with regard to this Second Amendment.</w:t>
      </w:r>
    </w:p>
    <w:p>
      <w:pPr>
        <w:spacing w:after="0" w:line="325" w:lineRule="exact"/>
        <w:rPr>
          <w:rFonts w:ascii="Arial" w:cs="Arial" w:eastAsia="Arial" w:hAnsi="Arial"/>
          <w:sz w:val="15"/>
          <w:szCs w:val="15"/>
          <w:color w:val="auto"/>
        </w:rPr>
      </w:pPr>
    </w:p>
    <w:p>
      <w:pPr>
        <w:ind w:left="768" w:hanging="768"/>
        <w:spacing w:after="0"/>
        <w:tabs>
          <w:tab w:leader="none" w:pos="768" w:val="left"/>
        </w:tabs>
        <w:numPr>
          <w:ilvl w:val="0"/>
          <w:numId w:val="57"/>
        </w:numPr>
        <w:rPr>
          <w:rFonts w:ascii="Arial" w:cs="Arial" w:eastAsia="Arial" w:hAnsi="Arial"/>
          <w:sz w:val="15"/>
          <w:szCs w:val="15"/>
          <w:color w:val="auto"/>
        </w:rPr>
      </w:pP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pacing w:after="0" w:line="203" w:lineRule="exact"/>
        <w:rPr>
          <w:rFonts w:ascii="Arial" w:cs="Arial" w:eastAsia="Arial" w:hAnsi="Arial"/>
          <w:sz w:val="15"/>
          <w:szCs w:val="15"/>
          <w:color w:val="auto"/>
        </w:rPr>
      </w:pPr>
    </w:p>
    <w:p>
      <w:pPr>
        <w:jc w:val="both"/>
        <w:ind w:left="888" w:hanging="8"/>
        <w:spacing w:after="0" w:line="249" w:lineRule="auto"/>
        <w:tabs>
          <w:tab w:leader="none" w:pos="2123" w:val="left"/>
        </w:tabs>
        <w:numPr>
          <w:ilvl w:val="1"/>
          <w:numId w:val="57"/>
        </w:numPr>
        <w:rPr>
          <w:rFonts w:ascii="Arial" w:cs="Arial" w:eastAsia="Arial" w:hAnsi="Arial"/>
          <w:sz w:val="15"/>
          <w:szCs w:val="15"/>
          <w:b w:val="1"/>
          <w:bCs w:val="1"/>
          <w:color w:val="auto"/>
        </w:rPr>
      </w:pPr>
      <w:r>
        <w:rPr>
          <w:rFonts w:ascii="Arial" w:cs="Arial" w:eastAsia="Arial" w:hAnsi="Arial"/>
          <w:sz w:val="15"/>
          <w:szCs w:val="15"/>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66" w:lineRule="exact"/>
        <w:rPr>
          <w:rFonts w:ascii="Arial" w:cs="Arial" w:eastAsia="Arial" w:hAnsi="Arial"/>
          <w:sz w:val="15"/>
          <w:szCs w:val="15"/>
          <w:b w:val="1"/>
          <w:bCs w:val="1"/>
          <w:color w:val="auto"/>
        </w:rPr>
      </w:pPr>
    </w:p>
    <w:p>
      <w:pPr>
        <w:ind w:left="2128" w:hanging="1248"/>
        <w:spacing w:after="0"/>
        <w:tabs>
          <w:tab w:leader="none" w:pos="2128" w:val="left"/>
        </w:tabs>
        <w:numPr>
          <w:ilvl w:val="1"/>
          <w:numId w:val="57"/>
        </w:numPr>
        <w:rPr>
          <w:rFonts w:ascii="Arial" w:cs="Arial" w:eastAsia="Arial" w:hAnsi="Arial"/>
          <w:sz w:val="15"/>
          <w:szCs w:val="15"/>
          <w:b w:val="1"/>
          <w:bCs w:val="1"/>
          <w:color w:val="auto"/>
        </w:rPr>
      </w:pPr>
      <w:r>
        <w:rPr>
          <w:rFonts w:ascii="Arial" w:cs="Arial" w:eastAsia="Arial" w:hAnsi="Arial"/>
          <w:sz w:val="15"/>
          <w:szCs w:val="15"/>
          <w:color w:val="auto"/>
        </w:rPr>
        <w:t>This Second Amendment is binding upon and shall inure to the benefit of the parties hereto, and their respective successors and</w:t>
      </w:r>
    </w:p>
    <w:p>
      <w:pPr>
        <w:ind w:left="888"/>
        <w:spacing w:after="0"/>
        <w:rPr>
          <w:rFonts w:ascii="Arial" w:cs="Arial" w:eastAsia="Arial" w:hAnsi="Arial"/>
          <w:sz w:val="15"/>
          <w:szCs w:val="15"/>
          <w:b w:val="1"/>
          <w:bCs w:val="1"/>
          <w:color w:val="auto"/>
        </w:rPr>
      </w:pPr>
      <w:r>
        <w:rPr>
          <w:rFonts w:ascii="Arial" w:cs="Arial" w:eastAsia="Arial" w:hAnsi="Arial"/>
          <w:sz w:val="15"/>
          <w:szCs w:val="15"/>
          <w:color w:val="auto"/>
        </w:rPr>
        <w:t>assigns.</w:t>
      </w:r>
    </w:p>
    <w:p>
      <w:pPr>
        <w:spacing w:after="0" w:line="185" w:lineRule="exact"/>
        <w:rPr>
          <w:rFonts w:ascii="Arial" w:cs="Arial" w:eastAsia="Arial" w:hAnsi="Arial"/>
          <w:sz w:val="15"/>
          <w:szCs w:val="15"/>
          <w:b w:val="1"/>
          <w:bCs w:val="1"/>
          <w:color w:val="auto"/>
        </w:rPr>
      </w:pPr>
    </w:p>
    <w:p>
      <w:pPr>
        <w:jc w:val="both"/>
        <w:ind w:left="888" w:right="20" w:hanging="8"/>
        <w:spacing w:after="0" w:line="245" w:lineRule="auto"/>
        <w:tabs>
          <w:tab w:leader="none" w:pos="2123" w:val="left"/>
        </w:tabs>
        <w:numPr>
          <w:ilvl w:val="1"/>
          <w:numId w:val="57"/>
        </w:numPr>
        <w:rPr>
          <w:rFonts w:ascii="Arial" w:cs="Arial" w:eastAsia="Arial" w:hAnsi="Arial"/>
          <w:sz w:val="15"/>
          <w:szCs w:val="15"/>
          <w:b w:val="1"/>
          <w:bCs w:val="1"/>
          <w:color w:val="auto"/>
        </w:rPr>
      </w:pPr>
      <w:r>
        <w:rPr>
          <w:rFonts w:ascii="Arial" w:cs="Arial" w:eastAsia="Arial" w:hAnsi="Arial"/>
          <w:sz w:val="15"/>
          <w:szCs w:val="15"/>
          <w:color w:val="auto"/>
        </w:rPr>
        <w:t>This Second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Second Amendment and all matters related thereto, with such electronic signatures having the same legal effect as original signatures.</w:t>
      </w:r>
    </w:p>
    <w:p>
      <w:pPr>
        <w:spacing w:after="0" w:line="169" w:lineRule="exact"/>
        <w:rPr>
          <w:rFonts w:ascii="Arial" w:cs="Arial" w:eastAsia="Arial" w:hAnsi="Arial"/>
          <w:sz w:val="15"/>
          <w:szCs w:val="15"/>
          <w:b w:val="1"/>
          <w:bCs w:val="1"/>
          <w:color w:val="auto"/>
        </w:rPr>
      </w:pPr>
    </w:p>
    <w:p>
      <w:pPr>
        <w:ind w:left="888" w:hanging="8"/>
        <w:spacing w:after="0" w:line="258" w:lineRule="auto"/>
        <w:tabs>
          <w:tab w:leader="none" w:pos="2132" w:val="left"/>
        </w:tabs>
        <w:numPr>
          <w:ilvl w:val="1"/>
          <w:numId w:val="57"/>
        </w:numPr>
        <w:rPr>
          <w:rFonts w:ascii="Arial" w:cs="Arial" w:eastAsia="Arial" w:hAnsi="Arial"/>
          <w:sz w:val="15"/>
          <w:szCs w:val="15"/>
          <w:b w:val="1"/>
          <w:bCs w:val="1"/>
          <w:color w:val="auto"/>
        </w:rPr>
      </w:pPr>
      <w:r>
        <w:rPr>
          <w:rFonts w:ascii="Arial" w:cs="Arial" w:eastAsia="Arial" w:hAnsi="Arial"/>
          <w:sz w:val="15"/>
          <w:szCs w:val="15"/>
          <w:color w:val="auto"/>
        </w:rPr>
        <w:t>Except as amended and/or modified by this Second Amendment, the Lease is hereby ratified and confirmed and all other terms of the Lease shall remain in full force and effect, unaltered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102235</wp:posOffset>
            </wp:positionV>
            <wp:extent cx="2065655" cy="439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065655"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92"/>
        <w:spacing w:after="0"/>
        <w:rPr>
          <w:sz w:val="20"/>
          <w:szCs w:val="20"/>
          <w:color w:val="auto"/>
        </w:rPr>
      </w:pPr>
      <w:r>
        <w:rPr>
          <w:rFonts w:ascii="Arial" w:cs="Arial" w:eastAsia="Arial" w:hAnsi="Arial"/>
          <w:sz w:val="15"/>
          <w:szCs w:val="15"/>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30631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1448"/>
          </w:cols>
          <w:pgMar w:left="232" w:top="120" w:right="219" w:bottom="1440" w:gutter="0" w:footer="0" w:header="0"/>
        </w:sectPr>
      </w:pPr>
    </w:p>
    <w:bookmarkStart w:id="71" w:name="page72"/>
    <w:bookmarkEnd w:id="71"/>
    <w:p>
      <w:pPr>
        <w:jc w:val="both"/>
        <w:ind w:left="340"/>
        <w:spacing w:after="0" w:line="249" w:lineRule="auto"/>
        <w:rPr>
          <w:sz w:val="20"/>
          <w:szCs w:val="20"/>
          <w:color w:val="auto"/>
        </w:rPr>
      </w:pPr>
      <w:r>
        <w:rPr>
          <w:rFonts w:ascii="Arial" w:cs="Arial" w:eastAsia="Arial" w:hAnsi="Arial"/>
          <w:sz w:val="15"/>
          <w:szCs w:val="15"/>
          <w:color w:val="auto"/>
        </w:rPr>
        <w:t>and unchanged by this Second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spacing w:after="0" w:line="148"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239395</wp:posOffset>
            </wp:positionV>
            <wp:extent cx="2065655" cy="4394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065655"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46990</wp:posOffset>
            </wp:positionV>
            <wp:extent cx="730631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306310" cy="40005"/>
                    </a:xfrm>
                    <a:prstGeom prst="rect">
                      <a:avLst/>
                    </a:prstGeom>
                    <a:noFill/>
                  </pic:spPr>
                </pic:pic>
              </a:graphicData>
            </a:graphic>
          </wp:anchor>
        </w:drawing>
      </w:r>
    </w:p>
    <w:p>
      <w:pPr>
        <w:sectPr>
          <w:pgSz w:w="11900" w:h="16838" w:orient="portrait"/>
          <w:cols w:equalWidth="0" w:num="1">
            <w:col w:w="10900"/>
          </w:cols>
          <w:pgMar w:left="780" w:top="140" w:right="219" w:bottom="1440" w:gutter="0" w:footer="0" w:header="0"/>
        </w:sectPr>
      </w:pPr>
    </w:p>
    <w:bookmarkStart w:id="72" w:name="page73"/>
    <w:bookmarkEnd w:id="72"/>
    <w:p>
      <w:pPr>
        <w:spacing w:after="0"/>
        <w:rPr>
          <w:sz w:val="20"/>
          <w:szCs w:val="20"/>
          <w:color w:val="auto"/>
        </w:rPr>
      </w:pPr>
      <w:r>
        <w:rPr>
          <w:rFonts w:ascii="Arial" w:cs="Arial" w:eastAsia="Arial" w:hAnsi="Arial"/>
          <w:sz w:val="15"/>
          <w:szCs w:val="15"/>
          <w:color w:val="auto"/>
        </w:rPr>
        <w:t>IN WITNESS WHEREOF, the parties have caused their duly authorized representatives to execute this Second Amendment as of the date first written above.</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TENANT:</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ULTRAGENYX PHARMACEUTICAL INC.</w:t>
      </w:r>
      <w:r>
        <w:rPr>
          <w:rFonts w:ascii="Arial" w:cs="Arial" w:eastAsia="Arial" w:hAnsi="Arial"/>
          <w:sz w:val="15"/>
          <w:szCs w:val="15"/>
          <w:color w:val="auto"/>
        </w:rPr>
        <w:t>,</w:t>
      </w:r>
    </w:p>
    <w:p>
      <w:pPr>
        <w:spacing w:after="0" w:line="1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a Delaware corporation</w:t>
      </w:r>
    </w:p>
    <w:p>
      <w:pPr>
        <w:spacing w:after="0" w:line="200" w:lineRule="exact"/>
        <w:rPr>
          <w:sz w:val="20"/>
          <w:szCs w:val="20"/>
          <w:color w:val="auto"/>
        </w:rPr>
      </w:pPr>
    </w:p>
    <w:p>
      <w:pPr>
        <w:spacing w:after="0" w:line="216" w:lineRule="exact"/>
        <w:rPr>
          <w:sz w:val="20"/>
          <w:szCs w:val="20"/>
          <w:color w:val="auto"/>
        </w:rPr>
      </w:pPr>
    </w:p>
    <w:p>
      <w:pPr>
        <w:ind w:left="4380"/>
        <w:spacing w:after="0"/>
        <w:tabs>
          <w:tab w:leader="none" w:pos="4880" w:val="left"/>
          <w:tab w:leader="none" w:pos="52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r>
      <w:r>
        <w:rPr>
          <w:sz w:val="20"/>
          <w:szCs w:val="20"/>
          <w:color w:val="auto"/>
        </w:rPr>
        <w:tab/>
      </w:r>
      <w:r>
        <w:rPr>
          <w:rFonts w:ascii="Arial" w:cs="Arial" w:eastAsia="Arial" w:hAnsi="Arial"/>
          <w:sz w:val="14"/>
          <w:szCs w:val="14"/>
          <w:color w:val="auto"/>
        </w:rPr>
        <w:t>Emil</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635</wp:posOffset>
            </wp:positionV>
            <wp:extent cx="41783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417830" cy="7620"/>
                    </a:xfrm>
                    <a:prstGeom prst="rect">
                      <a:avLst/>
                    </a:prstGeom>
                    <a:noFill/>
                  </pic:spPr>
                </pic:pic>
              </a:graphicData>
            </a:graphic>
          </wp:anchor>
        </w:drawing>
      </w:r>
    </w:p>
    <w:p>
      <w:pPr>
        <w:spacing w:after="0" w:line="38" w:lineRule="exact"/>
        <w:rPr>
          <w:sz w:val="20"/>
          <w:szCs w:val="20"/>
          <w:color w:val="auto"/>
        </w:rPr>
      </w:pPr>
    </w:p>
    <w:p>
      <w:pPr>
        <w:ind w:left="4380"/>
        <w:spacing w:after="0"/>
        <w:tabs>
          <w:tab w:leader="none" w:pos="4880" w:val="left"/>
        </w:tabs>
        <w:rPr>
          <w:sz w:val="20"/>
          <w:szCs w:val="20"/>
          <w:color w:val="auto"/>
        </w:rPr>
      </w:pPr>
      <w:r>
        <w:rPr>
          <w:rFonts w:ascii="Arial" w:cs="Arial" w:eastAsia="Arial" w:hAnsi="Arial"/>
          <w:sz w:val="15"/>
          <w:szCs w:val="15"/>
          <w:color w:val="auto"/>
        </w:rPr>
        <w:t>Print</w:t>
        <w:tab/>
        <w:t>Emil</w:t>
      </w:r>
    </w:p>
    <w:p>
      <w:pPr>
        <w:spacing w:after="0" w:line="1"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Name: Kakkis</w:t>
      </w:r>
    </w:p>
    <w:p>
      <w:pPr>
        <w:spacing w:after="0" w:line="47" w:lineRule="exact"/>
        <w:rPr>
          <w:sz w:val="20"/>
          <w:szCs w:val="20"/>
          <w:color w:val="auto"/>
        </w:rPr>
      </w:pPr>
    </w:p>
    <w:p>
      <w:pPr>
        <w:ind w:left="4380"/>
        <w:spacing w:after="0"/>
        <w:tabs>
          <w:tab w:leader="none" w:pos="4880" w:val="left"/>
        </w:tabs>
        <w:rPr>
          <w:sz w:val="20"/>
          <w:szCs w:val="20"/>
          <w:color w:val="auto"/>
        </w:rPr>
      </w:pPr>
      <w:r>
        <w:rPr>
          <w:rFonts w:ascii="Arial" w:cs="Arial" w:eastAsia="Arial" w:hAnsi="Arial"/>
          <w:sz w:val="15"/>
          <w:szCs w:val="15"/>
          <w:color w:val="auto"/>
        </w:rPr>
        <w:t>Its:</w:t>
      </w:r>
      <w:r>
        <w:rPr>
          <w:sz w:val="20"/>
          <w:szCs w:val="20"/>
          <w:color w:val="auto"/>
        </w:rPr>
        <w:tab/>
      </w:r>
      <w:r>
        <w:rPr>
          <w:rFonts w:ascii="Arial" w:cs="Arial" w:eastAsia="Arial" w:hAnsi="Arial"/>
          <w:sz w:val="15"/>
          <w:szCs w:val="15"/>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LANDLORD:</w:t>
      </w:r>
    </w:p>
    <w:p>
      <w:pPr>
        <w:spacing w:after="0" w:line="185"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ARE-MA REGION NO. 20, LLC</w:t>
      </w:r>
      <w:r>
        <w:rPr>
          <w:rFonts w:ascii="Arial" w:cs="Arial" w:eastAsia="Arial" w:hAnsi="Arial"/>
          <w:sz w:val="15"/>
          <w:szCs w:val="15"/>
          <w:color w:val="auto"/>
        </w:rPr>
        <w:t>,</w:t>
      </w:r>
    </w:p>
    <w:p>
      <w:pPr>
        <w:spacing w:after="0" w:line="1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a Delaware limited liability company</w:t>
      </w:r>
    </w:p>
    <w:p>
      <w:pPr>
        <w:spacing w:after="0" w:line="185" w:lineRule="exact"/>
        <w:rPr>
          <w:sz w:val="20"/>
          <w:szCs w:val="20"/>
          <w:color w:val="auto"/>
        </w:rPr>
      </w:pPr>
    </w:p>
    <w:tbl>
      <w:tblPr>
        <w:tblLayout w:type="fixed"/>
        <w:tblInd w:w="4400" w:type="dxa"/>
        <w:tblCellMar>
          <w:top w:w="0" w:type="dxa"/>
          <w:left w:w="0" w:type="dxa"/>
          <w:bottom w:w="0" w:type="dxa"/>
          <w:right w:w="0" w:type="dxa"/>
        </w:tblCellMar>
      </w:tblPr>
      <w:tr>
        <w:trPr>
          <w:trHeight w:val="173"/>
        </w:trPr>
        <w:tc>
          <w:tcPr>
            <w:tcW w:w="1560" w:type="dxa"/>
            <w:vAlign w:val="bottom"/>
          </w:tcPr>
          <w:p>
            <w:pPr>
              <w:spacing w:after="0"/>
              <w:rPr>
                <w:sz w:val="20"/>
                <w:szCs w:val="20"/>
                <w:color w:val="auto"/>
              </w:rPr>
            </w:pPr>
            <w:r>
              <w:rPr>
                <w:rFonts w:ascii="Arial" w:cs="Arial" w:eastAsia="Arial" w:hAnsi="Arial"/>
                <w:sz w:val="15"/>
                <w:szCs w:val="15"/>
                <w:color w:val="auto"/>
              </w:rPr>
              <w:t>By:</w:t>
            </w:r>
          </w:p>
        </w:tc>
        <w:tc>
          <w:tcPr>
            <w:tcW w:w="660" w:type="dxa"/>
            <w:vAlign w:val="bottom"/>
          </w:tcPr>
          <w:p>
            <w:pPr>
              <w:spacing w:after="0"/>
              <w:rPr>
                <w:sz w:val="15"/>
                <w:szCs w:val="15"/>
                <w:color w:val="auto"/>
              </w:rPr>
            </w:pPr>
          </w:p>
        </w:tc>
        <w:tc>
          <w:tcPr>
            <w:tcW w:w="4500" w:type="dxa"/>
            <w:vAlign w:val="bottom"/>
          </w:tcPr>
          <w:p>
            <w:pPr>
              <w:ind w:left="1320"/>
              <w:spacing w:after="0"/>
              <w:rPr>
                <w:sz w:val="20"/>
                <w:szCs w:val="20"/>
                <w:color w:val="auto"/>
              </w:rPr>
            </w:pPr>
            <w:r>
              <w:rPr>
                <w:rFonts w:ascii="Arial" w:cs="Arial" w:eastAsia="Arial" w:hAnsi="Arial"/>
                <w:sz w:val="15"/>
                <w:szCs w:val="15"/>
                <w:color w:val="auto"/>
              </w:rPr>
              <w:t>ALEXANDRIA REAL ESTATE EQUITIES, L.P.,</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500" w:type="dxa"/>
            <w:vAlign w:val="bottom"/>
          </w:tcPr>
          <w:p>
            <w:pPr>
              <w:ind w:left="1100"/>
              <w:spacing w:after="0"/>
              <w:rPr>
                <w:sz w:val="20"/>
                <w:szCs w:val="20"/>
                <w:color w:val="auto"/>
              </w:rPr>
            </w:pPr>
            <w:r>
              <w:rPr>
                <w:rFonts w:ascii="Arial" w:cs="Arial" w:eastAsia="Arial" w:hAnsi="Arial"/>
                <w:sz w:val="15"/>
                <w:szCs w:val="15"/>
                <w:color w:val="auto"/>
              </w:rPr>
              <w:t>a Delaware limited partnership,</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00" w:type="dxa"/>
            <w:vAlign w:val="bottom"/>
          </w:tcPr>
          <w:p>
            <w:pPr>
              <w:ind w:left="1100"/>
              <w:spacing w:after="0"/>
              <w:rPr>
                <w:sz w:val="20"/>
                <w:szCs w:val="20"/>
                <w:color w:val="auto"/>
              </w:rPr>
            </w:pPr>
            <w:r>
              <w:rPr>
                <w:rFonts w:ascii="Arial" w:cs="Arial" w:eastAsia="Arial" w:hAnsi="Arial"/>
                <w:sz w:val="15"/>
                <w:szCs w:val="15"/>
                <w:color w:val="auto"/>
              </w:rPr>
              <w:t>managing member</w:t>
            </w:r>
          </w:p>
        </w:tc>
        <w:tc>
          <w:tcPr>
            <w:tcW w:w="0" w:type="dxa"/>
            <w:vAlign w:val="bottom"/>
          </w:tcPr>
          <w:p>
            <w:pPr>
              <w:spacing w:after="0"/>
              <w:rPr>
                <w:sz w:val="1"/>
                <w:szCs w:val="1"/>
                <w:color w:val="auto"/>
              </w:rPr>
            </w:pPr>
          </w:p>
        </w:tc>
      </w:tr>
      <w:tr>
        <w:trPr>
          <w:trHeight w:val="358"/>
        </w:trPr>
        <w:tc>
          <w:tcPr>
            <w:tcW w:w="1560" w:type="dxa"/>
            <w:vAlign w:val="bottom"/>
            <w:vMerge w:val="restart"/>
          </w:tcPr>
          <w:p>
            <w:pPr>
              <w:spacing w:after="0"/>
              <w:rPr>
                <w:sz w:val="20"/>
                <w:szCs w:val="20"/>
                <w:color w:val="auto"/>
              </w:rPr>
            </w:pPr>
            <w:r>
              <w:rPr>
                <w:rFonts w:ascii="Arial" w:cs="Arial" w:eastAsia="Arial" w:hAnsi="Arial"/>
                <w:sz w:val="15"/>
                <w:szCs w:val="15"/>
                <w:color w:val="auto"/>
              </w:rPr>
              <w:t>QRS CORP.,</w:t>
            </w:r>
          </w:p>
        </w:tc>
        <w:tc>
          <w:tcPr>
            <w:tcW w:w="660" w:type="dxa"/>
            <w:vAlign w:val="bottom"/>
          </w:tcPr>
          <w:p>
            <w:pPr>
              <w:spacing w:after="0"/>
              <w:rPr>
                <w:sz w:val="24"/>
                <w:szCs w:val="24"/>
                <w:color w:val="auto"/>
              </w:rPr>
            </w:pPr>
          </w:p>
        </w:tc>
        <w:tc>
          <w:tcPr>
            <w:tcW w:w="4500" w:type="dxa"/>
            <w:vAlign w:val="bottom"/>
          </w:tcPr>
          <w:p>
            <w:pPr>
              <w:ind w:left="1020"/>
              <w:spacing w:after="0"/>
              <w:rPr>
                <w:sz w:val="20"/>
                <w:szCs w:val="20"/>
                <w:color w:val="auto"/>
              </w:rPr>
            </w:pPr>
            <w:r>
              <w:rPr>
                <w:rFonts w:ascii="Arial" w:cs="Arial" w:eastAsia="Arial" w:hAnsi="Arial"/>
                <w:sz w:val="15"/>
                <w:szCs w:val="15"/>
                <w:color w:val="auto"/>
              </w:rPr>
              <w:t>By:</w:t>
            </w:r>
          </w:p>
        </w:tc>
        <w:tc>
          <w:tcPr>
            <w:tcW w:w="0" w:type="dxa"/>
            <w:vAlign w:val="bottom"/>
          </w:tcPr>
          <w:p>
            <w:pPr>
              <w:spacing w:after="0"/>
              <w:rPr>
                <w:sz w:val="1"/>
                <w:szCs w:val="1"/>
                <w:color w:val="auto"/>
              </w:rPr>
            </w:pPr>
          </w:p>
        </w:tc>
      </w:tr>
      <w:tr>
        <w:trPr>
          <w:trHeight w:val="173"/>
        </w:trPr>
        <w:tc>
          <w:tcPr>
            <w:tcW w:w="15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1560" w:type="dxa"/>
            <w:vAlign w:val="bottom"/>
          </w:tcPr>
          <w:p>
            <w:pPr>
              <w:spacing w:after="0"/>
              <w:rPr>
                <w:sz w:val="20"/>
                <w:szCs w:val="20"/>
                <w:color w:val="auto"/>
              </w:rPr>
            </w:pPr>
            <w:r>
              <w:rPr>
                <w:rFonts w:ascii="Arial" w:cs="Arial" w:eastAsia="Arial" w:hAnsi="Arial"/>
                <w:sz w:val="15"/>
                <w:szCs w:val="15"/>
                <w:color w:val="auto"/>
              </w:rPr>
              <w:t>Maryland corporation,</w:t>
            </w:r>
          </w:p>
        </w:tc>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560" w:type="dxa"/>
            <w:vAlign w:val="bottom"/>
          </w:tcPr>
          <w:p>
            <w:pPr>
              <w:spacing w:after="0"/>
              <w:rPr>
                <w:sz w:val="20"/>
                <w:szCs w:val="20"/>
                <w:color w:val="auto"/>
              </w:rPr>
            </w:pPr>
            <w:r>
              <w:rPr>
                <w:rFonts w:ascii="Arial" w:cs="Arial" w:eastAsia="Arial" w:hAnsi="Arial"/>
                <w:sz w:val="15"/>
                <w:szCs w:val="15"/>
                <w:color w:val="auto"/>
              </w:rPr>
              <w:t>partner</w:t>
            </w:r>
          </w:p>
        </w:tc>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1560" w:type="dxa"/>
            <w:vAlign w:val="bottom"/>
          </w:tcPr>
          <w:p>
            <w:pPr>
              <w:ind w:left="860"/>
              <w:spacing w:after="0"/>
              <w:rPr>
                <w:sz w:val="20"/>
                <w:szCs w:val="20"/>
                <w:color w:val="auto"/>
              </w:rPr>
            </w:pPr>
            <w:r>
              <w:rPr>
                <w:rFonts w:ascii="Arial" w:cs="Arial" w:eastAsia="Arial" w:hAnsi="Arial"/>
                <w:sz w:val="15"/>
                <w:szCs w:val="15"/>
                <w:color w:val="auto"/>
              </w:rPr>
              <w:t>By:</w:t>
            </w:r>
          </w:p>
        </w:tc>
        <w:tc>
          <w:tcPr>
            <w:tcW w:w="5160" w:type="dxa"/>
            <w:vAlign w:val="bottom"/>
            <w:gridSpan w:val="2"/>
          </w:tcPr>
          <w:p>
            <w:pPr>
              <w:spacing w:after="0"/>
              <w:rPr>
                <w:sz w:val="20"/>
                <w:szCs w:val="20"/>
                <w:color w:val="auto"/>
              </w:rPr>
            </w:pPr>
            <w:r>
              <w:rPr>
                <w:rFonts w:ascii="Arial" w:cs="Arial" w:eastAsia="Arial" w:hAnsi="Arial"/>
                <w:sz w:val="15"/>
                <w:szCs w:val="15"/>
                <w:color w:val="auto"/>
              </w:rPr>
              <w:t>/s/ Eric S.</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Johnson</w:t>
            </w: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60" w:type="dxa"/>
            <w:vAlign w:val="bottom"/>
          </w:tcPr>
          <w:p>
            <w:pPr>
              <w:ind w:left="860"/>
              <w:spacing w:after="0"/>
              <w:rPr>
                <w:sz w:val="20"/>
                <w:szCs w:val="20"/>
                <w:color w:val="auto"/>
              </w:rPr>
            </w:pPr>
            <w:r>
              <w:rPr>
                <w:rFonts w:ascii="Arial" w:cs="Arial" w:eastAsia="Arial" w:hAnsi="Arial"/>
                <w:sz w:val="15"/>
                <w:szCs w:val="15"/>
                <w:color w:val="auto"/>
              </w:rPr>
              <w:t>Print</w:t>
            </w:r>
          </w:p>
        </w:tc>
        <w:tc>
          <w:tcPr>
            <w:tcW w:w="5160" w:type="dxa"/>
            <w:vAlign w:val="bottom"/>
            <w:gridSpan w:val="2"/>
          </w:tcPr>
          <w:p>
            <w:pPr>
              <w:spacing w:after="0"/>
              <w:rPr>
                <w:sz w:val="20"/>
                <w:szCs w:val="20"/>
                <w:color w:val="auto"/>
              </w:rPr>
            </w:pPr>
            <w:r>
              <w:rPr>
                <w:rFonts w:ascii="Arial" w:cs="Arial" w:eastAsia="Arial" w:hAnsi="Arial"/>
                <w:sz w:val="15"/>
                <w:szCs w:val="15"/>
                <w:color w:val="auto"/>
              </w:rPr>
              <w:t>Eric   S.</w:t>
            </w:r>
          </w:p>
        </w:tc>
        <w:tc>
          <w:tcPr>
            <w:tcW w:w="0" w:type="dxa"/>
            <w:vAlign w:val="bottom"/>
          </w:tcPr>
          <w:p>
            <w:pPr>
              <w:spacing w:after="0"/>
              <w:rPr>
                <w:sz w:val="1"/>
                <w:szCs w:val="1"/>
                <w:color w:val="auto"/>
              </w:rPr>
            </w:pPr>
          </w:p>
        </w:tc>
      </w:tr>
      <w:tr>
        <w:trPr>
          <w:trHeight w:val="185"/>
        </w:trPr>
        <w:tc>
          <w:tcPr>
            <w:tcW w:w="1560" w:type="dxa"/>
            <w:vAlign w:val="bottom"/>
          </w:tcPr>
          <w:p>
            <w:pPr>
              <w:ind w:left="860"/>
              <w:spacing w:after="0"/>
              <w:rPr>
                <w:sz w:val="20"/>
                <w:szCs w:val="20"/>
                <w:color w:val="auto"/>
              </w:rPr>
            </w:pPr>
            <w:r>
              <w:rPr>
                <w:rFonts w:ascii="Arial" w:cs="Arial" w:eastAsia="Arial" w:hAnsi="Arial"/>
                <w:sz w:val="15"/>
                <w:szCs w:val="15"/>
                <w:color w:val="auto"/>
              </w:rPr>
              <w:t>Name:</w:t>
            </w:r>
          </w:p>
        </w:tc>
        <w:tc>
          <w:tcPr>
            <w:tcW w:w="5160" w:type="dxa"/>
            <w:vAlign w:val="bottom"/>
            <w:gridSpan w:val="2"/>
          </w:tcPr>
          <w:p>
            <w:pPr>
              <w:spacing w:after="0"/>
              <w:rPr>
                <w:sz w:val="20"/>
                <w:szCs w:val="20"/>
                <w:color w:val="auto"/>
              </w:rPr>
            </w:pPr>
            <w:r>
              <w:rPr>
                <w:rFonts w:ascii="Arial" w:cs="Arial" w:eastAsia="Arial" w:hAnsi="Arial"/>
                <w:sz w:val="15"/>
                <w:szCs w:val="15"/>
                <w:color w:val="auto"/>
              </w:rPr>
              <w:t>Johnson</w:t>
            </w:r>
          </w:p>
        </w:tc>
        <w:tc>
          <w:tcPr>
            <w:tcW w:w="0" w:type="dxa"/>
            <w:vAlign w:val="bottom"/>
          </w:tcPr>
          <w:p>
            <w:pPr>
              <w:spacing w:after="0"/>
              <w:rPr>
                <w:sz w:val="1"/>
                <w:szCs w:val="1"/>
                <w:color w:val="auto"/>
              </w:rPr>
            </w:pPr>
          </w:p>
        </w:tc>
      </w:tr>
      <w:tr>
        <w:trPr>
          <w:trHeight w:val="207"/>
        </w:trPr>
        <w:tc>
          <w:tcPr>
            <w:tcW w:w="1560" w:type="dxa"/>
            <w:vAlign w:val="bottom"/>
          </w:tcPr>
          <w:p>
            <w:pPr>
              <w:ind w:left="860"/>
              <w:spacing w:after="0"/>
              <w:rPr>
                <w:sz w:val="20"/>
                <w:szCs w:val="20"/>
                <w:color w:val="auto"/>
              </w:rPr>
            </w:pPr>
            <w:r>
              <w:rPr>
                <w:rFonts w:ascii="Arial" w:cs="Arial" w:eastAsia="Arial" w:hAnsi="Arial"/>
                <w:sz w:val="15"/>
                <w:szCs w:val="15"/>
                <w:color w:val="auto"/>
              </w:rPr>
              <w:t>Its:</w:t>
            </w:r>
          </w:p>
        </w:tc>
        <w:tc>
          <w:tcPr>
            <w:tcW w:w="5160" w:type="dxa"/>
            <w:vAlign w:val="bottom"/>
            <w:gridSpan w:val="2"/>
          </w:tcPr>
          <w:p>
            <w:pPr>
              <w:spacing w:after="0"/>
              <w:rPr>
                <w:sz w:val="20"/>
                <w:szCs w:val="20"/>
                <w:color w:val="auto"/>
              </w:rPr>
            </w:pPr>
            <w:r>
              <w:rPr>
                <w:rFonts w:ascii="Arial" w:cs="Arial" w:eastAsia="Arial" w:hAnsi="Arial"/>
                <w:sz w:val="15"/>
                <w:szCs w:val="15"/>
                <w:color w:val="auto"/>
              </w:rPr>
              <w:t>Senior</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5"/>
                <w:szCs w:val="15"/>
                <w:color w:val="auto"/>
              </w:rPr>
              <w:t>Vice</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5"/>
                <w:szCs w:val="15"/>
                <w:color w:val="auto"/>
              </w:rPr>
              <w:t>President</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5"/>
                <w:szCs w:val="15"/>
                <w:color w:val="auto"/>
              </w:rPr>
              <w:t>RE Legal</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5160" w:type="dxa"/>
            <w:vAlign w:val="bottom"/>
            <w:gridSpan w:val="2"/>
          </w:tcPr>
          <w:p>
            <w:pPr>
              <w:spacing w:after="0"/>
              <w:rPr>
                <w:sz w:val="20"/>
                <w:szCs w:val="20"/>
                <w:color w:val="auto"/>
              </w:rPr>
            </w:pPr>
            <w:r>
              <w:rPr>
                <w:rFonts w:ascii="Arial" w:cs="Arial" w:eastAsia="Arial" w:hAnsi="Arial"/>
                <w:sz w:val="15"/>
                <w:szCs w:val="15"/>
                <w:color w:val="auto"/>
              </w:rPr>
              <w:t>Affairs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227330</wp:posOffset>
            </wp:positionV>
            <wp:extent cx="2065655" cy="4394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065655" cy="43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780"/>
        <w:spacing w:after="0"/>
        <w:rPr>
          <w:sz w:val="20"/>
          <w:szCs w:val="20"/>
          <w:color w:val="auto"/>
        </w:rPr>
      </w:pPr>
      <w:r>
        <w:rPr>
          <w:rFonts w:ascii="Arial" w:cs="Arial" w:eastAsia="Arial" w:hAnsi="Arial"/>
          <w:sz w:val="15"/>
          <w:szCs w:val="15"/>
          <w:color w:val="auto"/>
        </w:rPr>
        <w:t>B-6</w:t>
      </w:r>
    </w:p>
    <w:p>
      <w:pPr>
        <w:sectPr>
          <w:pgSz w:w="11900" w:h="16838" w:orient="portrait"/>
          <w:cols w:equalWidth="0" w:num="1">
            <w:col w:w="11120"/>
          </w:cols>
          <w:pgMar w:left="240" w:top="140" w:right="539" w:bottom="1440" w:gutter="0" w:footer="0" w:header="0"/>
        </w:sectPr>
      </w:pPr>
    </w:p>
    <w:bookmarkStart w:id="73" w:name="page74"/>
    <w:bookmarkEnd w:id="73"/>
    <w:p>
      <w:pPr>
        <w:jc w:val="right"/>
        <w:spacing w:after="0"/>
        <w:rPr>
          <w:sz w:val="20"/>
          <w:szCs w:val="20"/>
          <w:color w:val="auto"/>
        </w:rPr>
      </w:pPr>
      <w:r>
        <w:rPr>
          <w:rFonts w:ascii="Arial" w:cs="Arial" w:eastAsia="Arial" w:hAnsi="Arial"/>
          <w:sz w:val="15"/>
          <w:szCs w:val="15"/>
          <w:b w:val="1"/>
          <w:bCs w:val="1"/>
          <w:color w:val="auto"/>
        </w:rPr>
        <w:t>Exhibit 31.1</w:t>
      </w:r>
    </w:p>
    <w:p>
      <w:pPr>
        <w:spacing w:after="0" w:line="19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CERTIFICATION PURSUANT TO SECTION 302 OF THE SARBANES-OXLEY ACT OF 2002</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5"/>
          <w:szCs w:val="15"/>
          <w:color w:val="auto"/>
        </w:rPr>
        <w:t>I, Emil D. Kakkis, certify that:</w:t>
      </w:r>
    </w:p>
    <w:p>
      <w:pPr>
        <w:spacing w:after="0" w:line="104" w:lineRule="exact"/>
        <w:rPr>
          <w:sz w:val="20"/>
          <w:szCs w:val="20"/>
          <w:color w:val="auto"/>
        </w:rPr>
      </w:pPr>
    </w:p>
    <w:p>
      <w:pPr>
        <w:ind w:left="528" w:hanging="528"/>
        <w:spacing w:after="0"/>
        <w:tabs>
          <w:tab w:leader="none" w:pos="528" w:val="left"/>
        </w:tabs>
        <w:numPr>
          <w:ilvl w:val="0"/>
          <w:numId w:val="5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Ultragenyx Pharmaceutical Inc.;</w:t>
      </w:r>
    </w:p>
    <w:p>
      <w:pPr>
        <w:spacing w:after="0" w:line="104" w:lineRule="exact"/>
        <w:rPr>
          <w:rFonts w:ascii="Arial" w:cs="Arial" w:eastAsia="Arial" w:hAnsi="Arial"/>
          <w:sz w:val="15"/>
          <w:szCs w:val="15"/>
          <w:color w:val="auto"/>
        </w:rPr>
      </w:pPr>
    </w:p>
    <w:p>
      <w:pPr>
        <w:ind w:left="528" w:right="20" w:hanging="528"/>
        <w:spacing w:after="0" w:line="288" w:lineRule="auto"/>
        <w:tabs>
          <w:tab w:leader="none" w:pos="528"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left="528" w:right="120" w:hanging="528"/>
        <w:spacing w:after="0" w:line="288" w:lineRule="auto"/>
        <w:tabs>
          <w:tab w:leader="none" w:pos="528"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ind w:left="528" w:right="220" w:hanging="528"/>
        <w:spacing w:after="0" w:line="325" w:lineRule="auto"/>
        <w:tabs>
          <w:tab w:leader="none" w:pos="528"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 w:lineRule="exact"/>
        <w:rPr>
          <w:rFonts w:ascii="Arial" w:cs="Arial" w:eastAsia="Arial" w:hAnsi="Arial"/>
          <w:sz w:val="14"/>
          <w:szCs w:val="14"/>
          <w:color w:val="auto"/>
        </w:rPr>
      </w:pPr>
    </w:p>
    <w:p>
      <w:pPr>
        <w:ind w:left="1048" w:right="80" w:hanging="529"/>
        <w:spacing w:after="0" w:line="272" w:lineRule="auto"/>
        <w:tabs>
          <w:tab w:leader="none" w:pos="1048" w:val="left"/>
        </w:tabs>
        <w:numPr>
          <w:ilvl w:val="1"/>
          <w:numId w:val="5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ind w:left="1048" w:right="480" w:hanging="529"/>
        <w:spacing w:after="0" w:line="272" w:lineRule="auto"/>
        <w:tabs>
          <w:tab w:leader="none" w:pos="1048" w:val="left"/>
        </w:tabs>
        <w:numPr>
          <w:ilvl w:val="1"/>
          <w:numId w:val="5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5"/>
          <w:szCs w:val="15"/>
          <w:color w:val="auto"/>
        </w:rPr>
      </w:pPr>
    </w:p>
    <w:p>
      <w:pPr>
        <w:ind w:left="1048" w:right="220" w:hanging="529"/>
        <w:spacing w:after="0" w:line="288" w:lineRule="auto"/>
        <w:tabs>
          <w:tab w:leader="none" w:pos="1048"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ind w:left="1048" w:right="200" w:hanging="529"/>
        <w:spacing w:after="0" w:line="272" w:lineRule="auto"/>
        <w:tabs>
          <w:tab w:leader="none" w:pos="1048" w:val="left"/>
        </w:tabs>
        <w:numPr>
          <w:ilvl w:val="1"/>
          <w:numId w:val="5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5"/>
          <w:szCs w:val="15"/>
          <w:color w:val="auto"/>
        </w:rPr>
      </w:pPr>
    </w:p>
    <w:p>
      <w:pPr>
        <w:ind w:left="528" w:right="140" w:hanging="528"/>
        <w:spacing w:after="0" w:line="288" w:lineRule="auto"/>
        <w:tabs>
          <w:tab w:leader="none" w:pos="52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7" w:lineRule="exact"/>
        <w:rPr>
          <w:rFonts w:ascii="Arial" w:cs="Arial" w:eastAsia="Arial" w:hAnsi="Arial"/>
          <w:sz w:val="15"/>
          <w:szCs w:val="15"/>
          <w:color w:val="auto"/>
        </w:rPr>
      </w:pPr>
    </w:p>
    <w:p>
      <w:pPr>
        <w:ind w:left="1048" w:right="40" w:hanging="529"/>
        <w:spacing w:after="0" w:line="288" w:lineRule="auto"/>
        <w:tabs>
          <w:tab w:leader="none" w:pos="1048" w:val="left"/>
        </w:tabs>
        <w:numPr>
          <w:ilvl w:val="1"/>
          <w:numId w:val="5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5"/>
          <w:szCs w:val="15"/>
          <w:color w:val="auto"/>
        </w:rPr>
      </w:pPr>
    </w:p>
    <w:p>
      <w:pPr>
        <w:ind w:left="1048" w:hanging="529"/>
        <w:spacing w:after="0"/>
        <w:tabs>
          <w:tab w:leader="none" w:pos="1048" w:val="left"/>
        </w:tabs>
        <w:numPr>
          <w:ilvl w:val="1"/>
          <w:numId w:val="5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5"/>
                <w:szCs w:val="15"/>
                <w:color w:val="auto"/>
              </w:rPr>
              <w:t>Dated: August 2, 2018</w:t>
            </w:r>
          </w:p>
        </w:tc>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Emil D Kakkis</w:t>
            </w:r>
          </w:p>
        </w:tc>
      </w:tr>
      <w:tr>
        <w:trPr>
          <w:trHeight w:val="166"/>
        </w:trPr>
        <w:tc>
          <w:tcPr>
            <w:tcW w:w="6860" w:type="dxa"/>
            <w:vAlign w:val="bottom"/>
          </w:tcPr>
          <w:p>
            <w:pPr>
              <w:spacing w:after="0"/>
              <w:rPr>
                <w:sz w:val="14"/>
                <w:szCs w:val="14"/>
                <w:color w:val="auto"/>
              </w:rPr>
            </w:pPr>
          </w:p>
        </w:tc>
        <w:tc>
          <w:tcPr>
            <w:tcW w:w="4580" w:type="dxa"/>
            <w:vAlign w:val="bottom"/>
          </w:tcPr>
          <w:p>
            <w:pPr>
              <w:spacing w:after="0" w:line="166" w:lineRule="exact"/>
              <w:rPr>
                <w:sz w:val="20"/>
                <w:szCs w:val="20"/>
                <w:color w:val="auto"/>
              </w:rPr>
            </w:pPr>
            <w:r>
              <w:rPr>
                <w:rFonts w:ascii="Arial" w:cs="Arial" w:eastAsia="Arial" w:hAnsi="Arial"/>
                <w:sz w:val="15"/>
                <w:szCs w:val="15"/>
                <w:color w:val="auto"/>
              </w:rPr>
              <w:t>Emil D. Kakkis, M.D., Ph.D.</w:t>
            </w:r>
          </w:p>
        </w:tc>
      </w:tr>
      <w:tr>
        <w:trPr>
          <w:trHeight w:val="185"/>
        </w:trPr>
        <w:tc>
          <w:tcPr>
            <w:tcW w:w="68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President and Chief Executive Officer</w:t>
            </w:r>
          </w:p>
        </w:tc>
      </w:tr>
      <w:tr>
        <w:trPr>
          <w:trHeight w:val="195"/>
        </w:trPr>
        <w:tc>
          <w:tcPr>
            <w:tcW w:w="68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(Principal Executive Officer)</w:t>
            </w:r>
          </w:p>
        </w:tc>
      </w:tr>
    </w:tbl>
    <w:p>
      <w:pPr>
        <w:sectPr>
          <w:pgSz w:w="11900" w:h="16838" w:orient="portrait"/>
          <w:cols w:equalWidth="0" w:num="1">
            <w:col w:w="11448"/>
          </w:cols>
          <w:pgMar w:left="232" w:top="310" w:right="219" w:bottom="1440" w:gutter="0" w:footer="0" w:header="0"/>
        </w:sectPr>
      </w:pPr>
    </w:p>
    <w:bookmarkStart w:id="74" w:name="page75"/>
    <w:bookmarkEnd w:id="74"/>
    <w:p>
      <w:pPr>
        <w:jc w:val="right"/>
        <w:spacing w:after="0"/>
        <w:rPr>
          <w:sz w:val="20"/>
          <w:szCs w:val="20"/>
          <w:color w:val="auto"/>
        </w:rPr>
      </w:pPr>
      <w:r>
        <w:rPr>
          <w:rFonts w:ascii="Arial" w:cs="Arial" w:eastAsia="Arial" w:hAnsi="Arial"/>
          <w:sz w:val="15"/>
          <w:szCs w:val="15"/>
          <w:b w:val="1"/>
          <w:bCs w:val="1"/>
          <w:color w:val="auto"/>
        </w:rPr>
        <w:t>Exhibit 31.2</w:t>
      </w:r>
    </w:p>
    <w:p>
      <w:pPr>
        <w:spacing w:after="0" w:line="197"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CERTIFICATION PURSUANT TO SECTION 302 OF THE SARBANES-OXLEY ACT OF 2002</w:t>
      </w:r>
    </w:p>
    <w:p>
      <w:pPr>
        <w:spacing w:after="0" w:line="201" w:lineRule="exact"/>
        <w:rPr>
          <w:sz w:val="20"/>
          <w:szCs w:val="20"/>
          <w:color w:val="auto"/>
        </w:rPr>
      </w:pPr>
    </w:p>
    <w:p>
      <w:pPr>
        <w:ind w:left="8"/>
        <w:spacing w:after="0"/>
        <w:rPr>
          <w:sz w:val="20"/>
          <w:szCs w:val="20"/>
          <w:color w:val="auto"/>
        </w:rPr>
      </w:pPr>
      <w:r>
        <w:rPr>
          <w:rFonts w:ascii="Arial" w:cs="Arial" w:eastAsia="Arial" w:hAnsi="Arial"/>
          <w:sz w:val="15"/>
          <w:szCs w:val="15"/>
          <w:color w:val="auto"/>
        </w:rPr>
        <w:t>I, Shalini Sharp, certify that:</w:t>
      </w:r>
    </w:p>
    <w:p>
      <w:pPr>
        <w:spacing w:after="0" w:line="104" w:lineRule="exact"/>
        <w:rPr>
          <w:sz w:val="20"/>
          <w:szCs w:val="20"/>
          <w:color w:val="auto"/>
        </w:rPr>
      </w:pPr>
    </w:p>
    <w:p>
      <w:pPr>
        <w:ind w:left="528" w:hanging="528"/>
        <w:spacing w:after="0"/>
        <w:tabs>
          <w:tab w:leader="none" w:pos="528" w:val="left"/>
        </w:tabs>
        <w:numPr>
          <w:ilvl w:val="0"/>
          <w:numId w:val="59"/>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Ultragenyx Pharmaceutical Inc.;</w:t>
      </w:r>
    </w:p>
    <w:p>
      <w:pPr>
        <w:spacing w:after="0" w:line="104" w:lineRule="exact"/>
        <w:rPr>
          <w:rFonts w:ascii="Arial" w:cs="Arial" w:eastAsia="Arial" w:hAnsi="Arial"/>
          <w:sz w:val="15"/>
          <w:szCs w:val="15"/>
          <w:color w:val="auto"/>
        </w:rPr>
      </w:pPr>
    </w:p>
    <w:p>
      <w:pPr>
        <w:ind w:left="528" w:right="20" w:hanging="528"/>
        <w:spacing w:after="0" w:line="288" w:lineRule="auto"/>
        <w:tabs>
          <w:tab w:leader="none" w:pos="528"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5"/>
          <w:szCs w:val="15"/>
          <w:color w:val="auto"/>
        </w:rPr>
      </w:pPr>
    </w:p>
    <w:p>
      <w:pPr>
        <w:ind w:left="528" w:right="120" w:hanging="528"/>
        <w:spacing w:after="0" w:line="288" w:lineRule="auto"/>
        <w:tabs>
          <w:tab w:leader="none" w:pos="528"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5"/>
          <w:szCs w:val="15"/>
          <w:color w:val="auto"/>
        </w:rPr>
      </w:pPr>
    </w:p>
    <w:p>
      <w:pPr>
        <w:ind w:left="528" w:right="220" w:hanging="528"/>
        <w:spacing w:after="0" w:line="325" w:lineRule="auto"/>
        <w:tabs>
          <w:tab w:leader="none" w:pos="528"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 w:lineRule="exact"/>
        <w:rPr>
          <w:rFonts w:ascii="Arial" w:cs="Arial" w:eastAsia="Arial" w:hAnsi="Arial"/>
          <w:sz w:val="14"/>
          <w:szCs w:val="14"/>
          <w:color w:val="auto"/>
        </w:rPr>
      </w:pPr>
    </w:p>
    <w:p>
      <w:pPr>
        <w:ind w:left="1048" w:right="80" w:hanging="529"/>
        <w:spacing w:after="0" w:line="272" w:lineRule="auto"/>
        <w:tabs>
          <w:tab w:leader="none" w:pos="1048" w:val="left"/>
        </w:tabs>
        <w:numPr>
          <w:ilvl w:val="1"/>
          <w:numId w:val="5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ind w:left="1048" w:right="480" w:hanging="529"/>
        <w:spacing w:after="0" w:line="272" w:lineRule="auto"/>
        <w:tabs>
          <w:tab w:leader="none" w:pos="1048" w:val="left"/>
        </w:tabs>
        <w:numPr>
          <w:ilvl w:val="1"/>
          <w:numId w:val="5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5"/>
          <w:szCs w:val="15"/>
          <w:color w:val="auto"/>
        </w:rPr>
      </w:pPr>
    </w:p>
    <w:p>
      <w:pPr>
        <w:ind w:left="1048" w:right="220" w:hanging="529"/>
        <w:spacing w:after="0" w:line="288" w:lineRule="auto"/>
        <w:tabs>
          <w:tab w:leader="none" w:pos="1048" w:val="left"/>
        </w:tabs>
        <w:numPr>
          <w:ilvl w:val="1"/>
          <w:numId w:val="5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5"/>
          <w:szCs w:val="15"/>
          <w:color w:val="auto"/>
        </w:rPr>
      </w:pPr>
    </w:p>
    <w:p>
      <w:pPr>
        <w:ind w:left="1048" w:right="200" w:hanging="529"/>
        <w:spacing w:after="0" w:line="272" w:lineRule="auto"/>
        <w:tabs>
          <w:tab w:leader="none" w:pos="1048" w:val="left"/>
        </w:tabs>
        <w:numPr>
          <w:ilvl w:val="1"/>
          <w:numId w:val="5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5"/>
          <w:szCs w:val="15"/>
          <w:color w:val="auto"/>
        </w:rPr>
      </w:pPr>
    </w:p>
    <w:p>
      <w:pPr>
        <w:ind w:left="528" w:right="140" w:hanging="528"/>
        <w:spacing w:after="0" w:line="288" w:lineRule="auto"/>
        <w:tabs>
          <w:tab w:leader="none" w:pos="528"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7" w:lineRule="exact"/>
        <w:rPr>
          <w:rFonts w:ascii="Arial" w:cs="Arial" w:eastAsia="Arial" w:hAnsi="Arial"/>
          <w:sz w:val="15"/>
          <w:szCs w:val="15"/>
          <w:color w:val="auto"/>
        </w:rPr>
      </w:pPr>
    </w:p>
    <w:p>
      <w:pPr>
        <w:ind w:left="1048" w:right="40" w:hanging="529"/>
        <w:spacing w:after="0" w:line="288" w:lineRule="auto"/>
        <w:tabs>
          <w:tab w:leader="none" w:pos="1048" w:val="left"/>
        </w:tabs>
        <w:numPr>
          <w:ilvl w:val="1"/>
          <w:numId w:val="5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5"/>
          <w:szCs w:val="15"/>
          <w:color w:val="auto"/>
        </w:rPr>
      </w:pPr>
    </w:p>
    <w:p>
      <w:pPr>
        <w:ind w:left="1048" w:hanging="529"/>
        <w:spacing w:after="0"/>
        <w:tabs>
          <w:tab w:leader="none" w:pos="1048" w:val="left"/>
        </w:tabs>
        <w:numPr>
          <w:ilvl w:val="1"/>
          <w:numId w:val="5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5"/>
                <w:szCs w:val="15"/>
                <w:color w:val="auto"/>
              </w:rPr>
              <w:t>Dated: August 2, 2018</w:t>
            </w:r>
          </w:p>
        </w:tc>
        <w:tc>
          <w:tcPr>
            <w:tcW w:w="45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Shalini Sharp</w:t>
            </w:r>
          </w:p>
        </w:tc>
      </w:tr>
      <w:tr>
        <w:trPr>
          <w:trHeight w:val="166"/>
        </w:trPr>
        <w:tc>
          <w:tcPr>
            <w:tcW w:w="6860" w:type="dxa"/>
            <w:vAlign w:val="bottom"/>
          </w:tcPr>
          <w:p>
            <w:pPr>
              <w:spacing w:after="0"/>
              <w:rPr>
                <w:sz w:val="14"/>
                <w:szCs w:val="14"/>
                <w:color w:val="auto"/>
              </w:rPr>
            </w:pPr>
          </w:p>
        </w:tc>
        <w:tc>
          <w:tcPr>
            <w:tcW w:w="4580" w:type="dxa"/>
            <w:vAlign w:val="bottom"/>
          </w:tcPr>
          <w:p>
            <w:pPr>
              <w:spacing w:after="0" w:line="166" w:lineRule="exact"/>
              <w:rPr>
                <w:sz w:val="20"/>
                <w:szCs w:val="20"/>
                <w:color w:val="auto"/>
              </w:rPr>
            </w:pPr>
            <w:r>
              <w:rPr>
                <w:rFonts w:ascii="Arial" w:cs="Arial" w:eastAsia="Arial" w:hAnsi="Arial"/>
                <w:sz w:val="15"/>
                <w:szCs w:val="15"/>
                <w:color w:val="auto"/>
              </w:rPr>
              <w:t>Shalini Sharp</w:t>
            </w:r>
          </w:p>
        </w:tc>
      </w:tr>
      <w:tr>
        <w:trPr>
          <w:trHeight w:val="185"/>
        </w:trPr>
        <w:tc>
          <w:tcPr>
            <w:tcW w:w="68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Chief Financial Officer and Executive Vice President</w:t>
            </w:r>
          </w:p>
        </w:tc>
      </w:tr>
      <w:tr>
        <w:trPr>
          <w:trHeight w:val="195"/>
        </w:trPr>
        <w:tc>
          <w:tcPr>
            <w:tcW w:w="686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(Principal Financial Officer)</w:t>
            </w:r>
          </w:p>
        </w:tc>
      </w:tr>
    </w:tbl>
    <w:p>
      <w:pPr>
        <w:sectPr>
          <w:pgSz w:w="11900" w:h="16838" w:orient="portrait"/>
          <w:cols w:equalWidth="0" w:num="1">
            <w:col w:w="11448"/>
          </w:cols>
          <w:pgMar w:left="232" w:top="309" w:right="219" w:bottom="1440" w:gutter="0" w:footer="0" w:header="0"/>
        </w:sectPr>
      </w:pPr>
    </w:p>
    <w:bookmarkStart w:id="75" w:name="page76"/>
    <w:bookmarkEnd w:id="75"/>
    <w:p>
      <w:pPr>
        <w:jc w:val="right"/>
        <w:spacing w:after="0"/>
        <w:rPr>
          <w:sz w:val="20"/>
          <w:szCs w:val="20"/>
          <w:color w:val="auto"/>
        </w:rPr>
      </w:pPr>
      <w:r>
        <w:rPr>
          <w:rFonts w:ascii="Arial" w:cs="Arial" w:eastAsia="Arial" w:hAnsi="Arial"/>
          <w:sz w:val="15"/>
          <w:szCs w:val="15"/>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 (18 U.S.C. SECTION 1350)</w:t>
      </w:r>
    </w:p>
    <w:p>
      <w:pPr>
        <w:spacing w:after="0" w:line="186" w:lineRule="exact"/>
        <w:rPr>
          <w:sz w:val="20"/>
          <w:szCs w:val="20"/>
          <w:color w:val="auto"/>
        </w:rPr>
      </w:pPr>
    </w:p>
    <w:p>
      <w:pPr>
        <w:ind w:right="40" w:firstLine="520"/>
        <w:spacing w:after="0" w:line="272" w:lineRule="auto"/>
        <w:rPr>
          <w:sz w:val="20"/>
          <w:szCs w:val="20"/>
          <w:color w:val="auto"/>
        </w:rPr>
      </w:pPr>
      <w:r>
        <w:rPr>
          <w:rFonts w:ascii="Arial" w:cs="Arial" w:eastAsia="Arial" w:hAnsi="Arial"/>
          <w:sz w:val="15"/>
          <w:szCs w:val="15"/>
          <w:color w:val="auto"/>
        </w:rPr>
        <w:t>In connection with the accompanying Quarterly Report of Ultragenyx Pharmaceutical Inc. (the “Company”) on Form 10-Q for the quarter ended June 30, 2018 (the “Report”), I, Emil D. Kakkis, M.D., Ph.D., as President and Chief Executive Officer of the Company, and Shalini Sharp, as Chief Financial Officer and Executive Vice President of the Company, certify, pursuant to 18 U.S.C. Section 1350, as adopted pursuant to Section 906 of the Sarbanes-Oxley Act of 2002, that:</w:t>
      </w:r>
    </w:p>
    <w:p>
      <w:pPr>
        <w:spacing w:after="0" w:line="60" w:lineRule="exact"/>
        <w:rPr>
          <w:sz w:val="20"/>
          <w:szCs w:val="20"/>
          <w:color w:val="auto"/>
        </w:rPr>
      </w:pPr>
    </w:p>
    <w:p>
      <w:pPr>
        <w:ind w:left="1040" w:hanging="529"/>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04" w:lineRule="exact"/>
        <w:rPr>
          <w:rFonts w:ascii="Arial" w:cs="Arial" w:eastAsia="Arial" w:hAnsi="Arial"/>
          <w:sz w:val="15"/>
          <w:szCs w:val="15"/>
          <w:color w:val="auto"/>
        </w:rPr>
      </w:pPr>
    </w:p>
    <w:p>
      <w:pPr>
        <w:ind w:left="1040" w:hanging="529"/>
        <w:spacing w:after="0"/>
        <w:tabs>
          <w:tab w:leader="none" w:pos="10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20"/>
                <w:szCs w:val="20"/>
                <w:color w:val="auto"/>
              </w:rPr>
            </w:pPr>
            <w:r>
              <w:rPr>
                <w:rFonts w:ascii="Arial" w:cs="Arial" w:eastAsia="Arial" w:hAnsi="Arial"/>
                <w:sz w:val="15"/>
                <w:szCs w:val="15"/>
                <w:color w:val="auto"/>
              </w:rPr>
              <w:t>Dated: August 2, 2018</w:t>
            </w:r>
          </w:p>
        </w:tc>
        <w:tc>
          <w:tcPr>
            <w:tcW w:w="5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Emil D. Kakkis</w:t>
            </w:r>
          </w:p>
        </w:tc>
      </w:tr>
      <w:tr>
        <w:trPr>
          <w:trHeight w:val="166"/>
        </w:trPr>
        <w:tc>
          <w:tcPr>
            <w:tcW w:w="6200" w:type="dxa"/>
            <w:vAlign w:val="bottom"/>
          </w:tcPr>
          <w:p>
            <w:pPr>
              <w:spacing w:after="0"/>
              <w:rPr>
                <w:sz w:val="14"/>
                <w:szCs w:val="14"/>
                <w:color w:val="auto"/>
              </w:rPr>
            </w:pPr>
          </w:p>
        </w:tc>
        <w:tc>
          <w:tcPr>
            <w:tcW w:w="5240" w:type="dxa"/>
            <w:vAlign w:val="bottom"/>
          </w:tcPr>
          <w:p>
            <w:pPr>
              <w:spacing w:after="0" w:line="166" w:lineRule="exact"/>
              <w:rPr>
                <w:sz w:val="20"/>
                <w:szCs w:val="20"/>
                <w:color w:val="auto"/>
              </w:rPr>
            </w:pPr>
            <w:r>
              <w:rPr>
                <w:rFonts w:ascii="Arial" w:cs="Arial" w:eastAsia="Arial" w:hAnsi="Arial"/>
                <w:sz w:val="15"/>
                <w:szCs w:val="15"/>
                <w:color w:val="auto"/>
              </w:rPr>
              <w:t>Emil D. Kakkis, M.D., Ph.D.</w:t>
            </w:r>
          </w:p>
        </w:tc>
      </w:tr>
      <w:tr>
        <w:trPr>
          <w:trHeight w:val="185"/>
        </w:trPr>
        <w:tc>
          <w:tcPr>
            <w:tcW w:w="6200" w:type="dxa"/>
            <w:vAlign w:val="bottom"/>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President and Chief Executive Officer</w:t>
            </w:r>
          </w:p>
        </w:tc>
      </w:tr>
      <w:tr>
        <w:trPr>
          <w:trHeight w:val="195"/>
        </w:trPr>
        <w:tc>
          <w:tcPr>
            <w:tcW w:w="6200" w:type="dxa"/>
            <w:vAlign w:val="bottom"/>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(Principal Executive Officer)</w:t>
            </w:r>
          </w:p>
        </w:tc>
      </w:tr>
      <w:tr>
        <w:trPr>
          <w:trHeight w:val="392"/>
        </w:trPr>
        <w:tc>
          <w:tcPr>
            <w:tcW w:w="6200" w:type="dxa"/>
            <w:vAlign w:val="bottom"/>
          </w:tcPr>
          <w:p>
            <w:pPr>
              <w:spacing w:after="0"/>
              <w:rPr>
                <w:sz w:val="20"/>
                <w:szCs w:val="20"/>
                <w:color w:val="auto"/>
              </w:rPr>
            </w:pPr>
            <w:r>
              <w:rPr>
                <w:rFonts w:ascii="Arial" w:cs="Arial" w:eastAsia="Arial" w:hAnsi="Arial"/>
                <w:sz w:val="15"/>
                <w:szCs w:val="15"/>
                <w:color w:val="auto"/>
              </w:rPr>
              <w:t>Dated: August 2, 2018</w:t>
            </w:r>
          </w:p>
        </w:tc>
        <w:tc>
          <w:tcPr>
            <w:tcW w:w="5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Shalini Sharp</w:t>
            </w:r>
          </w:p>
        </w:tc>
      </w:tr>
      <w:tr>
        <w:trPr>
          <w:trHeight w:val="166"/>
        </w:trPr>
        <w:tc>
          <w:tcPr>
            <w:tcW w:w="6200" w:type="dxa"/>
            <w:vAlign w:val="bottom"/>
          </w:tcPr>
          <w:p>
            <w:pPr>
              <w:spacing w:after="0"/>
              <w:rPr>
                <w:sz w:val="14"/>
                <w:szCs w:val="14"/>
                <w:color w:val="auto"/>
              </w:rPr>
            </w:pPr>
          </w:p>
        </w:tc>
        <w:tc>
          <w:tcPr>
            <w:tcW w:w="5240" w:type="dxa"/>
            <w:vAlign w:val="bottom"/>
          </w:tcPr>
          <w:p>
            <w:pPr>
              <w:spacing w:after="0" w:line="166" w:lineRule="exact"/>
              <w:rPr>
                <w:sz w:val="20"/>
                <w:szCs w:val="20"/>
                <w:color w:val="auto"/>
              </w:rPr>
            </w:pPr>
            <w:r>
              <w:rPr>
                <w:rFonts w:ascii="Arial" w:cs="Arial" w:eastAsia="Arial" w:hAnsi="Arial"/>
                <w:sz w:val="15"/>
                <w:szCs w:val="15"/>
                <w:color w:val="auto"/>
              </w:rPr>
              <w:t>Shalini Sharp</w:t>
            </w:r>
          </w:p>
        </w:tc>
      </w:tr>
      <w:tr>
        <w:trPr>
          <w:trHeight w:val="185"/>
        </w:trPr>
        <w:tc>
          <w:tcPr>
            <w:tcW w:w="6200" w:type="dxa"/>
            <w:vAlign w:val="bottom"/>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Chief Financial Officer and Executive Vice President</w:t>
            </w:r>
          </w:p>
        </w:tc>
      </w:tr>
      <w:tr>
        <w:trPr>
          <w:trHeight w:val="195"/>
        </w:trPr>
        <w:tc>
          <w:tcPr>
            <w:tcW w:w="6200" w:type="dxa"/>
            <w:vAlign w:val="bottom"/>
          </w:tcPr>
          <w:p>
            <w:pPr>
              <w:spacing w:after="0"/>
              <w:rPr>
                <w:sz w:val="16"/>
                <w:szCs w:val="16"/>
                <w:color w:val="auto"/>
              </w:rPr>
            </w:pPr>
          </w:p>
        </w:tc>
        <w:tc>
          <w:tcPr>
            <w:tcW w:w="5240" w:type="dxa"/>
            <w:vAlign w:val="bottom"/>
          </w:tcPr>
          <w:p>
            <w:pPr>
              <w:spacing w:after="0"/>
              <w:rPr>
                <w:sz w:val="20"/>
                <w:szCs w:val="20"/>
                <w:color w:val="auto"/>
              </w:rPr>
            </w:pPr>
            <w:r>
              <w:rPr>
                <w:rFonts w:ascii="Arial" w:cs="Arial" w:eastAsia="Arial" w:hAnsi="Arial"/>
                <w:sz w:val="15"/>
                <w:szCs w:val="15"/>
                <w:color w:val="auto"/>
              </w:rPr>
              <w:t>(Principal Financial Officer)</w:t>
            </w:r>
          </w:p>
        </w:tc>
      </w:tr>
    </w:tbl>
    <w:p>
      <w:pPr>
        <w:spacing w:after="0" w:line="1" w:lineRule="exact"/>
        <w:rPr>
          <w:sz w:val="20"/>
          <w:szCs w:val="20"/>
          <w:color w:val="auto"/>
        </w:rPr>
      </w:pPr>
    </w:p>
    <w:sectPr>
      <w:pgSz w:w="11900" w:h="16838" w:orient="portrait"/>
      <w:cols w:equalWidth="0" w:num="1">
        <w:col w:w="11440"/>
      </w:cols>
      <w:pgMar w:left="240" w:top="31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5"/>
    </w:lvl>
  </w:abstractNum>
  <w:abstractNum w:abstractNumId="7">
    <w:nsid w:val="614FD4A1"/>
    <w:multiLevelType w:val="hybridMultilevel"/>
    <w:lvl w:ilvl="0">
      <w:lvlJc w:val="left"/>
      <w:lvlText w:val="%1."/>
      <w:numFmt w:val="decimal"/>
      <w:start w:val="6"/>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8"/>
    </w:lvl>
  </w:abstractNum>
  <w:abstractNum w:abstractNumId="10">
    <w:nsid w:val="440BADFC"/>
    <w:multiLevelType w:val="hybridMultilevel"/>
    <w:lvl w:ilvl="0">
      <w:lvlJc w:val="left"/>
      <w:lvlText w:val="%1."/>
      <w:numFmt w:val="decimal"/>
      <w:start w:val="9"/>
    </w:lvl>
  </w:abstractNum>
  <w:abstractNum w:abstractNumId="11">
    <w:nsid w:val="5072367"/>
    <w:multiLevelType w:val="hybridMultilevel"/>
    <w:lvl w:ilvl="0">
      <w:lvlJc w:val="left"/>
      <w:lvlText w:val="%1."/>
      <w:numFmt w:val="decimal"/>
      <w:start w:val="10"/>
    </w:lvl>
  </w:abstractNum>
  <w:abstractNum w:abstractNumId="12">
    <w:nsid w:val="3804823E"/>
    <w:multiLevelType w:val="hybridMultilevel"/>
    <w:lvl w:ilvl="0">
      <w:lvlJc w:val="left"/>
      <w:lvlText w:val="%1."/>
      <w:numFmt w:val="decimal"/>
      <w:start w:val="1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3"/>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upperLetter"/>
      <w:start w:val="1"/>
    </w:lvl>
    <w:lvl w:ilvl="1">
      <w:lvlJc w:val="left"/>
      <w:lvlText w:val="%2."/>
      <w:numFmt w:val="decimal"/>
      <w:start w:val="1"/>
    </w:lvl>
  </w:abstractNum>
  <w:abstractNum w:abstractNumId="46">
    <w:nsid w:val="520EEDD1"/>
    <w:multiLevelType w:val="hybridMultilevel"/>
    <w:lvl w:ilvl="0">
      <w:lvlJc w:val="left"/>
      <w:lvlText w:val="%1."/>
      <w:numFmt w:val="decimal"/>
      <w:start w:val="4"/>
    </w:lvl>
  </w:abstractNum>
  <w:abstractNum w:abstractNumId="47">
    <w:nsid w:val="374A3FE6"/>
    <w:multiLevelType w:val="hybridMultilevel"/>
    <w:lvl w:ilvl="0">
      <w:lvlJc w:val="left"/>
      <w:lvlText w:val="%1."/>
      <w:numFmt w:val="decimal"/>
      <w:start w:val="5"/>
    </w:lvl>
  </w:abstractNum>
  <w:abstractNum w:abstractNumId="48">
    <w:nsid w:val="4F4EF005"/>
    <w:multiLevelType w:val="hybridMultilevel"/>
    <w:lvl w:ilvl="0">
      <w:lvlJc w:val="left"/>
      <w:lvlText w:val="%1."/>
      <w:numFmt w:val="decimal"/>
      <w:start w:val="62"/>
    </w:lvl>
  </w:abstractNum>
  <w:abstractNum w:abstractNumId="49">
    <w:nsid w:val="23F9C13C"/>
    <w:multiLevelType w:val="hybridMultilevel"/>
    <w:lvl w:ilvl="0">
      <w:lvlJc w:val="left"/>
      <w:lvlText w:val="%1."/>
      <w:numFmt w:val="upperLetter"/>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decimal"/>
      <w:start w:val="3"/>
    </w:lvl>
  </w:abstractNum>
  <w:abstractNum w:abstractNumId="52">
    <w:nsid w:val="39386575"/>
    <w:multiLevelType w:val="hybridMultilevel"/>
    <w:lvl w:ilvl="0">
      <w:lvlJc w:val="left"/>
      <w:lvlText w:val="%1."/>
      <w:numFmt w:val="decimal"/>
      <w:start w:val="4"/>
    </w:lvl>
    <w:lvl w:ilvl="1">
      <w:lvlJc w:val="left"/>
      <w:lvlText w:val="%2."/>
      <w:numFmt w:val="lowerLetter"/>
      <w:start w:val="1"/>
    </w:lvl>
  </w:abstractNum>
  <w:abstractNum w:abstractNumId="53">
    <w:nsid w:val="1CF10FD8"/>
    <w:multiLevelType w:val="hybridMultilevel"/>
    <w:lvl w:ilvl="0">
      <w:lvlJc w:val="left"/>
      <w:lvlText w:val="%1."/>
      <w:numFmt w:val="decimal"/>
      <w:start w:val="6"/>
    </w:lvl>
  </w:abstractNum>
  <w:abstractNum w:abstractNumId="54">
    <w:nsid w:val="180115BE"/>
    <w:multiLevelType w:val="hybridMultilevel"/>
    <w:lvl w:ilvl="0">
      <w:lvlJc w:val="left"/>
      <w:lvlText w:val="%1."/>
      <w:numFmt w:val="decimal"/>
      <w:start w:val="7"/>
    </w:lvl>
  </w:abstractNum>
  <w:abstractNum w:abstractNumId="55">
    <w:nsid w:val="235BA861"/>
    <w:multiLevelType w:val="hybridMultilevel"/>
    <w:lvl w:ilvl="0">
      <w:lvlJc w:val="left"/>
      <w:lvlText w:val="%1."/>
      <w:numFmt w:val="decimal"/>
      <w:start w:val="8"/>
    </w:lvl>
  </w:abstractNum>
  <w:abstractNum w:abstractNumId="56">
    <w:nsid w:val="47398C89"/>
    <w:multiLevelType w:val="hybridMultilevel"/>
    <w:lvl w:ilvl="0">
      <w:lvlJc w:val="left"/>
      <w:lvlText w:val="%1."/>
      <w:numFmt w:val="decimal"/>
      <w:start w:val="9"/>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png"/><Relationship Id="rId103" Type="http://schemas.openxmlformats.org/officeDocument/2006/relationships/image" Target="media/image94.jpeg"/><Relationship Id="rId104" Type="http://schemas.openxmlformats.org/officeDocument/2006/relationships/image" Target="media/image95.png"/><Relationship Id="rId105" Type="http://schemas.openxmlformats.org/officeDocument/2006/relationships/image" Target="media/image96.jpeg"/><Relationship Id="rId106" Type="http://schemas.openxmlformats.org/officeDocument/2006/relationships/image" Target="media/image97.png"/><Relationship Id="rId107" Type="http://schemas.openxmlformats.org/officeDocument/2006/relationships/image" Target="media/image98.jpe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jpeg"/><Relationship Id="rId81" Type="http://schemas.openxmlformats.org/officeDocument/2006/relationships/hyperlink" Target="http://www.sec.gov/Archives/edgar/data/1515673/000119312514036944/d670959dex31.htm" TargetMode="External"/><Relationship Id="rId82" Type="http://schemas.openxmlformats.org/officeDocument/2006/relationships/hyperlink" Target="http://www.sec.gov/Archives/edgar/data/1515673/000119312514036944/d67095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2019-12-28T20:36:18Z</dcterms:created>
  <dcterms:modified xsi:type="dcterms:W3CDTF">2019-12-28T20:36:18Z</dcterms:modified>
</cp:coreProperties>
</file>