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18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8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198755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8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215900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8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183"/>
        <w:spacing w:after="0"/>
        <w:rPr>
          <w:sz w:val="20"/>
          <w:szCs w:val="20"/>
          <w:color w:val="auto"/>
        </w:rPr>
      </w:pPr>
      <w:r>
        <w:rPr>
          <w:rFonts w:ascii="Arial" w:cs="Arial" w:eastAsia="Arial" w:hAnsi="Arial"/>
          <w:sz w:val="19"/>
          <w:szCs w:val="19"/>
          <w:b w:val="1"/>
          <w:bCs w:val="1"/>
          <w:color w:val="auto"/>
        </w:rPr>
        <w:t>Pursuant to Section 13 or 15(d)</w:t>
      </w:r>
    </w:p>
    <w:p>
      <w:pPr>
        <w:jc w:val="center"/>
        <w:ind w:right="-18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183"/>
        <w:spacing w:after="0"/>
        <w:rPr>
          <w:sz w:val="20"/>
          <w:szCs w:val="20"/>
          <w:color w:val="auto"/>
        </w:rPr>
      </w:pPr>
      <w:r>
        <w:rPr>
          <w:rFonts w:ascii="Arial" w:cs="Arial" w:eastAsia="Arial" w:hAnsi="Arial"/>
          <w:sz w:val="19"/>
          <w:szCs w:val="19"/>
          <w:b w:val="1"/>
          <w:bCs w:val="1"/>
          <w:color w:val="auto"/>
        </w:rPr>
        <w:t>Date of Report (Date of earliest event reported): September 18,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220345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83"/>
        <w:spacing w:after="0"/>
        <w:rPr>
          <w:sz w:val="20"/>
          <w:szCs w:val="20"/>
          <w:color w:val="auto"/>
        </w:rPr>
      </w:pPr>
      <w:r>
        <w:rPr>
          <w:rFonts w:ascii="Arial" w:cs="Arial" w:eastAsia="Arial" w:hAnsi="Arial"/>
          <w:sz w:val="38"/>
          <w:szCs w:val="38"/>
          <w:b w:val="1"/>
          <w:bCs w:val="1"/>
          <w:color w:val="auto"/>
        </w:rPr>
        <w:t>ULTRAGENYX PHARMACEUTICAL INC.</w:t>
      </w:r>
    </w:p>
    <w:p>
      <w:pPr>
        <w:spacing w:after="0" w:line="47" w:lineRule="exact"/>
        <w:rPr>
          <w:sz w:val="24"/>
          <w:szCs w:val="24"/>
          <w:color w:val="auto"/>
        </w:rPr>
      </w:pPr>
    </w:p>
    <w:tbl>
      <w:tblPr>
        <w:tblLayout w:type="fixed"/>
        <w:tblInd w:w="1204" w:type="dxa"/>
        <w:tblCellMar>
          <w:top w:w="0" w:type="dxa"/>
          <w:left w:w="0" w:type="dxa"/>
          <w:bottom w:w="0" w:type="dxa"/>
          <w:right w:w="0" w:type="dxa"/>
        </w:tblCellMar>
      </w:tblPr>
      <w:tr>
        <w:trPr>
          <w:trHeight w:val="209"/>
        </w:trPr>
        <w:tc>
          <w:tcPr>
            <w:tcW w:w="1520" w:type="dxa"/>
            <w:vAlign w:val="bottom"/>
          </w:tcPr>
          <w:p>
            <w:pPr>
              <w:spacing w:after="0"/>
              <w:rPr>
                <w:sz w:val="18"/>
                <w:szCs w:val="18"/>
                <w:color w:val="auto"/>
              </w:rPr>
            </w:pPr>
          </w:p>
        </w:tc>
        <w:tc>
          <w:tcPr>
            <w:tcW w:w="5520" w:type="dxa"/>
            <w:vAlign w:val="bottom"/>
            <w:gridSpan w:val="3"/>
          </w:tcPr>
          <w:p>
            <w:pPr>
              <w:ind w:left="1320"/>
              <w:spacing w:after="0"/>
              <w:rPr>
                <w:sz w:val="20"/>
                <w:szCs w:val="20"/>
                <w:color w:val="auto"/>
              </w:rPr>
            </w:pPr>
            <w:r>
              <w:rPr>
                <w:rFonts w:ascii="Arial" w:cs="Arial" w:eastAsia="Arial" w:hAnsi="Arial"/>
                <w:sz w:val="16"/>
                <w:szCs w:val="16"/>
                <w:b w:val="1"/>
                <w:bCs w:val="1"/>
                <w:color w:val="auto"/>
              </w:rPr>
              <w:t>(Exact name of registrant as specified in charter)</w:t>
            </w:r>
          </w:p>
        </w:tc>
        <w:tc>
          <w:tcPr>
            <w:tcW w:w="1860" w:type="dxa"/>
            <w:vAlign w:val="bottom"/>
          </w:tcPr>
          <w:p>
            <w:pPr>
              <w:spacing w:after="0"/>
              <w:rPr>
                <w:sz w:val="18"/>
                <w:szCs w:val="18"/>
                <w:color w:val="auto"/>
              </w:rPr>
            </w:pPr>
          </w:p>
        </w:tc>
      </w:tr>
      <w:tr>
        <w:trPr>
          <w:trHeight w:val="294"/>
        </w:trPr>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16"/>
        </w:trPr>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4200" w:type="dxa"/>
            <w:vAlign w:val="bottom"/>
            <w:gridSpan w:val="2"/>
          </w:tcPr>
          <w:p>
            <w:pPr>
              <w:ind w:left="2780"/>
              <w:spacing w:after="0"/>
              <w:rPr>
                <w:sz w:val="20"/>
                <w:szCs w:val="20"/>
                <w:color w:val="auto"/>
              </w:rPr>
            </w:pPr>
            <w:r>
              <w:rPr>
                <w:rFonts w:ascii="Arial" w:cs="Arial" w:eastAsia="Arial" w:hAnsi="Arial"/>
                <w:sz w:val="16"/>
                <w:szCs w:val="16"/>
                <w:b w:val="1"/>
                <w:bCs w:val="1"/>
                <w:color w:val="auto"/>
              </w:rPr>
              <w:t>001-36276</w:t>
            </w:r>
          </w:p>
        </w:tc>
        <w:tc>
          <w:tcPr>
            <w:tcW w:w="1320" w:type="dxa"/>
            <w:vAlign w:val="bottom"/>
          </w:tcPr>
          <w:p>
            <w:pPr>
              <w:spacing w:after="0"/>
              <w:rPr>
                <w:sz w:val="24"/>
                <w:szCs w:val="24"/>
                <w:color w:val="auto"/>
              </w:rPr>
            </w:pPr>
          </w:p>
        </w:tc>
        <w:tc>
          <w:tcPr>
            <w:tcW w:w="1860" w:type="dxa"/>
            <w:vAlign w:val="bottom"/>
          </w:tcPr>
          <w:p>
            <w:pPr>
              <w:jc w:val="right"/>
              <w:ind w:right="30"/>
              <w:spacing w:after="0"/>
              <w:rPr>
                <w:sz w:val="20"/>
                <w:szCs w:val="20"/>
                <w:color w:val="auto"/>
              </w:rPr>
            </w:pPr>
            <w:r>
              <w:rPr>
                <w:rFonts w:ascii="Arial" w:cs="Arial" w:eastAsia="Arial" w:hAnsi="Arial"/>
                <w:sz w:val="16"/>
                <w:szCs w:val="16"/>
                <w:b w:val="1"/>
                <w:bCs w:val="1"/>
                <w:color w:val="auto"/>
              </w:rPr>
              <w:t>27-2546083</w:t>
            </w:r>
          </w:p>
        </w:tc>
      </w:tr>
      <w:tr>
        <w:trPr>
          <w:trHeight w:val="132"/>
        </w:trPr>
        <w:tc>
          <w:tcPr>
            <w:tcW w:w="15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89"/>
              </w:rPr>
              <w:t>(State or other jurisdiction</w:t>
            </w:r>
          </w:p>
        </w:tc>
        <w:tc>
          <w:tcPr>
            <w:tcW w:w="1800" w:type="dxa"/>
            <w:vAlign w:val="bottom"/>
          </w:tcPr>
          <w:p>
            <w:pPr>
              <w:spacing w:after="0"/>
              <w:rPr>
                <w:sz w:val="11"/>
                <w:szCs w:val="11"/>
                <w:color w:val="auto"/>
              </w:rPr>
            </w:pPr>
          </w:p>
        </w:tc>
        <w:tc>
          <w:tcPr>
            <w:tcW w:w="3720" w:type="dxa"/>
            <w:vAlign w:val="bottom"/>
            <w:gridSpan w:val="2"/>
          </w:tcPr>
          <w:p>
            <w:pPr>
              <w:ind w:left="960"/>
              <w:spacing w:after="0" w:line="133" w:lineRule="exact"/>
              <w:rPr>
                <w:sz w:val="20"/>
                <w:szCs w:val="20"/>
                <w:color w:val="auto"/>
              </w:rPr>
            </w:pPr>
            <w:r>
              <w:rPr>
                <w:rFonts w:ascii="Arial" w:cs="Arial" w:eastAsia="Arial" w:hAnsi="Arial"/>
                <w:sz w:val="13"/>
                <w:szCs w:val="13"/>
                <w:b w:val="1"/>
                <w:bCs w:val="1"/>
                <w:color w:val="auto"/>
              </w:rPr>
              <w:t>(Commission</w:t>
            </w:r>
          </w:p>
        </w:tc>
        <w:tc>
          <w:tcPr>
            <w:tcW w:w="1860" w:type="dxa"/>
            <w:vAlign w:val="bottom"/>
          </w:tcPr>
          <w:p>
            <w:pPr>
              <w:jc w:val="center"/>
              <w:ind w:left="810"/>
              <w:spacing w:after="0" w:line="133"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0"/>
              </w:rPr>
              <w:t>of incorporation)</w:t>
            </w:r>
          </w:p>
        </w:tc>
        <w:tc>
          <w:tcPr>
            <w:tcW w:w="1800" w:type="dxa"/>
            <w:vAlign w:val="bottom"/>
          </w:tcPr>
          <w:p>
            <w:pPr>
              <w:spacing w:after="0"/>
              <w:rPr>
                <w:sz w:val="14"/>
                <w:szCs w:val="14"/>
                <w:color w:val="auto"/>
              </w:rPr>
            </w:pPr>
          </w:p>
        </w:tc>
        <w:tc>
          <w:tcPr>
            <w:tcW w:w="3720" w:type="dxa"/>
            <w:vAlign w:val="bottom"/>
            <w:gridSpan w:val="2"/>
          </w:tcPr>
          <w:p>
            <w:pPr>
              <w:ind w:left="960"/>
              <w:spacing w:after="0"/>
              <w:rPr>
                <w:sz w:val="20"/>
                <w:szCs w:val="20"/>
                <w:color w:val="auto"/>
              </w:rPr>
            </w:pPr>
            <w:r>
              <w:rPr>
                <w:rFonts w:ascii="Arial" w:cs="Arial" w:eastAsia="Arial" w:hAnsi="Arial"/>
                <w:sz w:val="13"/>
                <w:szCs w:val="13"/>
                <w:b w:val="1"/>
                <w:bCs w:val="1"/>
                <w:color w:val="auto"/>
              </w:rPr>
              <w:t>File Number)</w:t>
            </w:r>
          </w:p>
        </w:tc>
        <w:tc>
          <w:tcPr>
            <w:tcW w:w="1860" w:type="dxa"/>
            <w:vAlign w:val="bottom"/>
          </w:tcPr>
          <w:p>
            <w:pPr>
              <w:jc w:val="center"/>
              <w:ind w:left="790"/>
              <w:spacing w:after="0"/>
              <w:rPr>
                <w:sz w:val="20"/>
                <w:szCs w:val="20"/>
                <w:color w:val="auto"/>
              </w:rPr>
            </w:pPr>
            <w:r>
              <w:rPr>
                <w:rFonts w:ascii="Arial" w:cs="Arial" w:eastAsia="Arial" w:hAnsi="Arial"/>
                <w:sz w:val="13"/>
                <w:szCs w:val="13"/>
                <w:b w:val="1"/>
                <w:bCs w:val="1"/>
                <w:color w:val="auto"/>
                <w:w w:val="91"/>
              </w:rPr>
              <w:t>Identification No.)</w:t>
            </w:r>
          </w:p>
        </w:tc>
      </w:tr>
      <w:tr>
        <w:trPr>
          <w:trHeight w:val="350"/>
        </w:trPr>
        <w:tc>
          <w:tcPr>
            <w:tcW w:w="7040" w:type="dxa"/>
            <w:vAlign w:val="bottom"/>
            <w:gridSpan w:val="4"/>
          </w:tcPr>
          <w:p>
            <w:pPr>
              <w:jc w:val="center"/>
              <w:ind w:right="1780"/>
              <w:spacing w:after="0"/>
              <w:rPr>
                <w:sz w:val="20"/>
                <w:szCs w:val="20"/>
                <w:color w:val="auto"/>
              </w:rPr>
            </w:pPr>
            <w:r>
              <w:rPr>
                <w:rFonts w:ascii="Arial" w:cs="Arial" w:eastAsia="Arial" w:hAnsi="Arial"/>
                <w:sz w:val="16"/>
                <w:szCs w:val="16"/>
                <w:b w:val="1"/>
                <w:bCs w:val="1"/>
                <w:color w:val="auto"/>
                <w:w w:val="92"/>
              </w:rPr>
              <w:t>60 Leveroni Court, Novato, California</w:t>
            </w:r>
          </w:p>
        </w:tc>
        <w:tc>
          <w:tcPr>
            <w:tcW w:w="1860" w:type="dxa"/>
            <w:vAlign w:val="bottom"/>
          </w:tcPr>
          <w:p>
            <w:pPr>
              <w:jc w:val="right"/>
              <w:ind w:right="230"/>
              <w:spacing w:after="0"/>
              <w:rPr>
                <w:sz w:val="20"/>
                <w:szCs w:val="20"/>
                <w:color w:val="auto"/>
              </w:rPr>
            </w:pPr>
            <w:r>
              <w:rPr>
                <w:rFonts w:ascii="Arial" w:cs="Arial" w:eastAsia="Arial" w:hAnsi="Arial"/>
                <w:sz w:val="16"/>
                <w:szCs w:val="16"/>
                <w:b w:val="1"/>
                <w:bCs w:val="1"/>
                <w:color w:val="auto"/>
              </w:rPr>
              <w:t>94949</w:t>
            </w:r>
          </w:p>
        </w:tc>
      </w:tr>
      <w:tr>
        <w:trPr>
          <w:trHeight w:val="166"/>
        </w:trPr>
        <w:tc>
          <w:tcPr>
            <w:tcW w:w="1520" w:type="dxa"/>
            <w:vAlign w:val="bottom"/>
          </w:tcPr>
          <w:p>
            <w:pPr>
              <w:spacing w:after="0"/>
              <w:rPr>
                <w:sz w:val="14"/>
                <w:szCs w:val="14"/>
                <w:color w:val="auto"/>
              </w:rPr>
            </w:pPr>
          </w:p>
        </w:tc>
        <w:tc>
          <w:tcPr>
            <w:tcW w:w="5520" w:type="dxa"/>
            <w:vAlign w:val="bottom"/>
            <w:gridSpan w:val="3"/>
          </w:tcPr>
          <w:p>
            <w:pPr>
              <w:jc w:val="center"/>
              <w:ind w:right="3280"/>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1860" w:type="dxa"/>
            <w:vAlign w:val="bottom"/>
          </w:tcPr>
          <w:p>
            <w:pPr>
              <w:jc w:val="center"/>
              <w:ind w:left="790"/>
              <w:spacing w:after="0"/>
              <w:rPr>
                <w:sz w:val="20"/>
                <w:szCs w:val="20"/>
                <w:color w:val="auto"/>
              </w:rPr>
            </w:pPr>
            <w:r>
              <w:rPr>
                <w:rFonts w:ascii="Arial" w:cs="Arial" w:eastAsia="Arial" w:hAnsi="Arial"/>
                <w:sz w:val="13"/>
                <w:szCs w:val="13"/>
                <w:b w:val="1"/>
                <w:bCs w:val="1"/>
                <w:color w:val="auto"/>
                <w:w w:val="93"/>
              </w:rPr>
              <w:t>(Zip Code)</w:t>
            </w:r>
          </w:p>
        </w:tc>
      </w:tr>
    </w:tbl>
    <w:p>
      <w:pPr>
        <w:spacing w:after="0" w:line="162"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Registrant’s telephone number, including area code: (415) 483-8800</w:t>
      </w:r>
    </w:p>
    <w:p>
      <w:pPr>
        <w:spacing w:after="0" w:line="200"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Not Applicable</w:t>
      </w:r>
    </w:p>
    <w:p>
      <w:pPr>
        <w:spacing w:after="0" w:line="19" w:lineRule="exact"/>
        <w:rPr>
          <w:sz w:val="24"/>
          <w:szCs w:val="24"/>
          <w:color w:val="auto"/>
        </w:rPr>
      </w:pPr>
    </w:p>
    <w:p>
      <w:pPr>
        <w:jc w:val="center"/>
        <w:ind w:right="-18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191135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left="4"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44"/>
          </w:cols>
          <w:pgMar w:left="236" w:top="319" w:right="41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8.01.</w:t>
      </w:r>
      <w:r>
        <w:rPr>
          <w:sz w:val="20"/>
          <w:szCs w:val="20"/>
          <w:color w:val="auto"/>
        </w:rPr>
        <w:tab/>
      </w:r>
      <w:r>
        <w:rPr>
          <w:rFonts w:ascii="Arial" w:cs="Arial" w:eastAsia="Arial" w:hAnsi="Arial"/>
          <w:sz w:val="14"/>
          <w:szCs w:val="14"/>
          <w:b w:val="1"/>
          <w:bCs w:val="1"/>
          <w:color w:val="auto"/>
        </w:rPr>
        <w:t>Other Events.</w:t>
      </w:r>
    </w:p>
    <w:p>
      <w:pPr>
        <w:spacing w:after="0" w:line="108"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On September 18, 2017, Ultragenyx Pharmaceutical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issued a press release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announcing that the Company has made a proposal to acquire all of the outstanding shares of common stock of Dimension Therapeutics, Inc. (“</w:t>
      </w:r>
      <w:r>
        <w:rPr>
          <w:rFonts w:ascii="Arial" w:cs="Arial" w:eastAsia="Arial" w:hAnsi="Arial"/>
          <w:sz w:val="16"/>
          <w:szCs w:val="16"/>
          <w:b w:val="1"/>
          <w:bCs w:val="1"/>
          <w:i w:val="1"/>
          <w:iCs w:val="1"/>
          <w:color w:val="auto"/>
        </w:rPr>
        <w:t>Dimension</w:t>
      </w:r>
      <w:r>
        <w:rPr>
          <w:rFonts w:ascii="Arial" w:cs="Arial" w:eastAsia="Arial" w:hAnsi="Arial"/>
          <w:sz w:val="16"/>
          <w:szCs w:val="16"/>
          <w:color w:val="auto"/>
        </w:rPr>
        <w:t>”) for $5.50 per share in cash (the “</w:t>
      </w:r>
      <w:r>
        <w:rPr>
          <w:rFonts w:ascii="Arial" w:cs="Arial" w:eastAsia="Arial" w:hAnsi="Arial"/>
          <w:sz w:val="16"/>
          <w:szCs w:val="16"/>
          <w:b w:val="1"/>
          <w:bCs w:val="1"/>
          <w:i w:val="1"/>
          <w:iCs w:val="1"/>
          <w:color w:val="auto"/>
        </w:rPr>
        <w:t>Proposal</w:t>
      </w:r>
      <w:r>
        <w:rPr>
          <w:rFonts w:ascii="Arial" w:cs="Arial" w:eastAsia="Arial" w:hAnsi="Arial"/>
          <w:sz w:val="16"/>
          <w:szCs w:val="16"/>
          <w:color w:val="auto"/>
        </w:rPr>
        <w:t>”). A copy of the Release is filed herewith as Exhibit 99.1.</w:t>
      </w:r>
    </w:p>
    <w:p>
      <w:pPr>
        <w:spacing w:after="0" w:line="162" w:lineRule="exact"/>
        <w:rPr>
          <w:sz w:val="20"/>
          <w:szCs w:val="20"/>
          <w:color w:val="auto"/>
        </w:rPr>
      </w:pPr>
    </w:p>
    <w:p>
      <w:pPr>
        <w:ind w:right="40" w:firstLine="458"/>
        <w:spacing w:after="0" w:line="277" w:lineRule="auto"/>
        <w:rPr>
          <w:sz w:val="20"/>
          <w:szCs w:val="20"/>
          <w:color w:val="auto"/>
        </w:rPr>
      </w:pPr>
      <w:r>
        <w:rPr>
          <w:rFonts w:ascii="Arial" w:cs="Arial" w:eastAsia="Arial" w:hAnsi="Arial"/>
          <w:sz w:val="16"/>
          <w:szCs w:val="16"/>
          <w:color w:val="auto"/>
        </w:rPr>
        <w:t>On September 18, 2017, the Company provided supplemental information (the “</w:t>
      </w:r>
      <w:r>
        <w:rPr>
          <w:rFonts w:ascii="Arial" w:cs="Arial" w:eastAsia="Arial" w:hAnsi="Arial"/>
          <w:sz w:val="16"/>
          <w:szCs w:val="16"/>
          <w:b w:val="1"/>
          <w:bCs w:val="1"/>
          <w:i w:val="1"/>
          <w:iCs w:val="1"/>
          <w:color w:val="auto"/>
        </w:rPr>
        <w:t>Investor Presentation</w:t>
      </w:r>
      <w:r>
        <w:rPr>
          <w:rFonts w:ascii="Arial" w:cs="Arial" w:eastAsia="Arial" w:hAnsi="Arial"/>
          <w:sz w:val="16"/>
          <w:szCs w:val="16"/>
          <w:color w:val="auto"/>
        </w:rPr>
        <w:t>”) regarding the Proposal in connection with an investor conference call held to discuss the Proposal. A copy of the Investor Presentation is filed herewith as Exhibit 99.2.</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Item 9.01</w:t>
            </w:r>
          </w:p>
        </w:tc>
        <w:tc>
          <w:tcPr>
            <w:tcW w:w="3100" w:type="dxa"/>
            <w:vAlign w:val="bottom"/>
            <w:gridSpan w:val="3"/>
          </w:tcPr>
          <w:p>
            <w:pPr>
              <w:ind w:left="400"/>
              <w:spacing w:after="0"/>
              <w:rPr>
                <w:sz w:val="20"/>
                <w:szCs w:val="20"/>
                <w:color w:val="auto"/>
              </w:rPr>
            </w:pPr>
            <w:r>
              <w:rPr>
                <w:rFonts w:ascii="Arial" w:cs="Arial" w:eastAsia="Arial" w:hAnsi="Arial"/>
                <w:sz w:val="16"/>
                <w:szCs w:val="16"/>
                <w:b w:val="1"/>
                <w:bCs w:val="1"/>
                <w:color w:val="auto"/>
              </w:rPr>
              <w:t>Financial Statements and Exhibits</w:t>
            </w:r>
          </w:p>
        </w:tc>
        <w:tc>
          <w:tcPr>
            <w:tcW w:w="0" w:type="dxa"/>
            <w:vAlign w:val="bottom"/>
          </w:tcPr>
          <w:p>
            <w:pPr>
              <w:spacing w:after="0"/>
              <w:rPr>
                <w:sz w:val="1"/>
                <w:szCs w:val="1"/>
                <w:color w:val="auto"/>
              </w:rPr>
            </w:pPr>
          </w:p>
        </w:tc>
      </w:tr>
      <w:tr>
        <w:trPr>
          <w:trHeight w:val="288"/>
        </w:trPr>
        <w:tc>
          <w:tcPr>
            <w:tcW w:w="96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640" w:type="dxa"/>
            <w:vAlign w:val="bottom"/>
            <w:vMerge w:val="restart"/>
          </w:tcPr>
          <w:p>
            <w:pPr>
              <w:spacing w:after="0"/>
              <w:rPr>
                <w:sz w:val="20"/>
                <w:szCs w:val="20"/>
                <w:color w:val="auto"/>
              </w:rPr>
            </w:pPr>
            <w:r>
              <w:rPr>
                <w:rFonts w:ascii="Arial" w:cs="Arial" w:eastAsia="Arial" w:hAnsi="Arial"/>
                <w:sz w:val="13"/>
                <w:szCs w:val="13"/>
                <w:b w:val="1"/>
                <w:bCs w:val="1"/>
                <w:color w:val="auto"/>
                <w:w w:val="86"/>
              </w:rPr>
              <w:t>Description</w:t>
            </w:r>
          </w:p>
        </w:tc>
        <w:tc>
          <w:tcPr>
            <w:tcW w:w="24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No.</w:t>
            </w:r>
          </w:p>
        </w:tc>
        <w:tc>
          <w:tcPr>
            <w:tcW w:w="56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0"/>
                <w:szCs w:val="20"/>
                <w:color w:val="auto"/>
              </w:rPr>
            </w:pPr>
            <w:r>
              <w:rPr>
                <w:rFonts w:ascii="Arial" w:cs="Arial" w:eastAsia="Arial" w:hAnsi="Arial"/>
                <w:sz w:val="16"/>
                <w:szCs w:val="16"/>
                <w:color w:val="auto"/>
              </w:rPr>
              <w:t>99.1</w:t>
            </w:r>
          </w:p>
        </w:tc>
        <w:tc>
          <w:tcPr>
            <w:tcW w:w="56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6"/>
                <w:szCs w:val="16"/>
                <w:color w:val="0000EE"/>
              </w:rPr>
              <w:t>Press Release, dated September 18, 2017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6"/>
                <w:szCs w:val="16"/>
                <w:color w:val="auto"/>
              </w:rPr>
              <w:t>99.2</w:t>
            </w:r>
          </w:p>
        </w:tc>
        <w:tc>
          <w:tcPr>
            <w:tcW w:w="560" w:type="dxa"/>
            <w:vAlign w:val="bottom"/>
          </w:tcPr>
          <w:p>
            <w:pPr>
              <w:spacing w:after="0"/>
              <w:rPr>
                <w:sz w:val="23"/>
                <w:szCs w:val="23"/>
                <w:color w:val="auto"/>
              </w:rPr>
            </w:pPr>
          </w:p>
        </w:tc>
        <w:tc>
          <w:tcPr>
            <w:tcW w:w="310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88"/>
              </w:rPr>
              <w:t>Investor Presentation, dated September 18, 2017</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5240"/>
        <w:spacing w:after="0"/>
        <w:tabs>
          <w:tab w:leader="none" w:pos="5660" w:val="left"/>
          <w:tab w:leader="none" w:pos="61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ectPr>
          <w:pgSz w:w="11900" w:h="16838" w:orient="portrait"/>
          <w:cols w:equalWidth="0" w:num="1">
            <w:col w:w="11400"/>
          </w:cols>
          <w:pgMar w:left="240" w:top="255"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w:t>
      </w:r>
    </w:p>
    <w:p>
      <w:pPr>
        <w:spacing w:after="0" w:line="204" w:lineRule="exact"/>
        <w:rPr>
          <w:sz w:val="20"/>
          <w:szCs w:val="20"/>
          <w:color w:val="auto"/>
        </w:rPr>
      </w:pPr>
    </w:p>
    <w:p>
      <w:pPr>
        <w:ind w:right="560" w:firstLine="915"/>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18, 2017</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Ultragenyx Pharmaceutical Inc.</w:t>
      </w:r>
    </w:p>
    <w:p>
      <w:pPr>
        <w:spacing w:after="0" w:line="200" w:lineRule="exact"/>
        <w:rPr>
          <w:sz w:val="20"/>
          <w:szCs w:val="20"/>
          <w:color w:val="auto"/>
        </w:rPr>
      </w:pPr>
    </w:p>
    <w:tbl>
      <w:tblPr>
        <w:tblLayout w:type="fixed"/>
        <w:tblInd w:w="6860" w:type="dxa"/>
        <w:tblCellMar>
          <w:top w:w="0" w:type="dxa"/>
          <w:left w:w="0" w:type="dxa"/>
          <w:bottom w:w="0" w:type="dxa"/>
          <w:right w:w="0" w:type="dxa"/>
        </w:tblCellMar>
      </w:tblP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Shalini Sharp</w:t>
            </w:r>
          </w:p>
        </w:tc>
      </w:tr>
      <w:tr>
        <w:trPr>
          <w:trHeight w:val="184"/>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980" w:type="dxa"/>
            <w:vAlign w:val="bottom"/>
          </w:tcPr>
          <w:p>
            <w:pPr>
              <w:spacing w:after="0"/>
              <w:rPr>
                <w:sz w:val="20"/>
                <w:szCs w:val="20"/>
                <w:color w:val="auto"/>
              </w:rPr>
            </w:pPr>
            <w:r>
              <w:rPr>
                <w:rFonts w:ascii="Arial" w:cs="Arial" w:eastAsia="Arial" w:hAnsi="Arial"/>
                <w:sz w:val="16"/>
                <w:szCs w:val="16"/>
                <w:color w:val="auto"/>
              </w:rPr>
              <w:t>Shalini Sharp</w:t>
            </w:r>
          </w:p>
        </w:tc>
      </w:t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80" w:type="dxa"/>
            <w:vAlign w:val="bottom"/>
          </w:tcPr>
          <w:p>
            <w:pPr>
              <w:spacing w:after="0"/>
              <w:rPr>
                <w:sz w:val="20"/>
                <w:szCs w:val="20"/>
                <w:color w:val="auto"/>
              </w:rPr>
            </w:pPr>
            <w:r>
              <w:rPr>
                <w:rFonts w:ascii="Arial" w:cs="Arial" w:eastAsia="Arial" w:hAnsi="Arial"/>
                <w:sz w:val="16"/>
                <w:szCs w:val="16"/>
                <w:color w:val="auto"/>
              </w:rPr>
              <w:t>Executive Vice President, Chief Financial Officer</w:t>
            </w:r>
          </w:p>
        </w:tc>
      </w:tr>
    </w:tbl>
    <w:p>
      <w:pPr>
        <w:sectPr>
          <w:pgSz w:w="11900" w:h="16838" w:orient="portrait"/>
          <w:cols w:equalWidth="0" w:num="1">
            <w:col w:w="11440"/>
          </w:cols>
          <w:pgMar w:left="240" w:top="255"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153035</wp:posOffset>
            </wp:positionV>
            <wp:extent cx="1479550" cy="556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95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Ultragenyx Proposes to Acquire Dimension Therapeutics for $5.50 Per Share in Cash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Proposed Combination of Complementary Rare Disease Franchises Maximizes the Ability to Bring Needed New Therapies to Market</w:t>
      </w:r>
    </w:p>
    <w:p>
      <w:pPr>
        <w:spacing w:after="0" w:line="200" w:lineRule="exact"/>
        <w:rPr>
          <w:sz w:val="20"/>
          <w:szCs w:val="20"/>
          <w:color w:val="auto"/>
        </w:rPr>
      </w:pPr>
    </w:p>
    <w:p>
      <w:pPr>
        <w:jc w:val="center"/>
        <w:ind w:right="20"/>
        <w:spacing w:after="0" w:line="277" w:lineRule="auto"/>
        <w:rPr>
          <w:sz w:val="20"/>
          <w:szCs w:val="20"/>
          <w:color w:val="auto"/>
        </w:rPr>
      </w:pPr>
      <w:r>
        <w:rPr>
          <w:rFonts w:ascii="Arial" w:cs="Arial" w:eastAsia="Arial" w:hAnsi="Arial"/>
          <w:sz w:val="16"/>
          <w:szCs w:val="16"/>
          <w:i w:val="1"/>
          <w:iCs w:val="1"/>
          <w:color w:val="auto"/>
        </w:rPr>
        <w:t xml:space="preserve">Proposal Delivers Superior Value To Dimension’s Shareholders Relative to the </w:t>
      </w:r>
      <w:r>
        <w:rPr>
          <w:rFonts w:ascii="Arial" w:cs="Arial" w:eastAsia="Arial" w:hAnsi="Arial"/>
          <w:sz w:val="16"/>
          <w:szCs w:val="16"/>
          <w:color w:val="auto"/>
        </w:rPr>
        <w:t>REGENXBIO</w:t>
      </w:r>
      <w:r>
        <w:rPr>
          <w:rFonts w:ascii="Arial" w:cs="Arial" w:eastAsia="Arial" w:hAnsi="Arial"/>
          <w:sz w:val="16"/>
          <w:szCs w:val="16"/>
          <w:i w:val="1"/>
          <w:iCs w:val="1"/>
          <w:color w:val="auto"/>
        </w:rPr>
        <w:t xml:space="preserve"> Transaction; Provides Dimension Shareholders with Immediate Cash Premium Value of Over 358% to Unaffected Share Price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Ultragenyx to Host Conference Call Today at 10:30am ET</w:t>
      </w:r>
    </w:p>
    <w:p>
      <w:pPr>
        <w:spacing w:after="0" w:line="19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b w:val="1"/>
          <w:bCs w:val="1"/>
          <w:color w:val="auto"/>
        </w:rPr>
        <w:t xml:space="preserve">NOVATO, Calif., September 18, 2017 – </w:t>
      </w:r>
      <w:r>
        <w:rPr>
          <w:rFonts w:ascii="Arial" w:cs="Arial" w:eastAsia="Arial" w:hAnsi="Arial"/>
          <w:sz w:val="16"/>
          <w:szCs w:val="16"/>
          <w:color w:val="auto"/>
        </w:rPr>
        <w:t>Ultragenyx Pharmaceutical Inc. (NASDAQ: RARE) (“Ultragenyx” or the “Company”), a biopharmaceutical company focused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of novel products for rare and ultra-rare diseases, today announced that it has made a proposal to acquire all of the outstanding shares of common stock of Dimension Therapeutics, Inc. (NASDAQ: DMTX) (“Dimension”) for $5.50 per share, or approximately $138 million, in cash at close to be effectuated via a tender offer. The Ultragenyx offer represents a premium of over 358% to Dimension’s unaffected share price as of August 24, 2017 and premiums of 24% and 48% over the implied value of the all-stock consideration to be received by Dimension stockholders pursuant to the announced acquisition of Dimension by REGENXBIO Inc. (traded on NASDAQ under RGNX) (“REGENXBIO”), based on REGENXBIO’s last closing price and trailing 20-trading day volume-weighted average price as of September 15, 2017, respectively. As such, the proposal would provide Dimension stockholders with an immediate and certain return on their investment in Dimension and constitutes a superior alternative to the REGENXBIO transaction.</w:t>
      </w:r>
    </w:p>
    <w:p>
      <w:pPr>
        <w:spacing w:after="0" w:line="170" w:lineRule="exact"/>
        <w:rPr>
          <w:sz w:val="20"/>
          <w:szCs w:val="20"/>
          <w:color w:val="auto"/>
        </w:rPr>
      </w:pPr>
    </w:p>
    <w:p>
      <w:pPr>
        <w:ind w:right="320"/>
        <w:spacing w:after="0" w:line="351" w:lineRule="auto"/>
        <w:rPr>
          <w:sz w:val="20"/>
          <w:szCs w:val="20"/>
          <w:color w:val="auto"/>
        </w:rPr>
      </w:pPr>
      <w:r>
        <w:rPr>
          <w:rFonts w:ascii="Arial" w:cs="Arial" w:eastAsia="Arial" w:hAnsi="Arial"/>
          <w:sz w:val="14"/>
          <w:szCs w:val="14"/>
          <w:color w:val="auto"/>
        </w:rPr>
        <w:t>The proposal has been approved by the Board of Directors of Ultragenyx. Ultragenyx would fund the transaction from cash resources on its balance sheet and anticipates that customary closing conditions to the transaction could be satisfied so that the tender offer could complete as soon as 25 business days after merger agreement signing.</w:t>
      </w:r>
    </w:p>
    <w:p>
      <w:pPr>
        <w:spacing w:after="0" w:line="106"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“This transaction provides a compelling opportunity to create value by leveraging Ultragenyx’s advanced clinical and regulatory expertise, as well as its rare metabolic disease commercial infrastructure to advance Dimension’s rare disease focused gene therapies and bring much needed new treatments to market,” said Emil D. Kakkis, M.D., Ph.D., Chief Executive Officer and President of Ultragenyx. “Based on my own experience as a scientific advisor to Dimension, I have the greatest respect for the deep expertise and knowledge of Dimension’s employees in AAV gene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123" w:right="219" w:bottom="1440" w:gutter="0" w:footer="0" w:header="0"/>
        </w:sectPr>
      </w:pPr>
    </w:p>
    <w:bookmarkStart w:id="4" w:name="page5"/>
    <w:bookmarkEnd w:id="4"/>
    <w:p>
      <w:pPr>
        <w:ind w:right="26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therapy and manufacturing. We share Dimension’s vision for bringing transformational new therapies to patients with rare genetic diseases and believe that bringing our two companies together would accelerate the process of bringing important new therapies to market for patients.”</w:t>
      </w:r>
    </w:p>
    <w:p>
      <w:pPr>
        <w:spacing w:after="0" w:line="152"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Dr. Kakkis continued, “Our all-cash offer provides meaningfully greater value and certainty to Dimension shareholders compared to the proposed all-stock acquisition by REGENXBIO. We believe Ultragenyx and its product candidates are highly complementary to Dimension’s and present no competitive overlap, giving us confidence that we could combine our two companies quickly and seamlessly.”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Below is the text of a letter that has been sent concurrent with this announcement to Dr. Annalisa Jenkins, President and Chief Executive Officer of Dimension: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September 18, 2017</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Dimension Therapeutics, Inc.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840 Memorial Drive, 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Cambridge, Massachusetts 02139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Attention: Dr. Annalisa Jenkins, Chief Executive Officer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Dear Annalisa:</w:t>
      </w:r>
    </w:p>
    <w:p>
      <w:pPr>
        <w:spacing w:after="0" w:line="200" w:lineRule="exact"/>
        <w:rPr>
          <w:sz w:val="20"/>
          <w:szCs w:val="20"/>
          <w:color w:val="auto"/>
        </w:rPr>
      </w:pPr>
    </w:p>
    <w:p>
      <w:pPr>
        <w:jc w:val="both"/>
        <w:ind w:left="460" w:right="200" w:firstLine="439"/>
        <w:spacing w:after="0" w:line="289" w:lineRule="auto"/>
        <w:rPr>
          <w:sz w:val="20"/>
          <w:szCs w:val="20"/>
          <w:color w:val="auto"/>
        </w:rPr>
      </w:pPr>
      <w:r>
        <w:rPr>
          <w:rFonts w:ascii="Arial" w:cs="Arial" w:eastAsia="Arial" w:hAnsi="Arial"/>
          <w:sz w:val="15"/>
          <w:szCs w:val="15"/>
          <w:color w:val="auto"/>
        </w:rPr>
        <w:t>We at Ultragenyx Pharmaceutical Inc. have followed the progress of Dimension Therapeutics, Inc. (“Dimension” or the “Company”) with great interest and are impressed by the advances you have made with your product candidates. The Dimension team has built an innovative and valuable business with a strong portfolio of assets and an advanced manufacturing platform that are poised to make significant advances in the treatment of patients with rare genetic diseases.</w:t>
      </w:r>
    </w:p>
    <w:p>
      <w:pPr>
        <w:spacing w:after="0" w:line="50" w:lineRule="exact"/>
        <w:rPr>
          <w:sz w:val="20"/>
          <w:szCs w:val="20"/>
          <w:color w:val="auto"/>
        </w:rPr>
      </w:pPr>
    </w:p>
    <w:p>
      <w:pPr>
        <w:ind w:left="460" w:firstLine="439"/>
        <w:spacing w:after="0" w:line="276" w:lineRule="auto"/>
        <w:rPr>
          <w:sz w:val="20"/>
          <w:szCs w:val="20"/>
          <w:color w:val="auto"/>
        </w:rPr>
      </w:pPr>
      <w:r>
        <w:rPr>
          <w:rFonts w:ascii="Arial" w:cs="Arial" w:eastAsia="Arial" w:hAnsi="Arial"/>
          <w:sz w:val="15"/>
          <w:szCs w:val="15"/>
          <w:color w:val="auto"/>
        </w:rPr>
        <w:t>We share your vision to expand treatment options and bring transformational therapies to patients in areas with significant unmet need and we have a strong track record of advancing rare disease focused product candidates through the clinical and regulatory processes, including submission of marketing applications for two products in both the US and EU during this last year. As we head to commercialization for two products in 2018, we are best prepared to support the advancement and eventual filing for any products successfully developed from your portfolio. As experts in the metabolic disease space, our scientific, clinical, regulatory, and commercial skills would be complementary with your technology, programs and people. As such, we believe that a combination of our respective organizations will maximize the impact we can have for patients by bringing much-needed new therapies to market.</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20"/>
          </w:cols>
          <w:pgMar w:left="240" w:top="259" w:right="339" w:bottom="1440" w:gutter="0" w:footer="0" w:header="0"/>
        </w:sectPr>
      </w:pPr>
    </w:p>
    <w:bookmarkStart w:id="5" w:name="page6"/>
    <w:bookmarkEnd w:id="5"/>
    <w:p>
      <w:pPr>
        <w:ind w:left="464" w:right="120" w:firstLine="439"/>
        <w:spacing w:after="0" w:line="30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Our vision would be to leverage our significant clinical and regulatory expertise, as well as our growing rare metabolic disease commercial infrastructure, to advance Dimension’s rare disease focused gene therapies through the clinic and to maximize their reach with patients. Furthermore, we recognize and value the deep expertise and knowledge that Dimension’s employees have developed in AAV gene therapy and manufacturing, and we believe that their collective talents would be an impressive addition to Ultragenyx. We would envision maintaining a gene therapy development unit and manufacturing development team at Dimension’s facilities in Massachusetts to continue to retain your strong team’s significant institutional knowledge and efficiently progress your critical manufacturing there.</w:t>
      </w:r>
    </w:p>
    <w:p>
      <w:pPr>
        <w:spacing w:after="0" w:line="44" w:lineRule="exact"/>
        <w:rPr>
          <w:sz w:val="20"/>
          <w:szCs w:val="20"/>
          <w:color w:val="auto"/>
        </w:rPr>
      </w:pPr>
    </w:p>
    <w:p>
      <w:pPr>
        <w:ind w:left="464" w:right="180" w:firstLine="439"/>
        <w:spacing w:after="0" w:line="264" w:lineRule="auto"/>
        <w:rPr>
          <w:sz w:val="20"/>
          <w:szCs w:val="20"/>
          <w:color w:val="auto"/>
        </w:rPr>
      </w:pPr>
      <w:r>
        <w:rPr>
          <w:rFonts w:ascii="Arial" w:cs="Arial" w:eastAsia="Arial" w:hAnsi="Arial"/>
          <w:sz w:val="16"/>
          <w:szCs w:val="16"/>
          <w:color w:val="auto"/>
        </w:rPr>
        <w:t>We are pleased to submit this non-binding proposal (“Proposal”) to acquire Dimension for a value, consideration and structure that we believe represents a compelling opportunity for Dimension shareholders. In addition, this offer provides meaningfully greater value and certainty than the agreement recently reached with REGENXBIO Inc. (“REGENXBIO”).</w:t>
      </w:r>
    </w:p>
    <w:p>
      <w:pPr>
        <w:spacing w:after="0" w:line="74" w:lineRule="exact"/>
        <w:rPr>
          <w:sz w:val="20"/>
          <w:szCs w:val="20"/>
          <w:color w:val="auto"/>
        </w:rPr>
      </w:pPr>
    </w:p>
    <w:p>
      <w:pPr>
        <w:ind w:left="464" w:hanging="464"/>
        <w:spacing w:after="0" w:line="282" w:lineRule="auto"/>
        <w:tabs>
          <w:tab w:leader="none" w:pos="46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Price, Consideration and Structure. </w:t>
      </w:r>
      <w:r>
        <w:rPr>
          <w:rFonts w:ascii="Arial" w:cs="Arial" w:eastAsia="Arial" w:hAnsi="Arial"/>
          <w:sz w:val="16"/>
          <w:szCs w:val="16"/>
          <w:color w:val="auto"/>
        </w:rPr>
        <w:t>We are prepared to acquire 100% of the outstanding common stock of Dimension for $5.50 per share (“Purchase Price”) in cash to</w:t>
      </w:r>
      <w:r>
        <w:rPr>
          <w:rFonts w:ascii="Arial" w:cs="Arial" w:eastAsia="Arial" w:hAnsi="Arial"/>
          <w:sz w:val="16"/>
          <w:szCs w:val="16"/>
          <w:b w:val="1"/>
          <w:bCs w:val="1"/>
          <w:color w:val="auto"/>
        </w:rPr>
        <w:t xml:space="preserve"> </w:t>
      </w:r>
      <w:r>
        <w:rPr>
          <w:rFonts w:ascii="Arial" w:cs="Arial" w:eastAsia="Arial" w:hAnsi="Arial"/>
          <w:sz w:val="16"/>
          <w:szCs w:val="16"/>
          <w:color w:val="auto"/>
        </w:rPr>
        <w:t>be effectuated via a tender offer.</w:t>
      </w:r>
    </w:p>
    <w:p>
      <w:pPr>
        <w:spacing w:after="0" w:line="52" w:lineRule="exact"/>
        <w:rPr>
          <w:rFonts w:ascii="Arial" w:cs="Arial" w:eastAsia="Arial" w:hAnsi="Arial"/>
          <w:sz w:val="16"/>
          <w:szCs w:val="16"/>
          <w:b w:val="1"/>
          <w:bCs w:val="1"/>
          <w:color w:val="auto"/>
        </w:rPr>
      </w:pPr>
    </w:p>
    <w:p>
      <w:pPr>
        <w:ind w:left="464" w:right="240"/>
        <w:spacing w:after="0" w:line="319" w:lineRule="auto"/>
        <w:rPr>
          <w:rFonts w:ascii="Arial" w:cs="Arial" w:eastAsia="Arial" w:hAnsi="Arial"/>
          <w:sz w:val="16"/>
          <w:szCs w:val="16"/>
          <w:b w:val="1"/>
          <w:bCs w:val="1"/>
          <w:color w:val="auto"/>
        </w:rPr>
      </w:pPr>
      <w:r>
        <w:rPr>
          <w:rFonts w:ascii="Arial" w:cs="Arial" w:eastAsia="Arial" w:hAnsi="Arial"/>
          <w:sz w:val="14"/>
          <w:szCs w:val="14"/>
          <w:color w:val="auto"/>
        </w:rPr>
        <w:t>This represents a premium of 358% to Dimension’s unaffected share price as of August 24, 2017, and a 24% premium to the implied offer value of the REGENXBIO transaction, based upon REGENXBIO’s closing price on September 15, 2017. This also represents a 48% premium to the implied offer value of the REGENXBIO transaction, based upon REGENXBIO’s 20 trading day volume weighted average price of $23.68 per share (per Bloomberg) as of September 15, 2017.</w:t>
      </w:r>
    </w:p>
    <w:p>
      <w:pPr>
        <w:spacing w:after="0" w:line="30" w:lineRule="exact"/>
        <w:rPr>
          <w:rFonts w:ascii="Arial" w:cs="Arial" w:eastAsia="Arial" w:hAnsi="Arial"/>
          <w:sz w:val="16"/>
          <w:szCs w:val="16"/>
          <w:b w:val="1"/>
          <w:bCs w:val="1"/>
          <w:color w:val="auto"/>
        </w:rPr>
      </w:pPr>
    </w:p>
    <w:p>
      <w:pPr>
        <w:ind w:left="464"/>
        <w:spacing w:after="0"/>
        <w:rPr>
          <w:rFonts w:ascii="Arial" w:cs="Arial" w:eastAsia="Arial" w:hAnsi="Arial"/>
          <w:sz w:val="16"/>
          <w:szCs w:val="16"/>
          <w:b w:val="1"/>
          <w:bCs w:val="1"/>
          <w:color w:val="auto"/>
        </w:rPr>
      </w:pPr>
      <w:r>
        <w:rPr>
          <w:rFonts w:ascii="Arial" w:cs="Arial" w:eastAsia="Arial" w:hAnsi="Arial"/>
          <w:sz w:val="16"/>
          <w:szCs w:val="16"/>
          <w:color w:val="auto"/>
        </w:rPr>
        <w:t>The $5.50 per share offer implies an equity purchase price of approximately $138 million in cash at close.</w:t>
      </w:r>
    </w:p>
    <w:p>
      <w:pPr>
        <w:spacing w:after="0" w:line="112" w:lineRule="exact"/>
        <w:rPr>
          <w:rFonts w:ascii="Arial" w:cs="Arial" w:eastAsia="Arial" w:hAnsi="Arial"/>
          <w:sz w:val="16"/>
          <w:szCs w:val="16"/>
          <w:b w:val="1"/>
          <w:bCs w:val="1"/>
          <w:color w:val="auto"/>
        </w:rPr>
      </w:pPr>
    </w:p>
    <w:p>
      <w:pPr>
        <w:ind w:left="464" w:hanging="464"/>
        <w:spacing w:after="0"/>
        <w:tabs>
          <w:tab w:leader="none" w:pos="464"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Financing. </w:t>
      </w:r>
      <w:r>
        <w:rPr>
          <w:rFonts w:ascii="Arial" w:cs="Arial" w:eastAsia="Arial" w:hAnsi="Arial"/>
          <w:sz w:val="14"/>
          <w:szCs w:val="14"/>
          <w:color w:val="auto"/>
        </w:rPr>
        <w:t>We have sufficient cash resources to fund this transaction with cash currently on our balance sheet, and our offer is not subject to any financing condition.</w:t>
      </w:r>
    </w:p>
    <w:p>
      <w:pPr>
        <w:spacing w:after="0" w:line="139" w:lineRule="exact"/>
        <w:rPr>
          <w:rFonts w:ascii="Arial" w:cs="Arial" w:eastAsia="Arial" w:hAnsi="Arial"/>
          <w:sz w:val="14"/>
          <w:szCs w:val="14"/>
          <w:b w:val="1"/>
          <w:bCs w:val="1"/>
          <w:color w:val="auto"/>
        </w:rPr>
      </w:pPr>
    </w:p>
    <w:p>
      <w:pPr>
        <w:ind w:left="464" w:right="600" w:hanging="464"/>
        <w:spacing w:after="0" w:line="282" w:lineRule="auto"/>
        <w:tabs>
          <w:tab w:leader="none" w:pos="46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Due Diligence and Timing. </w:t>
      </w:r>
      <w:r>
        <w:rPr>
          <w:rFonts w:ascii="Arial" w:cs="Arial" w:eastAsia="Arial" w:hAnsi="Arial"/>
          <w:sz w:val="16"/>
          <w:szCs w:val="16"/>
          <w:color w:val="auto"/>
        </w:rPr>
        <w:t>This Proposal is based on our current knowledge of Dimension from the Company’s public filings and disclosures and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confirmatory due diligence that we expect can be addressed quickly and efficiently if</w:t>
      </w:r>
    </w:p>
    <w:p>
      <w:pPr>
        <w:spacing w:after="0" w:line="88" w:lineRule="exact"/>
        <w:rPr>
          <w:sz w:val="20"/>
          <w:szCs w:val="20"/>
          <w:color w:val="auto"/>
        </w:rPr>
      </w:pPr>
    </w:p>
    <w:p>
      <w:pPr>
        <w:jc w:val="center"/>
        <w:ind w:right="-14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04"/>
          </w:cols>
          <w:pgMar w:left="236" w:top="259" w:right="359" w:bottom="1440" w:gutter="0" w:footer="0" w:header="0"/>
        </w:sectPr>
      </w:pPr>
    </w:p>
    <w:bookmarkStart w:id="6" w:name="page7"/>
    <w:bookmarkEnd w:id="6"/>
    <w:p>
      <w:pPr>
        <w:ind w:left="464" w:right="8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we are afforded access to a customary data room and appropriate Company personnel. We are prepared to move expeditiously to complete diligence with your assistance in a two-week period.</w:t>
      </w:r>
    </w:p>
    <w:p>
      <w:pPr>
        <w:spacing w:after="0" w:line="64" w:lineRule="exact"/>
        <w:rPr>
          <w:sz w:val="20"/>
          <w:szCs w:val="20"/>
          <w:color w:val="auto"/>
        </w:rPr>
      </w:pPr>
    </w:p>
    <w:p>
      <w:pPr>
        <w:ind w:left="464" w:right="80" w:hanging="464"/>
        <w:spacing w:after="0" w:line="261" w:lineRule="auto"/>
        <w:tabs>
          <w:tab w:leader="none" w:pos="46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Merger Agreement. </w:t>
      </w:r>
      <w:r>
        <w:rPr>
          <w:rFonts w:ascii="Arial" w:cs="Arial" w:eastAsia="Arial" w:hAnsi="Arial"/>
          <w:sz w:val="16"/>
          <w:szCs w:val="16"/>
          <w:color w:val="auto"/>
        </w:rPr>
        <w:t>Concurrently with our due diligence review, we would anticipate working with you to negotiate a definitive agreement. We are prepared to accept</w:t>
      </w:r>
      <w:r>
        <w:rPr>
          <w:rFonts w:ascii="Arial" w:cs="Arial" w:eastAsia="Arial" w:hAnsi="Arial"/>
          <w:sz w:val="16"/>
          <w:szCs w:val="16"/>
          <w:b w:val="1"/>
          <w:bCs w:val="1"/>
          <w:color w:val="auto"/>
        </w:rPr>
        <w:t xml:space="preserve"> </w:t>
      </w:r>
      <w:r>
        <w:rPr>
          <w:rFonts w:ascii="Arial" w:cs="Arial" w:eastAsia="Arial" w:hAnsi="Arial"/>
          <w:sz w:val="16"/>
          <w:szCs w:val="16"/>
          <w:color w:val="auto"/>
        </w:rPr>
        <w:t>identical or more favorable terms for Dimension than your existing merger agreement with REGENXBIO, as you will see in the enclosed version of our draft merger agreement showing changes from the existing agreement with REGENXBIO. Our draft merger agreement in fact offers greater speed and deal certainty than the pending transaction with REGENXBIO, in particular:</w:t>
      </w:r>
    </w:p>
    <w:p>
      <w:pPr>
        <w:spacing w:after="0" w:line="81" w:lineRule="exact"/>
        <w:rPr>
          <w:sz w:val="20"/>
          <w:szCs w:val="20"/>
          <w:color w:val="auto"/>
        </w:rPr>
      </w:pPr>
    </w:p>
    <w:p>
      <w:pPr>
        <w:ind w:left="464" w:right="280" w:hanging="464"/>
        <w:spacing w:after="0" w:line="264" w:lineRule="auto"/>
        <w:tabs>
          <w:tab w:leader="none" w:pos="464"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proposing an all-cash transaction structured as a tender offer, which would expire as soon as 25 business days following entry into the merger agreement. We propose to close the deal on the business day after expiration of the tender offer. In contrast, the existing merger agreement with REGENXBIO is conditioned on SEC clearance of a registration statement by REGENXBIO and a Company shareholder approval.</w:t>
      </w:r>
    </w:p>
    <w:p>
      <w:pPr>
        <w:spacing w:after="0" w:line="77" w:lineRule="exact"/>
        <w:rPr>
          <w:rFonts w:ascii="Arial" w:cs="Arial" w:eastAsia="Arial" w:hAnsi="Arial"/>
          <w:sz w:val="16"/>
          <w:szCs w:val="16"/>
          <w:color w:val="auto"/>
        </w:rPr>
      </w:pPr>
    </w:p>
    <w:p>
      <w:pPr>
        <w:ind w:left="464" w:right="60" w:hanging="464"/>
        <w:spacing w:after="0" w:line="259" w:lineRule="auto"/>
        <w:tabs>
          <w:tab w:leader="none" w:pos="464"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willing to agree to an absolute “hell or high water” covenant to demonstrate our comfort and commitment in securing antitrust clearance for our acquisition of the Company. We believe Ultragenyx and its product candidates present no competitive overlap with the Company. In contrast, the existing merger agreement with REGENXBIO specifically provides that REGENXBIO will not be obligated to sell, dispose of or hold separate any assets of REGENXBIO or the Company in order to secure antitrust clearance.</w:t>
      </w:r>
    </w:p>
    <w:p>
      <w:pPr>
        <w:spacing w:after="0" w:line="82" w:lineRule="exact"/>
        <w:rPr>
          <w:rFonts w:ascii="Arial" w:cs="Arial" w:eastAsia="Arial" w:hAnsi="Arial"/>
          <w:sz w:val="16"/>
          <w:szCs w:val="16"/>
          <w:color w:val="auto"/>
        </w:rPr>
      </w:pPr>
    </w:p>
    <w:p>
      <w:pPr>
        <w:ind w:left="464" w:right="140" w:hanging="464"/>
        <w:spacing w:after="0" w:line="277" w:lineRule="auto"/>
        <w:tabs>
          <w:tab w:leader="none" w:pos="464"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proposing to bear any risk related to clinical data coming out of the Company’s ongoing trials before closing of the transaction, as reflected in our changes to the definition of “Company Material Adverse Effect” in our draft merger agreement.</w:t>
      </w:r>
    </w:p>
    <w:p>
      <w:pPr>
        <w:spacing w:after="0" w:line="56" w:lineRule="exact"/>
        <w:rPr>
          <w:sz w:val="20"/>
          <w:szCs w:val="20"/>
          <w:color w:val="auto"/>
        </w:rPr>
      </w:pPr>
    </w:p>
    <w:p>
      <w:pPr>
        <w:ind w:left="464" w:firstLine="439"/>
        <w:spacing w:after="0" w:line="278" w:lineRule="auto"/>
        <w:rPr>
          <w:sz w:val="20"/>
          <w:szCs w:val="20"/>
          <w:color w:val="auto"/>
        </w:rPr>
      </w:pPr>
      <w:r>
        <w:rPr>
          <w:rFonts w:ascii="Arial" w:cs="Arial" w:eastAsia="Arial" w:hAnsi="Arial"/>
          <w:sz w:val="15"/>
          <w:szCs w:val="15"/>
          <w:color w:val="auto"/>
        </w:rPr>
        <w:t>The Ultragenyx board of directors has approved this Proposal. Subject to completing our due diligence and negotiating a mutually satisfactory definitive agreement to be executed upon your termination of the existing merger agreement with REGENXBIO, we will require final approval by our board of directors. No additional Ultragenyx internal approvals or shareholder approvals would be needed to consummate the transaction. Based on our current knowledge of Dimension from publicly available information, we do not believe that any other material approvals would be required for us to consummate the transaction, other than the expiration or early termination of the waiting period under the Hart-Scott-Rodino Act and, if applicable, any approvals under foreign antitrust laws.</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64"/>
          </w:cols>
          <w:pgMar w:left="236" w:top="259" w:right="299" w:bottom="1440" w:gutter="0" w:footer="0" w:header="0"/>
        </w:sectPr>
      </w:pPr>
    </w:p>
    <w:bookmarkStart w:id="7" w:name="page8"/>
    <w:bookmarkEnd w:id="7"/>
    <w:p>
      <w:pPr>
        <w:ind w:right="280" w:firstLine="439"/>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This Proposal is not legally binding upon Ultragenyx, and no binding obligation shall arise for either party unless and until a definitive agreement has been duly executed between Ultragenyx and Dimension.</w:t>
      </w:r>
    </w:p>
    <w:p>
      <w:pPr>
        <w:spacing w:after="0" w:line="56" w:lineRule="exact"/>
        <w:rPr>
          <w:sz w:val="20"/>
          <w:szCs w:val="20"/>
          <w:color w:val="auto"/>
        </w:rPr>
      </w:pPr>
    </w:p>
    <w:p>
      <w:pPr>
        <w:ind w:firstLine="439"/>
        <w:spacing w:after="0" w:line="299" w:lineRule="auto"/>
        <w:rPr>
          <w:sz w:val="20"/>
          <w:szCs w:val="20"/>
          <w:color w:val="auto"/>
        </w:rPr>
      </w:pPr>
      <w:r>
        <w:rPr>
          <w:rFonts w:ascii="Arial" w:cs="Arial" w:eastAsia="Arial" w:hAnsi="Arial"/>
          <w:sz w:val="14"/>
          <w:szCs w:val="14"/>
          <w:color w:val="auto"/>
        </w:rPr>
        <w:t>We believe that our Proposal constitutes a Superior Proposal (as defined in your existing merger agreement with REGENXBIO) and that your board of directors can and should, consistent with its fiduciary duties, make a determination to that effect. We urge you and your Board of Directors promptly to take those actions necessary under the existing merger agreement with REGENXBIO in order to afford us the opportunity to complete our due diligence and commence discussions with management and your advisors. The form of Acceptable Confidentiality Agreement (as defined in your existing merger agreement with REGENXBIO) can be provided to our General Counsel, Karah Parschauer, by email at KParschauer@ultragenyx.com. We have engaged Centerview Partners LLC and Skadden, Arps, Slate, Meagher &amp; Flom LLP as financial and legal advisors, respectively, to assist us in this transaction and are prepared to move quickly to complete our diligence and negotiate a definitive agreement.</w:t>
      </w:r>
    </w:p>
    <w:p>
      <w:pPr>
        <w:spacing w:after="0" w:line="46" w:lineRule="exact"/>
        <w:rPr>
          <w:sz w:val="20"/>
          <w:szCs w:val="20"/>
          <w:color w:val="auto"/>
        </w:rPr>
      </w:pPr>
    </w:p>
    <w:p>
      <w:pPr>
        <w:ind w:right="160" w:firstLine="439"/>
        <w:spacing w:after="0" w:line="277" w:lineRule="auto"/>
        <w:rPr>
          <w:sz w:val="20"/>
          <w:szCs w:val="20"/>
          <w:color w:val="auto"/>
        </w:rPr>
      </w:pPr>
      <w:r>
        <w:rPr>
          <w:rFonts w:ascii="Arial" w:cs="Arial" w:eastAsia="Arial" w:hAnsi="Arial"/>
          <w:sz w:val="16"/>
          <w:szCs w:val="16"/>
          <w:color w:val="auto"/>
        </w:rPr>
        <w:t>We have publicly disclosed this letter, simultaneously with sending it to you. We look forward to hearing from you and please do not hesitate to contact me or our advisors with any questions.</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60"/>
          </w:cols>
          <w:pgMar w:left="700" w:top="259"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Sincerely,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 Emil D. Kakkis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Chief Executive Officer and President</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Ultragenyx Pharmaceutical Inc.</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Centerview Partners LLC is serving as financial advisor to Ultragenyx, and Skadden, Arps, Slate, Meagher &amp; Flom LLP is serving as Ultragenyx’s legal advisor.</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Ultragenyx will host a conference call today at 10:30 a.m. Eastern (7:30 a.m. Pacific). The live and replayed webcast of the call will be available through the company’s website at </w:t>
      </w:r>
      <w:r>
        <w:rPr>
          <w:rFonts w:ascii="Arial" w:cs="Arial" w:eastAsia="Arial" w:hAnsi="Arial"/>
          <w:sz w:val="16"/>
          <w:szCs w:val="16"/>
          <w:u w:val="single" w:color="auto"/>
          <w:color w:val="auto"/>
        </w:rPr>
        <w:t>www.ultragenyx.com</w:t>
      </w:r>
      <w:r>
        <w:rPr>
          <w:rFonts w:ascii="Arial" w:cs="Arial" w:eastAsia="Arial" w:hAnsi="Arial"/>
          <w:sz w:val="16"/>
          <w:szCs w:val="16"/>
          <w:color w:val="auto"/>
        </w:rPr>
        <w:t>. To participate in the live call by phone, dial (855) 797-6910 (USA) or (262) 912-6260 (international) and enter the passcode 86650959. The replay of the call will be available for one year.</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Ultragenyx Pharmaceutical Inc.</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Ultragenyx is a biopharmaceutical company committed to bringing to market novel products for the treatment of rare and ultra-rare diseases, with a focus on serious, debilitating genetic diseases. The Company has rapidly built and advanced a diverse portfolio of product candidates with the potential to address diseases for which the unmet medical need is high, the biology for treatment is clear, and for which there are no approved therapies.</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on Ultragenyx, please visit the Company’s website at </w:t>
      </w:r>
      <w:r>
        <w:rPr>
          <w:rFonts w:ascii="Arial" w:cs="Arial" w:eastAsia="Arial" w:hAnsi="Arial"/>
          <w:sz w:val="16"/>
          <w:szCs w:val="16"/>
          <w:u w:val="single" w:color="auto"/>
          <w:color w:val="auto"/>
        </w:rPr>
        <w:t>www.ultragenyx.com</w:t>
      </w:r>
      <w:r>
        <w:rPr>
          <w:rFonts w:ascii="Arial" w:cs="Arial" w:eastAsia="Arial" w:hAnsi="Arial"/>
          <w:sz w:val="16"/>
          <w:szCs w:val="16"/>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 / Additional Information</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Except for the historical information contained herein, the matters set forth in this communication, including statements of anticipated changes in the business environment in which Ultragenyx operates and in Ultragenyx’s future prospects or results, statements relating to Ultragenyx’s intentions, plans, hopes, beliefs, anticipations, expectations or predictions of its future, or statements relating to Ultragenyx’s offer and the potential benefits of a transaction with Dimension Therapeutics, Inc. (“Dimension”), are forward-looking statements. Such forward-looking statements involve substantial risks and uncertainties that could cause our clinical development programs, future results, performance or achievements to differ significantly from those expressed or implied by the forward-looking statements. Such risks and uncertainties include, among others, the uncertainties inherent in the clinical drug development process, such as the regulatory approval process, the timing of our regulatory filings and other matters that could affect sufficiency of existing cash, cash equivalents and short-term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59" w:right="239" w:bottom="1440" w:gutter="0" w:footer="0" w:header="0"/>
        </w:sectPr>
      </w:pPr>
    </w:p>
    <w:bookmarkStart w:id="9" w:name="page10"/>
    <w:bookmarkEnd w:id="9"/>
    <w:p>
      <w:pPr>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investments to fund operations and the availability or commercial potential of our drug candidates. There is no assurance that the potential transaction will be consummated, and it is important to note that actual results could differ materially from those projected in such forward-looking statements. Ultragenyx undertakes no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Securities and Exchange Commission (the “SEC”) on July 28, 2017, and its subsequent periodic reports filed with the SEC.</w:t>
      </w:r>
    </w:p>
    <w:p>
      <w:pPr>
        <w:spacing w:after="0" w:line="154"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The tender offer referred to in this communication (an “Offer”) has not yet commenced. Accordingly, this communication is for informational purposes only and does not constitute an offer to purchase or a solicitation of an offer to sell any shares of Dimension common stock or any other securities. On the commencement date of any Offer, a tender offer statement on Schedule TO, including an offer to purchase, a letter of transmittal and related materials, will be filed with the SEC by Ultragenyx and a wholly owned subsidiary. The offer to purchase shares of Dimension common stock will only be made pursuant to the offer to purchase, letter of transmittal and related materials filed with the SEC by Ultragenyx as part of its Schedule TO. Investors and security holders are urged to read both the tender offer statement and any solicitation/recommendation statement filed by Dimension regarding the Offer, as they may be amended from time to time, when they become available, because they will contain important information about the Offer, including its terms and conditions, and should be read carefully before any decision is made with respect to the Offer. Investors and security holders may obtain free copies of these statements (when available) and other materials filed with the SEC at the website maintained by the SEC at www.sec.gov, or by directing requests for such materials to the information agent for the Offer, which will be named in the tender offer statement.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Ryan Martins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415-483-8257</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Media Relations: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Joele Frank, Wilkinson Brimmer Katcher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Tim Lynch / Trevor Gibbons / Leigh Parrish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212-355-4449</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259" w:right="219" w:bottom="1440"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2019-12-07T14:37:23Z</dcterms:created>
  <dcterms:modified xsi:type="dcterms:W3CDTF">2019-12-07T14:37:23Z</dcterms:modified>
</cp:coreProperties>
</file>