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0"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3"/>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TPG Group Holdings (SBS)</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3"/>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tcBorders>
              <w:top w:val="single" w:sz="8" w:color="0000EE"/>
            </w:tcBorders>
            <w:gridSpan w:val="2"/>
          </w:tcPr>
          <w:p>
            <w:pPr>
              <w:spacing w:after="0" w:line="223" w:lineRule="exact"/>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Advisors, Inc.</w:t>
              </w:r>
            </w:hyperlink>
          </w:p>
        </w:tc>
        <w:tc>
          <w:tcPr>
            <w:tcW w:w="76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01/30/2014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C/O TPG GLOBAL, LLC</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301 COMMERCE STREET, SUITE 3300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FORT</w:t>
            </w:r>
          </w:p>
        </w:tc>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0000FF"/>
              </w:rPr>
              <w:t>TX</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76102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WORTH</w:t>
            </w:r>
          </w:p>
        </w:tc>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Ultragenyx Pharmaceutical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RARE</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5"/>
                <w:szCs w:val="15"/>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0"/>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6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38"/>
        </w:trPr>
        <w:tc>
          <w:tcPr>
            <w:tcW w:w="1660" w:type="dxa"/>
            <w:vAlign w:val="bottom"/>
          </w:tcPr>
          <w:p>
            <w:pPr>
              <w:ind w:left="540"/>
              <w:spacing w:after="0" w:line="138"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38" w:lineRule="exact"/>
              <w:rPr>
                <w:sz w:val="20"/>
                <w:szCs w:val="20"/>
                <w:color w:val="auto"/>
              </w:rPr>
            </w:pPr>
            <w:r>
              <w:rPr>
                <w:rFonts w:ascii="Arial" w:cs="Arial" w:eastAsia="Arial" w:hAnsi="Arial"/>
                <w:sz w:val="14"/>
                <w:szCs w:val="14"/>
                <w:color w:val="auto"/>
              </w:rPr>
              <w:t>below)</w:t>
            </w:r>
          </w:p>
        </w:tc>
        <w:tc>
          <w:tcPr>
            <w:tcW w:w="2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560"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sectPr>
          <w:pgSz w:w="11900" w:h="16838" w:orient="portrait"/>
          <w:cols w:equalWidth="0" w:num="2">
            <w:col w:w="4720" w:space="480"/>
            <w:col w:w="6220"/>
          </w:cols>
          <w:pgMar w:left="240" w:top="220" w:right="239" w:bottom="0" w:gutter="0" w:footer="0" w:header="0"/>
          <w:type w:val="continuous"/>
        </w:sectPr>
      </w:pPr>
    </w:p>
    <w:p>
      <w:pPr>
        <w:spacing w:after="0" w:line="109"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4"/>
                <w:szCs w:val="14"/>
                <w:color w:val="auto"/>
              </w:rPr>
            </w:pPr>
          </w:p>
        </w:tc>
        <w:tc>
          <w:tcPr>
            <w:tcW w:w="1680" w:type="dxa"/>
            <w:vAlign w:val="bottom"/>
            <w:gridSpan w:val="6"/>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6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4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0000FF"/>
              </w:rPr>
              <w:t>Series A Preferred Stock</w:t>
            </w:r>
          </w:p>
        </w:tc>
        <w:tc>
          <w:tcPr>
            <w:tcW w:w="1460" w:type="dxa"/>
            <w:vAlign w:val="bottom"/>
            <w:gridSpan w:val="3"/>
            <w:vMerge w:val="restart"/>
          </w:tcPr>
          <w:p>
            <w:pPr>
              <w:ind w:left="960"/>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8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vMerge w:val="restart"/>
          </w:tcPr>
          <w:p>
            <w:pPr>
              <w:jc w:val="right"/>
              <w:ind w:right="4"/>
              <w:spacing w:after="0"/>
              <w:rPr>
                <w:sz w:val="20"/>
                <w:szCs w:val="20"/>
                <w:color w:val="auto"/>
              </w:rPr>
            </w:pPr>
            <w:r>
              <w:rPr>
                <w:rFonts w:ascii="Times New Roman" w:cs="Times New Roman" w:eastAsia="Times New Roman" w:hAnsi="Times New Roman"/>
                <w:sz w:val="18"/>
                <w:szCs w:val="18"/>
                <w:color w:val="0000FF"/>
              </w:rPr>
              <w:t>2,912,443</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I</w:t>
            </w: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See Explanation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5"/>
            <w:vMerge w:val="continue"/>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Responses</w:t>
            </w:r>
            <w:r>
              <w:rPr>
                <w:rFonts w:ascii="Times New Roman" w:cs="Times New Roman" w:eastAsia="Times New Roman" w:hAnsi="Times New Roman"/>
                <w:sz w:val="22"/>
                <w:szCs w:val="22"/>
                <w:color w:val="008000"/>
                <w:vertAlign w:val="superscript"/>
              </w:rPr>
              <w:t>(1)(2)(3)</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4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0000FF"/>
              </w:rPr>
              <w:t>Series B Preferred Stock</w:t>
            </w:r>
          </w:p>
        </w:tc>
        <w:tc>
          <w:tcPr>
            <w:tcW w:w="1460" w:type="dxa"/>
            <w:vAlign w:val="bottom"/>
            <w:gridSpan w:val="3"/>
            <w:vMerge w:val="restart"/>
          </w:tcPr>
          <w:p>
            <w:pPr>
              <w:ind w:left="960"/>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8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8"/>
                <w:szCs w:val="18"/>
                <w:color w:val="0000FF"/>
              </w:rPr>
              <w:t>172,797</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I</w:t>
            </w: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See Explanation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5"/>
            <w:vMerge w:val="continue"/>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gridSpan w:val="2"/>
            <w:vMerge w:val="restart"/>
          </w:tcPr>
          <w:p>
            <w:pPr>
              <w:ind w:left="100"/>
              <w:spacing w:after="0" w:line="284" w:lineRule="exact"/>
              <w:rPr>
                <w:sz w:val="20"/>
                <w:szCs w:val="20"/>
                <w:color w:val="auto"/>
              </w:rPr>
            </w:pPr>
            <w:r>
              <w:rPr>
                <w:rFonts w:ascii="Times New Roman" w:cs="Times New Roman" w:eastAsia="Times New Roman" w:hAnsi="Times New Roman"/>
                <w:sz w:val="32"/>
                <w:szCs w:val="32"/>
                <w:color w:val="0000FF"/>
                <w:vertAlign w:val="subscript"/>
              </w:rPr>
              <w:t>Responses</w:t>
            </w:r>
            <w:r>
              <w:rPr>
                <w:rFonts w:ascii="Times New Roman" w:cs="Times New Roman" w:eastAsia="Times New Roman" w:hAnsi="Times New Roman"/>
                <w:sz w:val="11"/>
                <w:szCs w:val="11"/>
                <w:color w:val="008000"/>
              </w:rPr>
              <w:t>(1)(2)(3)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3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82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68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5"/>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7"/>
          </w:tcPr>
          <w:p>
            <w:pPr>
              <w:spacing w:after="0" w:line="230" w:lineRule="exact"/>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TPG Group Holdings (SBS) Advisors, Inc.</w:t>
              </w:r>
            </w:hyperlink>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(First)</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 TPG GLOBAL, LLC</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301 COMMERCE STREET, SUITE 3300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FORT WORTH</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TX</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rPr>
              <w:t>76102</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(State)</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spacing w:after="0" w:line="230"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BONDERMAN DAVID</w:t>
              </w:r>
            </w:hyperlink>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(First)</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 TPG GLOBAL, LLC</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301 COMMERCE STREET, SUITE 3300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FORT WORTH</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TX</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rPr>
              <w:t>76102</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(State)</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spacing w:after="0" w:line="230" w:lineRule="exact"/>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color w:val="0000EE"/>
                </w:rPr>
                <w:t>COULTER JAMES G</w:t>
              </w:r>
            </w:hyperlink>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(First)</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1420"/>
          </w:cols>
          <w:pgMar w:left="240" w:top="220" w:right="23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C/O TPG GLOBAL, LLC</w:t>
      </w:r>
    </w:p>
    <w:p>
      <w:pPr>
        <w:sectPr>
          <w:pgSz w:w="11900" w:h="16838" w:orient="portrait"/>
          <w:cols w:equalWidth="0" w:num="1">
            <w:col w:w="11420"/>
          </w:cols>
          <w:pgMar w:left="240" w:top="220" w:right="23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color w:val="0000FF"/>
        </w:rPr>
        <w:t>301 COMMERCE STREET, SUITE 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2924175" cy="964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964565"/>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FORT WORTH</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TX</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76102</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40" w:firstLine="9"/>
        <w:spacing w:after="0" w:line="229" w:lineRule="auto"/>
        <w:tabs>
          <w:tab w:leader="none" w:pos="13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David Bonderman and James G. Coulter are officers and sole shareholders of TPG Group Holdings (SBS) Advisors, Inc. ("Group Advisors" and, together with Messrs. Bonderman and Coulter, the "Reporting Persons"), which is the general partner of TPG Group Holdings (SBS), L.P., which is the sole member of TPG Holdings I-A, LLC, which is the general partner of TPG Holdings I, L.P., which is the sole member of TPG Biotechnology GenPar III Advisors, LLC, which is the general partner of TPG Biotechnology GenPar III, L.P., which is the general partner of TPG Biotechnology Partners III, L.P. ("TPG Biotech III"), which directly holds 9,129,063 shares of Series A Preferred Stock (the "Series A Preferred") of Ultragenyx Pharmaceutical Inc. (the "Issuer") and 541,634 shares of Series B Preferred Stock (the "Series B Preferred" and, together with the Series A Preferred, the "Preferred Stock") of the Issuer.</w:t>
      </w:r>
    </w:p>
    <w:p>
      <w:pPr>
        <w:spacing w:after="0" w:line="28" w:lineRule="exact"/>
        <w:rPr>
          <w:rFonts w:ascii="Times New Roman" w:cs="Times New Roman" w:eastAsia="Times New Roman" w:hAnsi="Times New Roman"/>
          <w:sz w:val="14"/>
          <w:szCs w:val="14"/>
          <w:color w:val="008000"/>
        </w:rPr>
      </w:pPr>
    </w:p>
    <w:p>
      <w:pPr>
        <w:ind w:firstLine="9"/>
        <w:spacing w:after="0" w:line="234" w:lineRule="auto"/>
        <w:tabs>
          <w:tab w:leader="none" w:pos="13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Because of the relationship between the Reporting Persons and TPG Biotech III, the Reporting Persons may be deemed to beneficially own the securities reported herein to the extent of the greater of their respective direct or indirect pecuniary interests in the profits or capital accounts of TPG Biotech III. Each of TPG Biotech III and each Reporting Person disclaims beneficial ownership of the securities reported herein, except to the extent of TPG Biotech III's or such Reporting Person's pecuniary interest therein, if any.</w:t>
      </w:r>
    </w:p>
    <w:p>
      <w:pPr>
        <w:spacing w:after="0" w:line="28" w:lineRule="exact"/>
        <w:rPr>
          <w:rFonts w:ascii="Times New Roman" w:cs="Times New Roman" w:eastAsia="Times New Roman" w:hAnsi="Times New Roman"/>
          <w:sz w:val="14"/>
          <w:szCs w:val="14"/>
          <w:color w:val="008000"/>
        </w:rPr>
      </w:pPr>
    </w:p>
    <w:p>
      <w:pPr>
        <w:ind w:right="400" w:firstLine="9"/>
        <w:spacing w:after="0" w:line="241" w:lineRule="auto"/>
        <w:tabs>
          <w:tab w:leader="none" w:pos="13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Rule 16a-1(a)(4) under the Securities Exchange Act of 1934, as amended (the "Exchange Act"), this filing shall not be deemed an admission that the Reporting Persons are, for purposes of Section 16 of the Exchange Act or otherwise, the beneficial owners of any equity securities in excess of their respective pecuniary interests.</w:t>
      </w:r>
    </w:p>
    <w:p>
      <w:pPr>
        <w:spacing w:after="0" w:line="27" w:lineRule="exact"/>
        <w:rPr>
          <w:rFonts w:ascii="Times New Roman" w:cs="Times New Roman" w:eastAsia="Times New Roman" w:hAnsi="Times New Roman"/>
          <w:sz w:val="14"/>
          <w:szCs w:val="14"/>
          <w:color w:val="008000"/>
        </w:rPr>
      </w:pPr>
    </w:p>
    <w:p>
      <w:pPr>
        <w:ind w:right="160" w:firstLine="9"/>
        <w:spacing w:after="0" w:line="234" w:lineRule="auto"/>
        <w:tabs>
          <w:tab w:leader="none" w:pos="13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the Amended and Restated Certificate of Incorporation of the Issuer, as amended, the shares of Series A Preferred and Series B Preferred are convertible, at the option of the holder, at any time into shares of Common Stock, par value $0.001 per share, of the Issuer, at initial conversion rates in each case equal to one share of Common Stock per share of Preferred Stock. The initial conversion rates have been adjusted as a result of a 1-for-3.1345 reverse stock split of the Issuer's Common Stock.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480" w:firstLine="9"/>
        <w:spacing w:after="0" w:line="241" w:lineRule="auto"/>
        <w:tabs>
          <w:tab w:leader="none" w:pos="191"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Persons are jointly filing this Form 3 pursuant to Rule 16a-3(j) under the Exchange Act. (6) Ronald Cami is signing on behalf of both Messrs. Bonderman and Coulter pursuant to the authorization and designation letters dated July 1, 2013, which were previously filed with the Securities and Exchange Commission.</w:t>
      </w:r>
    </w:p>
    <w:p>
      <w:pPr>
        <w:sectPr>
          <w:pgSz w:w="11900" w:h="16838" w:orient="portrait"/>
          <w:cols w:equalWidth="0" w:num="1">
            <w:col w:w="11320"/>
          </w:cols>
          <w:pgMar w:left="280" w:top="125" w:right="299" w:bottom="1440" w:gutter="0" w:footer="0" w:header="0"/>
        </w:sectPr>
      </w:pPr>
    </w:p>
    <w:p>
      <w:pPr>
        <w:spacing w:after="0" w:line="5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/s/ Ronald Cami,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984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984250" cy="8890"/>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President, TPG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3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993775"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6"/>
          <w:szCs w:val="16"/>
          <w:color w:val="0000FF"/>
        </w:rPr>
        <w:t>Holdings (SBS) Advisors,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5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0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0175" cy="8890"/>
                    </a:xfrm>
                    <a:prstGeom prst="rect">
                      <a:avLst/>
                    </a:prstGeom>
                    <a:noFill/>
                  </pic:spPr>
                </pic:pic>
              </a:graphicData>
            </a:graphic>
          </wp:anchor>
        </w:drawing>
      </w:r>
    </w:p>
    <w:p>
      <w:pPr>
        <w:spacing w:after="0" w:line="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/s/ Ronald Cami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1290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David Bonderman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8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08075" cy="8890"/>
                    </a:xfrm>
                    <a:prstGeom prst="rect">
                      <a:avLst/>
                    </a:prstGeom>
                    <a:noFill/>
                  </pic:spPr>
                </pic:pic>
              </a:graphicData>
            </a:graphic>
          </wp:anchor>
        </w:drawing>
      </w:r>
    </w:p>
    <w:p>
      <w:pPr>
        <w:spacing w:after="0" w:line="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/s/ Ronald Cami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1290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James G. Coulter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8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58545" cy="8890"/>
                    </a:xfrm>
                    <a:prstGeom prst="rect">
                      <a:avLst/>
                    </a:prstGeom>
                    <a:noFill/>
                  </pic:spPr>
                </pic:pic>
              </a:graphicData>
            </a:graphic>
          </wp:anchor>
        </w:drawing>
      </w:r>
    </w:p>
    <w:p>
      <w:pPr>
        <w:spacing w:after="0" w:line="28"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01/30/2014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01/30/2014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01/30/2014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40"/>
            <w:col w:w="2200"/>
          </w:cols>
          <w:pgMar w:left="280" w:top="125" w:right="29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5"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1" Type="http://schemas.openxmlformats.org/officeDocument/2006/relationships/hyperlink" Target="http://www.sec.gov/cgi-bin/browse-edgar?action=getcompany&amp;CIK=0001495741" TargetMode="External"/><Relationship Id="rId12" Type="http://schemas.openxmlformats.org/officeDocument/2006/relationships/hyperlink" Target="http://www.sec.gov/cgi-bin/browse-edgar?action=getcompany&amp;CIK=0001515673" TargetMode="External"/><Relationship Id="rId13" Type="http://schemas.openxmlformats.org/officeDocument/2006/relationships/hyperlink" Target="http://www.sec.gov/cgi-bin/browse-edgar?action=getcompany&amp;CIK=0000860866" TargetMode="External"/><Relationship Id="rId14" Type="http://schemas.openxmlformats.org/officeDocument/2006/relationships/hyperlink" Target="http://www.sec.gov/cgi-bin/browse-edgar?action=getcompany&amp;CIK=0001099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2019-12-16T08:02:03Z</dcterms:created>
  <dcterms:modified xsi:type="dcterms:W3CDTF">2019-12-16T08:02:03Z</dcterms:modified>
</cp:coreProperties>
</file>